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sz w:val="44"/>
          <w:szCs w:val="44"/>
        </w:rPr>
        <mc:AlternateContent>
          <mc:Choice Requires="wps">
            <w:drawing>
              <wp:anchor distT="0" distB="0" distL="114300" distR="114300" simplePos="0" relativeHeight="251659264" behindDoc="0" locked="0" layoutInCell="1" allowOverlap="1">
                <wp:simplePos x="0" y="0"/>
                <wp:positionH relativeFrom="column">
                  <wp:posOffset>-243840</wp:posOffset>
                </wp:positionH>
                <wp:positionV relativeFrom="paragraph">
                  <wp:posOffset>-65405</wp:posOffset>
                </wp:positionV>
                <wp:extent cx="6163310" cy="711835"/>
                <wp:effectExtent l="0" t="0" r="0" b="0"/>
                <wp:wrapNone/>
                <wp:docPr id="1" name="Quad Arrow 3"/>
                <wp:cNvGraphicFramePr/>
                <a:graphic xmlns:a="http://schemas.openxmlformats.org/drawingml/2006/main">
                  <a:graphicData uri="http://schemas.microsoft.com/office/word/2010/wordprocessingShape">
                    <wps:wsp>
                      <wps:cNvSpPr/>
                      <wps:spPr>
                        <a:xfrm>
                          <a:off x="0" y="0"/>
                          <a:ext cx="6163310" cy="711835"/>
                        </a:xfrm>
                        <a:prstGeom prst="rect">
                          <a:avLst/>
                        </a:prstGeom>
                        <a:noFill/>
                        <a:ln>
                          <a:noFill/>
                        </a:ln>
                      </wps:spPr>
                      <wps:txbx>
                        <w:txbxContent>
                          <w:p>
                            <w:pPr>
                              <w:adjustRightInd w:val="0"/>
                              <w:snapToGrid w:val="0"/>
                              <w:spacing w:line="900" w:lineRule="exact"/>
                              <w:ind w:left="-42" w:leftChars="-20"/>
                              <w:jc w:val="center"/>
                              <w:rPr>
                                <w:rFonts w:ascii="新宋体" w:hAnsi="新宋体" w:eastAsia="新宋体" w:cs="新宋体"/>
                                <w:b/>
                                <w:bCs/>
                                <w:color w:val="FF0000"/>
                                <w:kern w:val="40"/>
                                <w:sz w:val="58"/>
                                <w:szCs w:val="58"/>
                              </w:rPr>
                            </w:pPr>
                            <w:r>
                              <w:rPr>
                                <w:rFonts w:hint="eastAsia" w:ascii="新宋体" w:hAnsi="新宋体" w:eastAsia="新宋体" w:cs="新宋体"/>
                                <w:b/>
                                <w:bCs/>
                                <w:color w:val="FF0000"/>
                                <w:kern w:val="40"/>
                                <w:sz w:val="58"/>
                                <w:szCs w:val="58"/>
                              </w:rPr>
                              <w:t>深圳市福田区文化广电旅游体育局</w:t>
                            </w:r>
                          </w:p>
                          <w:p>
                            <w:pPr>
                              <w:pStyle w:val="5"/>
                              <w:spacing w:beforeLines="150" w:line="640" w:lineRule="exact"/>
                              <w:jc w:val="distribute"/>
                              <w:rPr>
                                <w:rFonts w:ascii="方正大标宋简体" w:eastAsia="方正大标宋简体"/>
                                <w:color w:val="EB0000"/>
                                <w:spacing w:val="-19"/>
                                <w:kern w:val="0"/>
                                <w:sz w:val="52"/>
                                <w:szCs w:val="52"/>
                              </w:rPr>
                            </w:pPr>
                            <w:r>
                              <w:rPr>
                                <w:rFonts w:hint="eastAsia" w:ascii="方正小标宋简体" w:hAnsi="方正小标宋简体" w:eastAsia="方正小标宋简体" w:cs="方正小标宋简体"/>
                                <w:color w:val="EB0000"/>
                                <w:spacing w:val="4"/>
                                <w:kern w:val="0"/>
                                <w:sz w:val="52"/>
                                <w:szCs w:val="52"/>
                              </w:rPr>
                              <w:t xml:space="preserve">jujuzhng </w:t>
                            </w:r>
                            <w:r>
                              <w:rPr>
                                <w:rFonts w:hint="eastAsia" w:ascii="方正小标宋简体" w:hAnsi="方正小标宋简体" w:eastAsia="方正小标宋简体" w:cs="方正小标宋简体"/>
                                <w:color w:val="EB0000"/>
                                <w:spacing w:val="-3"/>
                                <w:kern w:val="0"/>
                                <w:sz w:val="52"/>
                                <w:szCs w:val="52"/>
                              </w:rPr>
                              <w:t>局</w:t>
                            </w:r>
                          </w:p>
                          <w:p>
                            <w:pPr>
                              <w:pStyle w:val="5"/>
                              <w:spacing w:beforeLines="150" w:line="500" w:lineRule="exact"/>
                              <w:rPr>
                                <w:rFonts w:ascii="方正大标宋简体" w:eastAsia="方正大标宋简体"/>
                                <w:color w:val="EB0000"/>
                                <w:spacing w:val="-19"/>
                                <w:kern w:val="0"/>
                                <w:sz w:val="32"/>
                                <w:szCs w:val="32"/>
                              </w:rPr>
                            </w:pPr>
                          </w:p>
                          <w:p>
                            <w:pPr>
                              <w:pStyle w:val="5"/>
                              <w:spacing w:beforeLines="150" w:line="640" w:lineRule="exact"/>
                              <w:rPr>
                                <w:rFonts w:ascii="方正大标宋简体" w:eastAsia="方正大标宋简体"/>
                                <w:color w:val="EB0000"/>
                                <w:kern w:val="0"/>
                                <w:sz w:val="56"/>
                                <w:szCs w:val="56"/>
                              </w:rPr>
                            </w:pPr>
                          </w:p>
                          <w:p>
                            <w:pPr>
                              <w:rPr>
                                <w:color w:val="EB0000"/>
                              </w:rPr>
                            </w:pPr>
                          </w:p>
                        </w:txbxContent>
                      </wps:txbx>
                      <wps:bodyPr upright="true"/>
                    </wps:wsp>
                  </a:graphicData>
                </a:graphic>
              </wp:anchor>
            </w:drawing>
          </mc:Choice>
          <mc:Fallback>
            <w:pict>
              <v:rect id="Quad Arrow 3" o:spid="_x0000_s1026" o:spt="1" style="position:absolute;left:0pt;margin-left:-19.2pt;margin-top:-5.15pt;height:56.05pt;width:485.3pt;z-index:251659264;mso-width-relative:page;mso-height-relative:page;" filled="f" stroked="f" coordsize="21600,21600" o:gfxdata="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WAAAAZHJzL1BLAQIUABQAAAAIAIdO4kBjho7G2wAAAAsBAAAPAAAAAAAAAAEAIAAA&#10;ADgAAABkcnMvZG93bnJldi54bWxQSwECFAAUAAAACACHTuJA3YR9YYEBAAD6AgAADgAAAAAAAAAB&#10;ACAAAABAAQAAZHJzL2Uyb0RvYy54bWxQSwUGAAAAAAYABgBZAQAAMwUAAAAA&#10;">
                <v:fill on="f" focussize="0,0"/>
                <v:stroke on="f"/>
                <v:imagedata o:title=""/>
                <o:lock v:ext="edit" aspectratio="f"/>
                <v:textbox>
                  <w:txbxContent>
                    <w:p>
                      <w:pPr>
                        <w:adjustRightInd w:val="0"/>
                        <w:snapToGrid w:val="0"/>
                        <w:spacing w:line="900" w:lineRule="exact"/>
                        <w:ind w:left="-42" w:leftChars="-20"/>
                        <w:jc w:val="center"/>
                        <w:rPr>
                          <w:rFonts w:ascii="新宋体" w:hAnsi="新宋体" w:eastAsia="新宋体" w:cs="新宋体"/>
                          <w:b/>
                          <w:bCs/>
                          <w:color w:val="FF0000"/>
                          <w:kern w:val="40"/>
                          <w:sz w:val="58"/>
                          <w:szCs w:val="58"/>
                        </w:rPr>
                      </w:pPr>
                      <w:r>
                        <w:rPr>
                          <w:rFonts w:hint="eastAsia" w:ascii="新宋体" w:hAnsi="新宋体" w:eastAsia="新宋体" w:cs="新宋体"/>
                          <w:b/>
                          <w:bCs/>
                          <w:color w:val="FF0000"/>
                          <w:kern w:val="40"/>
                          <w:sz w:val="58"/>
                          <w:szCs w:val="58"/>
                        </w:rPr>
                        <w:t>深圳市福田区文化广电旅游体育局</w:t>
                      </w:r>
                    </w:p>
                    <w:p>
                      <w:pPr>
                        <w:pStyle w:val="5"/>
                        <w:spacing w:beforeLines="150" w:line="640" w:lineRule="exact"/>
                        <w:jc w:val="distribute"/>
                        <w:rPr>
                          <w:rFonts w:ascii="方正大标宋简体" w:eastAsia="方正大标宋简体"/>
                          <w:color w:val="EB0000"/>
                          <w:spacing w:val="-19"/>
                          <w:kern w:val="0"/>
                          <w:sz w:val="52"/>
                          <w:szCs w:val="52"/>
                        </w:rPr>
                      </w:pPr>
                      <w:r>
                        <w:rPr>
                          <w:rFonts w:hint="eastAsia" w:ascii="方正小标宋简体" w:hAnsi="方正小标宋简体" w:eastAsia="方正小标宋简体" w:cs="方正小标宋简体"/>
                          <w:color w:val="EB0000"/>
                          <w:spacing w:val="4"/>
                          <w:kern w:val="0"/>
                          <w:sz w:val="52"/>
                          <w:szCs w:val="52"/>
                        </w:rPr>
                        <w:t xml:space="preserve">jujuzhng </w:t>
                      </w:r>
                      <w:r>
                        <w:rPr>
                          <w:rFonts w:hint="eastAsia" w:ascii="方正小标宋简体" w:hAnsi="方正小标宋简体" w:eastAsia="方正小标宋简体" w:cs="方正小标宋简体"/>
                          <w:color w:val="EB0000"/>
                          <w:spacing w:val="-3"/>
                          <w:kern w:val="0"/>
                          <w:sz w:val="52"/>
                          <w:szCs w:val="52"/>
                        </w:rPr>
                        <w:t>局</w:t>
                      </w:r>
                    </w:p>
                    <w:p>
                      <w:pPr>
                        <w:pStyle w:val="5"/>
                        <w:spacing w:beforeLines="150" w:line="500" w:lineRule="exact"/>
                        <w:rPr>
                          <w:rFonts w:ascii="方正大标宋简体" w:eastAsia="方正大标宋简体"/>
                          <w:color w:val="EB0000"/>
                          <w:spacing w:val="-19"/>
                          <w:kern w:val="0"/>
                          <w:sz w:val="32"/>
                          <w:szCs w:val="32"/>
                        </w:rPr>
                      </w:pPr>
                    </w:p>
                    <w:p>
                      <w:pPr>
                        <w:pStyle w:val="5"/>
                        <w:spacing w:beforeLines="150" w:line="640" w:lineRule="exact"/>
                        <w:rPr>
                          <w:rFonts w:ascii="方正大标宋简体" w:eastAsia="方正大标宋简体"/>
                          <w:color w:val="EB0000"/>
                          <w:kern w:val="0"/>
                          <w:sz w:val="56"/>
                          <w:szCs w:val="56"/>
                        </w:rPr>
                      </w:pPr>
                    </w:p>
                    <w:p>
                      <w:pPr>
                        <w:rPr>
                          <w:color w:val="EB0000"/>
                        </w:rPr>
                      </w:pPr>
                    </w:p>
                  </w:txbxContent>
                </v:textbox>
              </v:rect>
            </w:pict>
          </mc:Fallback>
        </mc:AlternateContent>
      </w:r>
    </w:p>
    <w:p>
      <w:pPr>
        <w:jc w:val="center"/>
        <w:rPr>
          <w:sz w:val="44"/>
          <w:szCs w:val="44"/>
        </w:rPr>
      </w:pPr>
      <w:r>
        <w:rPr>
          <w:sz w:val="44"/>
          <w:szCs w:val="44"/>
        </w:rPr>
        <mc:AlternateContent>
          <mc:Choice Requires="wps">
            <w:drawing>
              <wp:anchor distT="0" distB="0" distL="114300" distR="114300" simplePos="0" relativeHeight="251660288" behindDoc="0" locked="0" layoutInCell="1" allowOverlap="1">
                <wp:simplePos x="0" y="0"/>
                <wp:positionH relativeFrom="column">
                  <wp:posOffset>-109855</wp:posOffset>
                </wp:positionH>
                <wp:positionV relativeFrom="paragraph">
                  <wp:posOffset>173990</wp:posOffset>
                </wp:positionV>
                <wp:extent cx="5930265" cy="635"/>
                <wp:effectExtent l="0" t="28575" r="13335" b="31750"/>
                <wp:wrapNone/>
                <wp:docPr id="2" name="直接连接符 2"/>
                <wp:cNvGraphicFramePr/>
                <a:graphic xmlns:a="http://schemas.openxmlformats.org/drawingml/2006/main">
                  <a:graphicData uri="http://schemas.microsoft.com/office/word/2010/wordprocessingShape">
                    <wps:wsp>
                      <wps:cNvCnPr/>
                      <wps:spPr>
                        <a:xfrm>
                          <a:off x="0" y="0"/>
                          <a:ext cx="5930265" cy="635"/>
                        </a:xfrm>
                        <a:prstGeom prst="line">
                          <a:avLst/>
                        </a:prstGeom>
                        <a:ln w="57150" cap="flat" cmpd="thickThin">
                          <a:solidFill>
                            <a:srgbClr val="EB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8.65pt;margin-top:13.7pt;height:0.05pt;width:466.95pt;z-index:251660288;mso-width-relative:page;mso-height-relative:page;" filled="f" stroked="t" coordsize="21600,21600" o:gfxdata="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y4HvQtcAAAAJAQAADwAAAAAAAAABACAAAAA4AAAAZHJzL2Rvd25yZXYu&#10;eG1sUEsBAhQAFAAAAAgAh07iQAZx4YvmAQAAogMAAA4AAAAAAAAAAQAgAAAAPAEAAGRycy9lMm9E&#10;b2MueG1sUEsFBgAAAAAGAAYAWQEAAJQFAAAAAA==&#10;">
                <v:fill on="f" focussize="0,0"/>
                <v:stroke weight="4.5pt" color="#EB0000" linestyle="thickThin" joinstyle="round"/>
                <v:imagedata o:title=""/>
                <o:lock v:ext="edit" aspectratio="f"/>
              </v:line>
            </w:pict>
          </mc:Fallback>
        </mc:AlternateConten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关于深圳市福田区第七届人民代表大会第一次会议代表建议《关于广泛开展青年活动丰富青年文化生活的建议》（第20210215号）的回复</w:t>
      </w:r>
    </w:p>
    <w:p>
      <w:pPr>
        <w:spacing w:line="560" w:lineRule="exact"/>
        <w:rPr>
          <w:rFonts w:ascii="仿宋_GB2312" w:eastAsia="仿宋_GB2312"/>
          <w:sz w:val="32"/>
          <w:szCs w:val="32"/>
        </w:rPr>
      </w:pPr>
    </w:p>
    <w:p>
      <w:pPr>
        <w:spacing w:line="560" w:lineRule="exact"/>
        <w:rPr>
          <w:rFonts w:hint="eastAsia" w:ascii="仿宋_GB2312" w:eastAsia="仿宋_GB2312"/>
          <w:sz w:val="32"/>
          <w:szCs w:val="32"/>
          <w:lang w:eastAsia="zh-CN"/>
        </w:rPr>
      </w:pPr>
      <w:bookmarkStart w:id="0" w:name="_GoBack"/>
      <w:r>
        <w:rPr>
          <w:rFonts w:hint="eastAsia" w:ascii="仿宋_GB2312" w:eastAsia="仿宋_GB2312"/>
          <w:sz w:val="32"/>
          <w:szCs w:val="32"/>
          <w:lang w:eastAsia="zh-CN"/>
        </w:rPr>
        <w:t>尊敬的杨勤委员：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您好！您在深圳市福田区第七届人民代表大会第一次会议提出的《关于广泛开展青年活动丰富青年文化生活的建议》（第20210215号）已收悉。衷心感谢您对福田区文化事业的关心，提案中所提建议对我区的公共文化服务体系建设具有重要的参考价值和指导意义，经认真研究，结合当前开展工作实际情况，现将办理情况答复如下：</w:t>
      </w:r>
    </w:p>
    <w:p>
      <w:pPr>
        <w:numPr>
          <w:ilvl w:val="0"/>
          <w:numId w:val="1"/>
        </w:numPr>
        <w:spacing w:line="240" w:lineRule="auto"/>
        <w:ind w:firstLine="642" w:firstLineChars="200"/>
        <w:jc w:val="left"/>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优化文化场馆设施，吸引青年走进公共文化场馆。</w:t>
      </w:r>
    </w:p>
    <w:p>
      <w:pPr>
        <w:numPr>
          <w:ilvl w:val="0"/>
          <w:numId w:val="0"/>
        </w:numPr>
        <w:spacing w:line="240" w:lineRule="auto"/>
        <w:ind w:firstLine="640" w:firstLineChars="20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优化整合我区文化馆、图书馆、博物馆的设施建设，建设了戏剧、音乐、书画、舞蹈、钢琴、非遗、梦工场等七个主题文化馆，通过不同主题丰富青年多方面的艺术需求；打造了华强北博物馆，通过展览展示、科普教育、互动共享等形式，讲述华强北创业、深圳改革开放和中国电子行业发展的故事，以科技、时尚、互动等多元呈现方式，打造“不一样的博物馆”，展现深圳的青年奋斗精神。各场馆突显不同的艺术特色，聚集优秀专业人才、整合优质文化资源，更好地满足青年文化需求。同时，各文化设施延长服务供给时间。将场馆开放延时和活动错时相结合。文化馆每天9:00至21:00全天候开放，夜间开放已属常态，展厅、剧场、图书馆、辅导培训教室等公共空间设施场地免费向公众开放。</w:t>
      </w:r>
    </w:p>
    <w:p>
      <w:pPr>
        <w:numPr>
          <w:ilvl w:val="0"/>
          <w:numId w:val="1"/>
        </w:numPr>
        <w:spacing w:line="240" w:lineRule="auto"/>
        <w:ind w:firstLine="642" w:firstLineChars="200"/>
        <w:jc w:val="left"/>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依托城市核心优势，打造都市青年文化生活街区。</w:t>
      </w:r>
    </w:p>
    <w:p>
      <w:pPr>
        <w:numPr>
          <w:ilvl w:val="0"/>
          <w:numId w:val="0"/>
        </w:numPr>
        <w:spacing w:line="240" w:lineRule="auto"/>
        <w:ind w:firstLine="642" w:firstLineChars="20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构建华强北科技时尚文化特色街区，</w:t>
      </w:r>
      <w:r>
        <w:rPr>
          <w:rFonts w:hint="eastAsia" w:ascii="仿宋_GB2312" w:hAnsi="仿宋_GB2312" w:eastAsia="仿宋_GB2312" w:cs="仿宋_GB2312"/>
          <w:b w:val="0"/>
          <w:bCs w:val="0"/>
          <w:color w:val="auto"/>
          <w:kern w:val="2"/>
          <w:sz w:val="32"/>
          <w:szCs w:val="32"/>
          <w:lang w:val="en-US" w:eastAsia="zh-CN" w:bidi="ar-SA"/>
        </w:rPr>
        <w:t>以“中国电子第一街，全球科技时尚地”为建设主题，展现华强北“创新创业”“科技时尚”“文化旅游”三大定位。开展深圳98音乐节、深圳时装周（华强北分会场）、华强北文创市集等科技时尚文化活动，形成以科技和时尚为主题元素的文化特色街区，成为都市青年的科技时尚聚集地。</w:t>
      </w:r>
    </w:p>
    <w:p>
      <w:pPr>
        <w:numPr>
          <w:ilvl w:val="0"/>
          <w:numId w:val="0"/>
        </w:numPr>
        <w:spacing w:line="240" w:lineRule="auto"/>
        <w:ind w:firstLine="642" w:firstLineChars="20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打造“福华路·节日大道”，</w:t>
      </w:r>
      <w:r>
        <w:rPr>
          <w:rFonts w:hint="eastAsia" w:ascii="仿宋_GB2312" w:hAnsi="仿宋_GB2312" w:eastAsia="仿宋_GB2312" w:cs="仿宋_GB2312"/>
          <w:b w:val="0"/>
          <w:bCs w:val="0"/>
          <w:color w:val="auto"/>
          <w:kern w:val="2"/>
          <w:sz w:val="32"/>
          <w:szCs w:val="32"/>
          <w:lang w:val="en-US" w:eastAsia="zh-CN" w:bidi="ar-SA"/>
        </w:rPr>
        <w:t>依托深圳福田CBD商圈优势，结合“中轴云廊”工程建设，通过大力引进商业品牌，构建高级商业区和全球品牌聚集区。通过构建“四大主题、八大品牌、十二月无休”的节日大道活动体系，将福华路打造成为世界级“节日大道”。开展深圳迎春花市（主会场）、街头文化节、深圳音乐周、深圳购物季等精品活动，让都市青年在购物的同时享受文化生活。</w:t>
      </w:r>
    </w:p>
    <w:p>
      <w:pPr>
        <w:numPr>
          <w:ilvl w:val="0"/>
          <w:numId w:val="0"/>
        </w:numPr>
        <w:spacing w:line="240" w:lineRule="auto"/>
        <w:ind w:firstLine="642" w:firstLineChars="20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三、首创公共文化进商圈，打造都市型公共文化服务体系。</w:t>
      </w:r>
    </w:p>
    <w:p>
      <w:pPr>
        <w:pStyle w:val="3"/>
        <w:numPr>
          <w:ilvl w:val="0"/>
          <w:numId w:val="0"/>
        </w:numPr>
        <w:spacing w:line="240" w:lineRule="auto"/>
        <w:ind w:firstLine="642" w:firstLineChars="20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全面实施“公共文化进商圈”</w:t>
      </w:r>
      <w:r>
        <w:rPr>
          <w:rFonts w:hint="eastAsia" w:ascii="仿宋_GB2312" w:hAnsi="仿宋_GB2312" w:eastAsia="仿宋_GB2312" w:cs="仿宋_GB2312"/>
          <w:b w:val="0"/>
          <w:bCs w:val="0"/>
          <w:color w:val="auto"/>
          <w:kern w:val="2"/>
          <w:sz w:val="32"/>
          <w:szCs w:val="32"/>
          <w:lang w:val="en-US" w:eastAsia="zh-CN" w:bidi="ar-SA"/>
        </w:rPr>
        <w:t xml:space="preserve">，我区为加快构建福田都市公共文化服务体系，打造拉动城市消费新引擎开展了“公共文化进商圈”这项公共文化重大品牌工程。在深入分析各大商圈的群体需求、环境要素、流动性等特征的基础上，通过科学合理规划商圈的演出地点、时间、内容等要素，为各商圈提供定制化、个性化的“文化活动菜单”，实现公共文化服务的精准供给。全面开展“小而精、有特色”的主题文化活动。目前，共组织开展系列文化活动进千场，覆盖人群上百万人次，每月编印福田区“公共文化进商圈”活动月历并配送至各大商圈供市民取阅，充分满足了群众对高品质文化生活的需求，同时，吸引了大批市民走进商圈、参与活动，“公共文化进商圈”成为激发新一轮消费升级、拉动城市消费的新引擎。 </w:t>
      </w:r>
    </w:p>
    <w:p>
      <w:pPr>
        <w:numPr>
          <w:ilvl w:val="0"/>
          <w:numId w:val="0"/>
        </w:numPr>
        <w:spacing w:line="240" w:lineRule="auto"/>
        <w:ind w:firstLine="642" w:firstLineChars="20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四、突出城市青年活力，打造高质量公共文化服务产品。</w:t>
      </w:r>
    </w:p>
    <w:p>
      <w:pPr>
        <w:numPr>
          <w:ilvl w:val="0"/>
          <w:numId w:val="0"/>
        </w:numPr>
        <w:spacing w:line="240" w:lineRule="auto"/>
        <w:ind w:firstLine="642" w:firstLineChars="20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以青年为参与主体，打造各类高质量品牌文化活动。</w:t>
      </w:r>
      <w:r>
        <w:rPr>
          <w:rFonts w:hint="eastAsia" w:ascii="仿宋_GB2312" w:hAnsi="仿宋_GB2312" w:eastAsia="仿宋_GB2312" w:cs="仿宋_GB2312"/>
          <w:b w:val="0"/>
          <w:bCs w:val="0"/>
          <w:color w:val="auto"/>
          <w:kern w:val="2"/>
          <w:sz w:val="32"/>
          <w:szCs w:val="32"/>
          <w:lang w:val="en-US" w:eastAsia="zh-CN" w:bidi="ar-SA"/>
        </w:rPr>
        <w:t>时间以傍晚及周末为主,提升青年参与活动的积极性，营造良好社会氛围。如“深圳打击乐文化节”、“莲花山草地音乐节”知名品牌文化活动，让青年在空闲时间可以免费参与文化演出；举办福田区“文明·乐读一小时”，在每个周末组织大众与文化学者面对面，通过鼓励开口读书，深化文明阅读，分享快乐阅读等理念。</w:t>
      </w:r>
      <w:r>
        <w:rPr>
          <w:rFonts w:hint="eastAsia" w:ascii="仿宋_GB2312" w:hAnsi="仿宋_GB2312" w:eastAsia="仿宋_GB2312" w:cs="仿宋_GB2312"/>
          <w:b/>
          <w:bCs/>
          <w:color w:val="000000"/>
          <w:sz w:val="32"/>
          <w:szCs w:val="32"/>
          <w:lang w:val="en-US" w:eastAsia="zh-CN"/>
        </w:rPr>
        <w:t>充分发挥引进名人的社会效应，举办高品质文体项目。</w:t>
      </w:r>
      <w:r>
        <w:rPr>
          <w:rFonts w:hint="eastAsia" w:ascii="仿宋_GB2312" w:hAnsi="仿宋_GB2312" w:eastAsia="仿宋_GB2312" w:cs="仿宋_GB2312"/>
          <w:b w:val="0"/>
          <w:bCs w:val="0"/>
          <w:color w:val="auto"/>
          <w:kern w:val="2"/>
          <w:sz w:val="32"/>
          <w:szCs w:val="32"/>
          <w:lang w:val="en-US" w:eastAsia="zh-CN" w:bidi="ar-SA"/>
        </w:rPr>
        <w:t>注重青年文化品牌建设，通过引进名人、文体顾问的方式，与开展各类品牌性文体活动，与著名导演孟京辉合作开展的“孟京辉戏剧作品展”已连续举办九届，以引进高质孟氏话剧、政府补贴降低票价的形式，培育福田戏剧文化市场。与著名篮球运动员易建联联合发起“易建联杯”深圳福田全国三人篮球赛已连续举办八届，是中国篮协三对三办公室年度管理赛事之一。与著名小提琴艺术家吕思清发起“吕思清·深圳福田国际弦乐艺术周”已成功举办三届，为深圳市民免费奉上大师课、学术讲座、弦乐艺术论坛及大师音乐会等活动。</w:t>
      </w:r>
      <w:r>
        <w:rPr>
          <w:rFonts w:hint="eastAsia" w:ascii="仿宋_GB2312" w:hAnsi="仿宋_GB2312" w:eastAsia="仿宋_GB2312" w:cs="仿宋_GB2312"/>
          <w:b/>
          <w:bCs/>
          <w:color w:val="000000"/>
          <w:sz w:val="32"/>
          <w:szCs w:val="32"/>
          <w:lang w:val="en-US" w:eastAsia="zh-CN"/>
        </w:rPr>
        <w:t>打造特色品牌活动，满足青年多样文化需求。</w:t>
      </w:r>
      <w:r>
        <w:rPr>
          <w:rFonts w:hint="eastAsia" w:ascii="仿宋_GB2312" w:hAnsi="仿宋_GB2312" w:eastAsia="仿宋_GB2312" w:cs="仿宋_GB2312"/>
          <w:color w:val="000000"/>
          <w:sz w:val="32"/>
          <w:szCs w:val="32"/>
          <w:lang w:val="en-US" w:eastAsia="zh-CN"/>
        </w:rPr>
        <w:t>连续举办七届的华强北好声音青年潮流音乐大赛，每年都吸引全国各地青年音乐爱好者参与，为热爱音乐的青年提供了展示自我的平台。福田国际音乐剧艺术节，以“公益分享会+低票价演出”的形式，让青春、正能量、高品质的高口碑国际音乐剧走进福田市民家门口。</w:t>
      </w:r>
    </w:p>
    <w:p>
      <w:pPr>
        <w:numPr>
          <w:ilvl w:val="0"/>
          <w:numId w:val="0"/>
        </w:numPr>
        <w:spacing w:line="240" w:lineRule="auto"/>
        <w:ind w:firstLine="642" w:firstLineChars="20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五、挖掘社会资源，调动社会力量参与青年文化建设。</w:t>
      </w:r>
    </w:p>
    <w:p>
      <w:pPr>
        <w:pStyle w:val="3"/>
        <w:ind w:firstLine="64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积极开展“场地合作伙伴计划”</w:t>
      </w:r>
      <w:r>
        <w:rPr>
          <w:rFonts w:hint="eastAsia" w:ascii="仿宋_GB2312" w:hAnsi="仿宋_GB2312" w:eastAsia="仿宋_GB2312" w:cs="仿宋_GB2312"/>
          <w:b w:val="0"/>
          <w:bCs w:val="0"/>
          <w:color w:val="auto"/>
          <w:kern w:val="2"/>
          <w:sz w:val="32"/>
          <w:szCs w:val="32"/>
          <w:lang w:val="en-US" w:eastAsia="zh-CN" w:bidi="ar-SA"/>
        </w:rPr>
        <w:t>，以丰富青年文化服务主体，撬动社会资源参与，将自有文艺专干和社会资源、青年需求积极对接。引进国内优秀艺术团队。分别与孟京辉戏剧工作室、开心麻花团队合作合作举办具有号召力和影响力的公益文化演出，为市民奉上票房与口碑兼得的惠民低票价话剧演出，在丰富辖区市民精神文化生活的同时促进文化消费，形成“政府主导、社会参与、市民共享”的良好局面。</w:t>
      </w:r>
      <w:r>
        <w:rPr>
          <w:rFonts w:hint="eastAsia" w:ascii="仿宋_GB2312" w:hAnsi="仿宋_GB2312" w:eastAsia="仿宋_GB2312" w:cs="仿宋_GB2312"/>
          <w:b/>
          <w:bCs/>
          <w:color w:val="auto"/>
          <w:kern w:val="2"/>
          <w:sz w:val="32"/>
          <w:szCs w:val="32"/>
          <w:lang w:val="en-US" w:eastAsia="zh-CN" w:bidi="ar-SA"/>
        </w:rPr>
        <w:t>推进CBD中心区项目场地合作</w:t>
      </w:r>
      <w:r>
        <w:rPr>
          <w:rFonts w:hint="eastAsia" w:ascii="仿宋_GB2312" w:hAnsi="仿宋_GB2312" w:eastAsia="仿宋_GB2312" w:cs="仿宋_GB2312"/>
          <w:b w:val="0"/>
          <w:bCs w:val="0"/>
          <w:color w:val="auto"/>
          <w:kern w:val="2"/>
          <w:sz w:val="32"/>
          <w:szCs w:val="32"/>
          <w:lang w:val="en-US" w:eastAsia="zh-CN" w:bidi="ar-SA"/>
        </w:rPr>
        <w:t>，通过积极与中心区商务楼宇、各大商场等合作开展文化活动，发动社会培训机构参与，为市民提供免费的公益艺术体育培训等做法，为中心区入驻企业提供超值的文化服务，营造了富有魅力的中心区文化形象，为福田推进中央商务区（CBD）向中央活力区（CAZ）转型升级添砖加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宋体" w:eastAsia="仿宋_GB2312" w:cs="宋体"/>
          <w:kern w:val="0"/>
          <w:sz w:val="32"/>
          <w:szCs w:val="32"/>
        </w:rPr>
      </w:pPr>
      <w:r>
        <w:rPr>
          <w:rFonts w:hint="eastAsia" w:ascii="仿宋_GB2312" w:hAnsi="仿宋_GB2312" w:eastAsia="仿宋_GB2312" w:cs="仿宋_GB2312"/>
          <w:b w:val="0"/>
          <w:bCs w:val="0"/>
          <w:color w:val="auto"/>
          <w:kern w:val="2"/>
          <w:sz w:val="32"/>
          <w:szCs w:val="32"/>
          <w:lang w:val="en-US" w:eastAsia="zh-CN" w:bidi="ar-SA"/>
        </w:rPr>
        <w:t>今后，福田区将继续努力为辖区青年提供更加丰富的公共文体服务，丰富青年人的业余生活，提升幸福感、获得感、满足感。</w:t>
      </w:r>
      <w:r>
        <w:rPr>
          <w:rFonts w:hint="eastAsia" w:ascii="仿宋_GB2312" w:hAnsi="宋体" w:eastAsia="仿宋_GB2312" w:cs="宋体"/>
          <w:kern w:val="0"/>
          <w:sz w:val="32"/>
          <w:szCs w:val="32"/>
        </w:rPr>
        <w:t>最后，再次感谢您对福田区文化事业的关心和支持。</w:t>
      </w:r>
      <w:bookmarkEnd w:id="0"/>
    </w:p>
    <w:p>
      <w:pPr>
        <w:widowControl/>
        <w:spacing w:line="580" w:lineRule="exact"/>
        <w:ind w:firstLine="645"/>
        <w:rPr>
          <w:rFonts w:hint="eastAsia" w:ascii="仿宋_GB2312" w:hAnsi="宋体" w:eastAsia="仿宋_GB2312" w:cs="宋体"/>
          <w:kern w:val="0"/>
          <w:sz w:val="32"/>
          <w:szCs w:val="32"/>
        </w:rPr>
      </w:pPr>
    </w:p>
    <w:p>
      <w:pPr>
        <w:widowControl/>
        <w:spacing w:line="580" w:lineRule="exact"/>
        <w:ind w:firstLine="645"/>
        <w:rPr>
          <w:rFonts w:hint="eastAsia" w:ascii="仿宋_GB2312" w:hAnsi="宋体" w:eastAsia="仿宋_GB2312" w:cs="宋体"/>
          <w:kern w:val="0"/>
          <w:sz w:val="32"/>
          <w:szCs w:val="32"/>
        </w:rPr>
      </w:pPr>
    </w:p>
    <w:p>
      <w:pPr>
        <w:autoSpaceDE w:val="0"/>
        <w:autoSpaceDN w:val="0"/>
        <w:adjustRightInd w:val="0"/>
        <w:spacing w:line="58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福田区文化广电旅游体育局</w:t>
      </w:r>
    </w:p>
    <w:p>
      <w:pPr>
        <w:autoSpaceDE w:val="0"/>
        <w:autoSpaceDN w:val="0"/>
        <w:adjustRightInd w:val="0"/>
        <w:spacing w:line="580" w:lineRule="exact"/>
        <w:ind w:right="640"/>
        <w:rPr>
          <w:rFonts w:ascii="仿宋_GB2312" w:eastAsia="仿宋_GB2312"/>
          <w:sz w:val="32"/>
          <w:szCs w:val="32"/>
        </w:rPr>
      </w:pPr>
      <w:r>
        <w:rPr>
          <w:rFonts w:hint="eastAsia" w:ascii="仿宋_GB2312" w:hAnsi="宋体" w:eastAsia="仿宋_GB2312" w:cs="宋体"/>
          <w:kern w:val="0"/>
          <w:sz w:val="32"/>
          <w:szCs w:val="32"/>
        </w:rPr>
        <w:t xml:space="preserve">                                202</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12</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日</w:t>
      </w:r>
    </w:p>
    <w:sectPr>
      <w:pgSz w:w="11906" w:h="16838"/>
      <w:pgMar w:top="1701"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modern"/>
    <w:pitch w:val="default"/>
    <w:sig w:usb0="00000000" w:usb1="00000000" w:usb2="00000006" w:usb3="00000000" w:csb0="00040001" w:csb1="00000000"/>
  </w:font>
  <w:font w:name="方正大标宋简体">
    <w:altName w:val="方正书宋_GBK"/>
    <w:panose1 w:val="03000509000000000000"/>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75FECC"/>
    <w:multiLevelType w:val="singleLevel"/>
    <w:tmpl w:val="7E75FEC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5B3"/>
    <w:rsid w:val="00057E66"/>
    <w:rsid w:val="000964F9"/>
    <w:rsid w:val="000E7591"/>
    <w:rsid w:val="000F219E"/>
    <w:rsid w:val="000F45BF"/>
    <w:rsid w:val="001028AA"/>
    <w:rsid w:val="0011062D"/>
    <w:rsid w:val="00155F22"/>
    <w:rsid w:val="00195C6F"/>
    <w:rsid w:val="00196AC4"/>
    <w:rsid w:val="001A04F6"/>
    <w:rsid w:val="001F57F1"/>
    <w:rsid w:val="00200DC0"/>
    <w:rsid w:val="002459E5"/>
    <w:rsid w:val="00246FB7"/>
    <w:rsid w:val="00271D9D"/>
    <w:rsid w:val="00286E35"/>
    <w:rsid w:val="002B05EF"/>
    <w:rsid w:val="002B6CC4"/>
    <w:rsid w:val="002C1DBF"/>
    <w:rsid w:val="002C5DB0"/>
    <w:rsid w:val="002F5649"/>
    <w:rsid w:val="0032173B"/>
    <w:rsid w:val="0033331E"/>
    <w:rsid w:val="00353421"/>
    <w:rsid w:val="00356565"/>
    <w:rsid w:val="00356F9D"/>
    <w:rsid w:val="00384DAF"/>
    <w:rsid w:val="003A1FBB"/>
    <w:rsid w:val="003E267D"/>
    <w:rsid w:val="004005C5"/>
    <w:rsid w:val="00417008"/>
    <w:rsid w:val="004344E8"/>
    <w:rsid w:val="00490F65"/>
    <w:rsid w:val="004C35B3"/>
    <w:rsid w:val="00506035"/>
    <w:rsid w:val="005101F9"/>
    <w:rsid w:val="00525755"/>
    <w:rsid w:val="005B7B47"/>
    <w:rsid w:val="005E1DFC"/>
    <w:rsid w:val="0060520B"/>
    <w:rsid w:val="00615789"/>
    <w:rsid w:val="00646BB0"/>
    <w:rsid w:val="00662E2B"/>
    <w:rsid w:val="006A3B40"/>
    <w:rsid w:val="006B3885"/>
    <w:rsid w:val="00731F0E"/>
    <w:rsid w:val="007B28C8"/>
    <w:rsid w:val="008375CE"/>
    <w:rsid w:val="0095714D"/>
    <w:rsid w:val="00957F7B"/>
    <w:rsid w:val="0098556F"/>
    <w:rsid w:val="00997724"/>
    <w:rsid w:val="009C403D"/>
    <w:rsid w:val="00A247D8"/>
    <w:rsid w:val="00A27CF1"/>
    <w:rsid w:val="00A53529"/>
    <w:rsid w:val="00A81DA0"/>
    <w:rsid w:val="00A96DC6"/>
    <w:rsid w:val="00AC46FE"/>
    <w:rsid w:val="00AD42C8"/>
    <w:rsid w:val="00AD67B9"/>
    <w:rsid w:val="00B0384C"/>
    <w:rsid w:val="00B057C5"/>
    <w:rsid w:val="00B55F17"/>
    <w:rsid w:val="00B901E8"/>
    <w:rsid w:val="00BA5652"/>
    <w:rsid w:val="00C5717C"/>
    <w:rsid w:val="00C70FAA"/>
    <w:rsid w:val="00C87D8C"/>
    <w:rsid w:val="00C9685F"/>
    <w:rsid w:val="00CB2455"/>
    <w:rsid w:val="00CB40F7"/>
    <w:rsid w:val="00CF0757"/>
    <w:rsid w:val="00CF363E"/>
    <w:rsid w:val="00D170F8"/>
    <w:rsid w:val="00D8579F"/>
    <w:rsid w:val="00E250E2"/>
    <w:rsid w:val="00E54D81"/>
    <w:rsid w:val="00E812C7"/>
    <w:rsid w:val="00F02E1C"/>
    <w:rsid w:val="00F3358A"/>
    <w:rsid w:val="00F90CED"/>
    <w:rsid w:val="00FF68E0"/>
    <w:rsid w:val="07693436"/>
    <w:rsid w:val="07F7480A"/>
    <w:rsid w:val="0F7E06E2"/>
    <w:rsid w:val="12A26B0F"/>
    <w:rsid w:val="14B115FA"/>
    <w:rsid w:val="15A61C02"/>
    <w:rsid w:val="18994999"/>
    <w:rsid w:val="1AB33F16"/>
    <w:rsid w:val="26771691"/>
    <w:rsid w:val="2A8A51AA"/>
    <w:rsid w:val="2EA3313C"/>
    <w:rsid w:val="368A74A4"/>
    <w:rsid w:val="41C85790"/>
    <w:rsid w:val="57A2091E"/>
    <w:rsid w:val="6C0721CD"/>
    <w:rsid w:val="71932E83"/>
    <w:rsid w:val="71F967F2"/>
    <w:rsid w:val="748F73A0"/>
    <w:rsid w:val="796208B3"/>
    <w:rsid w:val="7F3BCA5C"/>
    <w:rsid w:val="BFDE2420"/>
    <w:rsid w:val="CFDB25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8" w:lineRule="auto"/>
    </w:pPr>
    <w:rPr>
      <w:rFonts w:ascii="Calibri" w:hAnsi="Calibri" w:eastAsia="宋体"/>
      <w:b/>
      <w:kern w:val="44"/>
      <w:sz w:val="44"/>
    </w:rPr>
  </w:style>
  <w:style w:type="paragraph" w:styleId="3">
    <w:name w:val="Body Text"/>
    <w:basedOn w:val="1"/>
    <w:next w:val="1"/>
    <w:qFormat/>
    <w:uiPriority w:val="0"/>
    <w:pPr>
      <w:jc w:val="center"/>
    </w:pPr>
    <w:rPr>
      <w:rFonts w:ascii="宋体"/>
      <w:sz w:val="44"/>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135</Words>
  <Characters>775</Characters>
  <Lines>6</Lines>
  <Paragraphs>1</Paragraphs>
  <TotalTime>11</TotalTime>
  <ScaleCrop>false</ScaleCrop>
  <LinksUpToDate>false</LinksUpToDate>
  <CharactersWithSpaces>909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2020-06-11T08:08:00Z</dcterms:created>
  <dc:creator>D</dc:creator>
  <cp:lastModifiedBy>xiaohan</cp:lastModifiedBy>
  <cp:lastPrinted>2021-12-06T22:53:00Z</cp:lastPrinted>
  <dcterms:modified xsi:type="dcterms:W3CDTF">2021-12-06T15:06:37Z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81CACB7C60414034961FEE529780938C</vt:lpwstr>
  </property>
</Properties>
</file>