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eastAsia="zh-CN"/>
        </w:rPr>
      </w:pPr>
      <w:r>
        <w:drawing>
          <wp:anchor distT="0" distB="0" distL="114300" distR="114300" simplePos="0" relativeHeight="251659264" behindDoc="0" locked="0" layoutInCell="1" allowOverlap="1">
            <wp:simplePos x="0" y="0"/>
            <wp:positionH relativeFrom="column">
              <wp:posOffset>-1160780</wp:posOffset>
            </wp:positionH>
            <wp:positionV relativeFrom="paragraph">
              <wp:posOffset>-904240</wp:posOffset>
            </wp:positionV>
            <wp:extent cx="7919085" cy="1765935"/>
            <wp:effectExtent l="0" t="0" r="5715" b="571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7919085" cy="1765935"/>
                    </a:xfrm>
                    <a:prstGeom prst="rect">
                      <a:avLst/>
                    </a:prstGeom>
                    <a:noFill/>
                    <a:ln w="9525">
                      <a:noFill/>
                    </a:ln>
                  </pic:spPr>
                </pic:pic>
              </a:graphicData>
            </a:graphic>
          </wp:anchor>
        </w:drawing>
      </w:r>
    </w:p>
    <w:p>
      <w:pPr>
        <w:jc w:val="center"/>
        <w:rPr>
          <w:rFonts w:hint="eastAsia" w:ascii="方正小标宋简体" w:hAnsi="方正小标宋简体" w:eastAsia="方正小标宋简体" w:cs="方正小标宋简体"/>
          <w:sz w:val="44"/>
          <w:szCs w:val="44"/>
          <w:lang w:eastAsia="zh-CN"/>
        </w:rPr>
      </w:pP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福田区政务服务数据管理局关于福田区</w:t>
      </w: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第七届人大第七次会议第202</w:t>
      </w:r>
      <w:r>
        <w:rPr>
          <w:rFonts w:hint="eastAsia" w:ascii="方正小标宋简体" w:hAnsi="方正小标宋简体" w:eastAsia="方正小标宋简体" w:cs="方正小标宋简体"/>
          <w:sz w:val="44"/>
          <w:szCs w:val="44"/>
          <w:lang w:val="en-US" w:eastAsia="zh-CN"/>
        </w:rPr>
        <w:t>1</w:t>
      </w:r>
      <w:r>
        <w:rPr>
          <w:rFonts w:hint="eastAsia" w:ascii="方正小标宋简体" w:hAnsi="方正小标宋简体" w:eastAsia="方正小标宋简体" w:cs="方正小标宋简体"/>
          <w:sz w:val="44"/>
          <w:szCs w:val="44"/>
          <w:lang w:eastAsia="zh-CN"/>
        </w:rPr>
        <w:t>01</w:t>
      </w:r>
      <w:r>
        <w:rPr>
          <w:rFonts w:hint="eastAsia" w:ascii="方正小标宋简体" w:hAnsi="方正小标宋简体" w:eastAsia="方正小标宋简体" w:cs="方正小标宋简体"/>
          <w:sz w:val="44"/>
          <w:szCs w:val="44"/>
          <w:lang w:val="en-US" w:eastAsia="zh-CN"/>
        </w:rPr>
        <w:t>23</w:t>
      </w:r>
      <w:r>
        <w:rPr>
          <w:rFonts w:hint="eastAsia" w:ascii="方正小标宋简体" w:hAnsi="方正小标宋简体" w:eastAsia="方正小标宋简体" w:cs="方正小标宋简体"/>
          <w:sz w:val="44"/>
          <w:szCs w:val="44"/>
          <w:lang w:eastAsia="zh-CN"/>
        </w:rPr>
        <w:t>号建议的会办意见</w:t>
      </w:r>
    </w:p>
    <w:p>
      <w:pPr>
        <w:jc w:val="both"/>
        <w:rPr>
          <w:rFonts w:hint="eastAsia" w:ascii="仿宋_GB2312" w:hAnsi="仿宋_GB2312" w:eastAsia="仿宋_GB2312" w:cs="仿宋_GB2312"/>
          <w:sz w:val="32"/>
          <w:szCs w:val="32"/>
          <w:lang w:eastAsia="zh-CN"/>
        </w:rPr>
      </w:pP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深圳市公安局福田分局：</w:t>
      </w:r>
    </w:p>
    <w:p>
      <w:pPr>
        <w:keepNext w:val="0"/>
        <w:keepLines w:val="0"/>
        <w:pageBreakBefore w:val="0"/>
        <w:widowControl w:val="0"/>
        <w:tabs>
          <w:tab w:val="center" w:pos="4422"/>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贵单位主办的“</w:t>
      </w:r>
      <w:r>
        <w:rPr>
          <w:rFonts w:hint="eastAsia" w:ascii="仿宋_GB2312" w:hAnsi="仿宋_GB2312" w:eastAsia="仿宋_GB2312" w:cs="仿宋_GB2312"/>
          <w:sz w:val="32"/>
          <w:szCs w:val="32"/>
        </w:rPr>
        <w:t>关于规范人脸识别数据管理的建议</w:t>
      </w:r>
      <w:r>
        <w:rPr>
          <w:rFonts w:hint="eastAsia" w:ascii="仿宋_GB2312" w:hAnsi="仿宋_GB2312" w:eastAsia="仿宋_GB2312" w:cs="仿宋_GB2312"/>
          <w:color w:val="000000"/>
          <w:sz w:val="32"/>
          <w:szCs w:val="32"/>
          <w:lang w:eastAsia="zh-CN"/>
        </w:rPr>
        <w:t>”（第202</w:t>
      </w:r>
      <w:r>
        <w:rPr>
          <w:rFonts w:hint="eastAsia" w:ascii="仿宋_GB2312" w:hAnsi="仿宋_GB2312" w:eastAsia="仿宋_GB2312" w:cs="仿宋_GB2312"/>
          <w:color w:val="000000"/>
          <w:sz w:val="32"/>
          <w:szCs w:val="32"/>
          <w:lang w:val="en-US" w:eastAsia="zh-CN"/>
        </w:rPr>
        <w:t>10123</w:t>
      </w:r>
      <w:r>
        <w:rPr>
          <w:rFonts w:hint="eastAsia" w:ascii="仿宋_GB2312" w:hAnsi="仿宋_GB2312" w:eastAsia="仿宋_GB2312" w:cs="仿宋_GB2312"/>
          <w:color w:val="000000"/>
          <w:sz w:val="32"/>
          <w:szCs w:val="32"/>
          <w:lang w:eastAsia="zh-CN"/>
        </w:rPr>
        <w:t>号）已收悉。</w:t>
      </w:r>
      <w:r>
        <w:rPr>
          <w:rFonts w:ascii="仿宋" w:hAnsi="仿宋" w:eastAsia="仿宋" w:cs="仿宋"/>
          <w:color w:val="000000"/>
          <w:sz w:val="31"/>
          <w:szCs w:val="31"/>
        </w:rPr>
        <w:t>针对个人生物特征等个人信息和重要数据的管理和使用，</w:t>
      </w:r>
      <w:r>
        <w:rPr>
          <w:rFonts w:hint="eastAsia" w:ascii="仿宋_GB2312" w:hAnsi="仿宋_GB2312" w:eastAsia="仿宋_GB2312" w:cs="仿宋_GB2312"/>
          <w:color w:val="000000"/>
          <w:sz w:val="32"/>
          <w:szCs w:val="32"/>
          <w:lang w:val="zh-CN" w:eastAsia="zh-CN"/>
        </w:rPr>
        <w:t>我局将会办情况</w:t>
      </w:r>
      <w:r>
        <w:rPr>
          <w:rFonts w:hint="eastAsia" w:ascii="仿宋_GB2312" w:hAnsi="仿宋_GB2312" w:eastAsia="仿宋_GB2312" w:cs="仿宋_GB2312"/>
          <w:color w:val="000000"/>
          <w:sz w:val="32"/>
          <w:szCs w:val="32"/>
          <w:lang w:val="en-US" w:eastAsia="zh-CN"/>
        </w:rPr>
        <w:t>答复如下：</w:t>
      </w:r>
    </w:p>
    <w:p>
      <w:pPr>
        <w:keepNext w:val="0"/>
        <w:keepLines w:val="0"/>
        <w:pageBreakBefore w:val="0"/>
        <w:widowControl w:val="0"/>
        <w:tabs>
          <w:tab w:val="center" w:pos="4422"/>
        </w:tabs>
        <w:kinsoku/>
        <w:wordWrap/>
        <w:overflowPunct/>
        <w:topLinePunct w:val="0"/>
        <w:autoSpaceDE/>
        <w:autoSpaceDN/>
        <w:bidi w:val="0"/>
        <w:adjustRightInd/>
        <w:snapToGrid/>
        <w:spacing w:line="560" w:lineRule="exact"/>
        <w:ind w:left="0" w:leftChars="0" w:right="0" w:rightChars="0" w:firstLine="620" w:firstLineChars="200"/>
        <w:jc w:val="both"/>
        <w:textAlignment w:val="auto"/>
        <w:outlineLvl w:val="9"/>
        <w:rPr>
          <w:rFonts w:ascii="仿宋" w:hAnsi="仿宋" w:eastAsia="仿宋" w:cs="仿宋"/>
          <w:color w:val="000000"/>
          <w:sz w:val="31"/>
          <w:szCs w:val="31"/>
        </w:rPr>
      </w:pPr>
      <w:r>
        <w:rPr>
          <w:rFonts w:ascii="仿宋" w:hAnsi="仿宋" w:eastAsia="仿宋" w:cs="仿宋"/>
          <w:color w:val="000000"/>
          <w:sz w:val="31"/>
          <w:szCs w:val="31"/>
        </w:rPr>
        <w:t>要求数据采集和管理单位按照《信息安全技术个人信息安全规范》从组织管理、制度建设、人员管理、技术保障、规范操作等方面落实个人信息保护工作，同时将此项工作纳入各单位信息安全绩效考核，确实保障人脸识别等个人信息数据的安全。</w:t>
      </w:r>
      <w:r>
        <w:rPr>
          <w:rFonts w:hint="eastAsia" w:ascii="仿宋" w:hAnsi="仿宋" w:eastAsia="仿宋" w:cs="仿宋"/>
          <w:b/>
          <w:bCs/>
          <w:color w:val="000000"/>
          <w:sz w:val="31"/>
          <w:szCs w:val="31"/>
          <w:lang w:eastAsia="zh-CN"/>
        </w:rPr>
        <w:t>一是</w:t>
      </w:r>
      <w:r>
        <w:rPr>
          <w:rFonts w:ascii="仿宋" w:hAnsi="仿宋" w:eastAsia="仿宋" w:cs="仿宋"/>
          <w:color w:val="000000"/>
          <w:sz w:val="31"/>
          <w:szCs w:val="31"/>
        </w:rPr>
        <w:t>积极配合公安部门做好人脸识别数据的安全保障</w:t>
      </w:r>
      <w:r>
        <w:rPr>
          <w:rFonts w:hint="eastAsia" w:ascii="仿宋" w:hAnsi="仿宋" w:eastAsia="仿宋" w:cs="仿宋"/>
          <w:color w:val="000000"/>
          <w:sz w:val="31"/>
          <w:szCs w:val="31"/>
          <w:lang w:eastAsia="zh-CN"/>
        </w:rPr>
        <w:t>。</w:t>
      </w:r>
      <w:r>
        <w:rPr>
          <w:rFonts w:ascii="仿宋" w:hAnsi="仿宋" w:eastAsia="仿宋" w:cs="仿宋"/>
          <w:b/>
          <w:bCs/>
          <w:color w:val="000000"/>
          <w:sz w:val="31"/>
          <w:szCs w:val="31"/>
        </w:rPr>
        <w:t>二是</w:t>
      </w:r>
      <w:r>
        <w:rPr>
          <w:rFonts w:ascii="仿宋" w:hAnsi="仿宋" w:eastAsia="仿宋" w:cs="仿宋"/>
          <w:color w:val="000000"/>
          <w:sz w:val="31"/>
          <w:szCs w:val="31"/>
        </w:rPr>
        <w:t>在区政府部门之间开展政务数据共享过程中。针对个人隐私信息和企业敏感信息，建立公共数据安全和个人信息保护制度，健全数据保护技术机制，遵循“按需使用”原则，并制定专门的技术规范，严格控制使用权限和展示方式，避免隐私数据泄露。</w:t>
      </w:r>
      <w:r>
        <w:rPr>
          <w:rFonts w:ascii="仿宋" w:hAnsi="仿宋" w:eastAsia="仿宋" w:cs="仿宋"/>
          <w:b/>
          <w:bCs/>
          <w:color w:val="000000"/>
          <w:sz w:val="31"/>
          <w:szCs w:val="31"/>
        </w:rPr>
        <w:t>三是</w:t>
      </w:r>
      <w:r>
        <w:rPr>
          <w:rFonts w:ascii="仿宋" w:hAnsi="仿宋" w:eastAsia="仿宋" w:cs="仿宋"/>
          <w:color w:val="000000"/>
          <w:sz w:val="31"/>
          <w:szCs w:val="31"/>
        </w:rPr>
        <w:t>对涉及人脸识别功能使用的互联网政务服务系统，推行使用广东省统一身份验证平台，杜绝越权采集和识别验证，做到合法合规进行身份识别验证。今后将把相关工作纳入信息安全检查范围和应用系统安全风险漏洞检查范围，对不合规进行生物特征采集识别行为进行强制整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我局将积极配合贵局落实人脸识别数据管理工作：一是对于我区数据中心汇聚的各类人脸识别数据，将严格按照人脸识别数据管理办法、标准进行规范；二是我局在统筹全区信息化建设过程中，会严格把关人脸识别技术的应用场景；三是对于我区正在筹划组织建设的视频共享平台，将主动与公安分局沟通、吸取建议，按要求做好各类智能视频应用的监管工作。</w:t>
      </w: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专此答复。</w:t>
      </w: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640" w:firstLineChars="2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（联系人：张雅滋，</w:t>
      </w:r>
      <w:r>
        <w:rPr>
          <w:rFonts w:ascii="仿宋_GB2312" w:eastAsia="仿宋_GB2312"/>
          <w:sz w:val="32"/>
          <w:szCs w:val="32"/>
        </w:rPr>
        <w:t>82723305</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640" w:firstLineChars="200"/>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640" w:firstLineChars="200"/>
        <w:textAlignment w:val="auto"/>
        <w:outlineLvl w:val="9"/>
        <w:rPr>
          <w:rFonts w:hint="eastAsia" w:ascii="仿宋_GB2312" w:eastAsia="仿宋_GB2312"/>
          <w:sz w:val="32"/>
          <w:szCs w:val="32"/>
        </w:rPr>
      </w:pPr>
    </w:p>
    <w:p>
      <w:pPr>
        <w:spacing w:line="560" w:lineRule="exact"/>
        <w:ind w:firstLine="4160" w:firstLineChars="1300"/>
        <w:rPr>
          <w:rFonts w:ascii="仿宋_GB2312" w:eastAsia="仿宋_GB2312"/>
          <w:sz w:val="32"/>
          <w:szCs w:val="32"/>
        </w:rPr>
      </w:pPr>
      <w:r>
        <w:rPr>
          <w:rFonts w:hint="eastAsia" w:ascii="仿宋_GB2312" w:eastAsia="仿宋_GB2312"/>
          <w:sz w:val="32"/>
          <w:szCs w:val="32"/>
        </w:rPr>
        <w:t>福田区政务服务数据管理局</w:t>
      </w: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5120" w:firstLineChars="1600"/>
        <w:textAlignment w:val="auto"/>
        <w:outlineLvl w:val="9"/>
        <w:rPr>
          <w:rFonts w:hint="eastAsia" w:ascii="仿宋_GB2312" w:eastAsia="仿宋_GB2312"/>
          <w:sz w:val="32"/>
          <w:szCs w:val="32"/>
          <w:lang w:eastAsia="zh-CN"/>
        </w:rPr>
      </w:pPr>
      <w:bookmarkStart w:id="0" w:name="_GoBack"/>
      <w:bookmarkEnd w:id="0"/>
      <w:r>
        <w:rPr>
          <w:rFonts w:ascii="仿宋_GB2312" w:eastAsia="仿宋_GB2312"/>
          <w:sz w:val="32"/>
          <w:szCs w:val="32"/>
        </w:rPr>
        <w:t>2021</w:t>
      </w:r>
      <w:r>
        <w:rPr>
          <w:rFonts w:hint="eastAsia" w:ascii="仿宋_GB2312" w:eastAsia="仿宋_GB2312"/>
          <w:sz w:val="32"/>
          <w:szCs w:val="32"/>
        </w:rPr>
        <w:t>年4月1</w:t>
      </w:r>
      <w:r>
        <w:rPr>
          <w:rFonts w:ascii="仿宋_GB2312" w:eastAsia="仿宋_GB2312"/>
          <w:sz w:val="32"/>
          <w:szCs w:val="32"/>
        </w:rPr>
        <w:t>5</w:t>
      </w:r>
      <w:r>
        <w:rPr>
          <w:rFonts w:hint="eastAsia" w:ascii="仿宋_GB2312" w:eastAsia="仿宋_GB2312"/>
          <w:sz w:val="32"/>
          <w:szCs w:val="32"/>
        </w:rPr>
        <w:t>日</w:t>
      </w:r>
    </w:p>
    <w:p>
      <w:pPr>
        <w:ind w:firstLine="640"/>
        <w:jc w:val="center"/>
        <w:rPr>
          <w:rFonts w:hint="eastAsia" w:ascii="仿宋_GB2312" w:hAnsi="仿宋_GB2312" w:eastAsia="仿宋_GB2312" w:cs="仿宋_GB2312"/>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205C65"/>
    <w:rsid w:val="3C9B7455"/>
    <w:rsid w:val="43526AA4"/>
    <w:rsid w:val="72150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罗耿彪</cp:lastModifiedBy>
  <dcterms:modified xsi:type="dcterms:W3CDTF">2021-04-15T06:32:04Z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64B5F7BFDB17488FA725C3ED32CEE800</vt:lpwstr>
  </property>
</Properties>
</file>