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-1160780</wp:posOffset>
            </wp:positionH>
            <wp:positionV relativeFrom="paragraph">
              <wp:posOffset>-904240</wp:posOffset>
            </wp:positionV>
            <wp:extent cx="7919085" cy="1765935"/>
            <wp:effectExtent l="0" t="0" r="5715" b="571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19085" cy="1765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关于区政协提案第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20210057号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办理情况的函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合作区综合部：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区政协提案第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20210057号《以深港生物医药业互联互通为切入，引领粤港澳大湾区融合发展的建议》收悉。办理情况如下：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区政务服务数据管理局牵头，正在建设产业基础数据库，并将在此基础上，新建深港生物医药业专题库，可以与市场监管福田局的知识产权库数据进行关联，与信用数据进行关联，为深港生物医药业发展提供支撑。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福田区政务服务数据管理局</w:t>
      </w:r>
    </w:p>
    <w:p>
      <w:pPr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    2021年6月3日</w:t>
      </w:r>
    </w:p>
    <w:p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C7BEF"/>
    <w:rsid w:val="39205C65"/>
    <w:rsid w:val="3C9B7455"/>
    <w:rsid w:val="43526AA4"/>
    <w:rsid w:val="63C24F8B"/>
    <w:rsid w:val="6636630B"/>
    <w:rsid w:val="66790421"/>
    <w:rsid w:val="721509D0"/>
    <w:rsid w:val="73ED05E7"/>
    <w:rsid w:val="7FEA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Calibri" w:hAnsi="Calibri" w:eastAsia="宋体" w:cs="Calibri"/>
      <w:szCs w:val="21"/>
    </w:r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10">
    <w:name w:val="!正文"/>
    <w:basedOn w:val="1"/>
    <w:qFormat/>
    <w:uiPriority w:val="0"/>
    <w:pPr>
      <w:spacing w:line="360" w:lineRule="auto"/>
      <w:ind w:firstLine="200" w:firstLineChars="200"/>
    </w:pPr>
    <w:rPr>
      <w:rFonts w:ascii="Calibri" w:hAnsi="Calibri" w:eastAsia="宋体" w:cs="Times New Roman"/>
      <w:sz w:val="24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江淑妹</cp:lastModifiedBy>
  <dcterms:modified xsi:type="dcterms:W3CDTF">2021-06-03T01:37:04Z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64B5F7BFDB17488FA725C3ED32CEE800</vt:lpwstr>
  </property>
</Properties>
</file>