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20" w:lineRule="exact"/>
        <w:jc w:val="left"/>
        <w:rPr>
          <w:rFonts w:hint="eastAsia" w:ascii="宋体" w:hAnsi="宋体" w:eastAsia="宋体" w:cs="宋体"/>
          <w:sz w:val="32"/>
          <w:szCs w:val="32"/>
          <w:highlight w:val="none"/>
        </w:rPr>
      </w:pPr>
      <w:bookmarkStart w:id="0" w:name="_GoBack"/>
      <w:bookmarkEnd w:id="0"/>
      <w:r>
        <w:rPr>
          <w:rFonts w:hint="eastAsia" w:ascii="宋体" w:hAnsi="宋体" w:eastAsia="宋体" w:cs="宋体"/>
          <w:sz w:val="28"/>
          <w:szCs w:val="28"/>
          <w:highlight w:val="none"/>
        </w:rPr>
        <w:t>附件</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eastAsia="zh-CN"/>
        </w:rPr>
        <w:t>：</w:t>
      </w:r>
    </w:p>
    <w:p>
      <w:pPr>
        <w:snapToGrid w:val="0"/>
        <w:spacing w:beforeLines="0" w:afterLines="0" w:line="620" w:lineRule="exact"/>
        <w:jc w:val="center"/>
        <w:rPr>
          <w:rFonts w:hint="eastAsia" w:ascii="方正小标宋简体" w:hAnsi="方正小标宋简体" w:eastAsia="方正小标宋简体" w:cs="方正小标宋简体"/>
          <w:sz w:val="44"/>
          <w:szCs w:val="44"/>
          <w:highlight w:val="none"/>
        </w:rPr>
      </w:pPr>
    </w:p>
    <w:p>
      <w:pPr>
        <w:pageBreakBefore w:val="0"/>
        <w:numPr>
          <w:ilvl w:val="0"/>
          <w:numId w:val="0"/>
        </w:numPr>
        <w:kinsoku/>
        <w:wordWrap/>
        <w:overflowPunct/>
        <w:topLinePunct w:val="0"/>
        <w:bidi w:val="0"/>
        <w:snapToGrid w:val="0"/>
        <w:spacing w:beforeLines="0" w:afterLines="0" w:line="620" w:lineRule="exact"/>
        <w:ind w:firstLine="884" w:firstLineChars="200"/>
        <w:textAlignment w:val="auto"/>
        <w:rPr>
          <w:rFonts w:hint="eastAsia" w:ascii="黑体" w:hAnsi="黑体" w:eastAsia="黑体" w:cs="黑体"/>
          <w:color w:val="000000"/>
          <w:sz w:val="32"/>
          <w:szCs w:val="32"/>
          <w:highlight w:val="none"/>
        </w:rPr>
      </w:pPr>
      <w:r>
        <w:rPr>
          <w:rFonts w:hint="eastAsia" w:ascii="方正小标宋简体" w:hAnsi="方正小标宋简体" w:eastAsia="方正小标宋简体" w:cs="方正小标宋简体"/>
          <w:sz w:val="44"/>
          <w:szCs w:val="44"/>
          <w:highlight w:val="none"/>
        </w:rPr>
        <w:t>福田区2022年重点产业名录认定标准</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黑体" w:hAnsi="黑体" w:eastAsia="黑体" w:cs="黑体"/>
          <w:color w:val="000000"/>
          <w:sz w:val="32"/>
          <w:szCs w:val="32"/>
          <w:highlight w:val="none"/>
        </w:rPr>
      </w:pP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w:t>
      </w:r>
      <w:r>
        <w:rPr>
          <w:rFonts w:hint="eastAsia" w:ascii="黑体" w:hAnsi="黑体" w:eastAsia="黑体" w:cs="黑体"/>
          <w:color w:val="000000"/>
          <w:sz w:val="32"/>
          <w:szCs w:val="32"/>
          <w:highlight w:val="none"/>
          <w:lang w:eastAsia="zh-CN"/>
        </w:rPr>
        <w:t>福田区发展和改革</w:t>
      </w:r>
      <w:r>
        <w:rPr>
          <w:rFonts w:hint="eastAsia" w:ascii="黑体" w:hAnsi="黑体" w:eastAsia="黑体" w:cs="黑体"/>
          <w:color w:val="000000"/>
          <w:sz w:val="32"/>
          <w:szCs w:val="32"/>
          <w:highlight w:val="none"/>
        </w:rPr>
        <w:t>局</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一）</w:t>
      </w:r>
      <w:r>
        <w:rPr>
          <w:rFonts w:hint="eastAsia" w:ascii="楷体_GB2312" w:hAnsi="楷体_GB2312" w:eastAsia="楷体_GB2312" w:cs="楷体_GB2312"/>
          <w:color w:val="000000"/>
          <w:sz w:val="32"/>
          <w:szCs w:val="32"/>
          <w:highlight w:val="none"/>
        </w:rPr>
        <w:t>服务范围</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1.经认定的福田区总部企业（</w:t>
      </w:r>
      <w:r>
        <w:rPr>
          <w:rFonts w:hint="eastAsia" w:ascii="仿宋_GB2312" w:hAnsi="仿宋_GB2312" w:eastAsia="仿宋_GB2312" w:cs="仿宋_GB2312"/>
          <w:sz w:val="32"/>
          <w:szCs w:val="32"/>
          <w:highlight w:val="none"/>
          <w:lang w:eastAsia="zh-CN" w:bidi="ar"/>
        </w:rPr>
        <w:t>不含高端服务、</w:t>
      </w:r>
      <w:r>
        <w:rPr>
          <w:rFonts w:hint="eastAsia" w:ascii="仿宋_GB2312" w:hAnsi="仿宋_GB2312" w:eastAsia="仿宋_GB2312" w:cs="仿宋_GB2312"/>
          <w:sz w:val="32"/>
          <w:szCs w:val="32"/>
          <w:highlight w:val="none"/>
          <w:lang w:bidi="ar"/>
        </w:rPr>
        <w:t>金融、文化创意、物业建筑、科技创新、批发和零售、餐饮、住宿、制造</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房地产开发业、房地产租赁企业、房地产经纪机构、房地产估价机构等</w:t>
      </w:r>
      <w:r>
        <w:rPr>
          <w:rFonts w:hint="eastAsia" w:ascii="仿宋_GB2312" w:hAnsi="仿宋_GB2312" w:eastAsia="仿宋_GB2312" w:cs="仿宋_GB2312"/>
          <w:sz w:val="32"/>
          <w:szCs w:val="32"/>
          <w:highlight w:val="none"/>
          <w:lang w:eastAsia="zh-CN" w:bidi="ar"/>
        </w:rPr>
        <w:t>有明确行业主管</w:t>
      </w:r>
      <w:r>
        <w:rPr>
          <w:rFonts w:hint="eastAsia" w:ascii="仿宋_GB2312" w:hAnsi="仿宋_GB2312" w:eastAsia="仿宋_GB2312" w:cs="仿宋_GB2312"/>
          <w:sz w:val="32"/>
          <w:szCs w:val="32"/>
          <w:highlight w:val="none"/>
          <w:lang w:bidi="ar"/>
        </w:rPr>
        <w:t>部门</w:t>
      </w:r>
      <w:r>
        <w:rPr>
          <w:rFonts w:hint="eastAsia" w:ascii="仿宋_GB2312" w:hAnsi="仿宋_GB2312" w:eastAsia="仿宋_GB2312" w:cs="仿宋_GB2312"/>
          <w:sz w:val="32"/>
          <w:szCs w:val="32"/>
          <w:highlight w:val="none"/>
          <w:lang w:eastAsia="zh-CN" w:bidi="ar"/>
        </w:rPr>
        <w:t>的总部</w:t>
      </w:r>
      <w:r>
        <w:rPr>
          <w:rFonts w:hint="eastAsia" w:ascii="仿宋_GB2312" w:hAnsi="仿宋_GB2312" w:eastAsia="仿宋_GB2312" w:cs="仿宋_GB2312"/>
          <w:sz w:val="32"/>
          <w:szCs w:val="32"/>
          <w:highlight w:val="none"/>
          <w:lang w:bidi="ar"/>
        </w:rPr>
        <w:t xml:space="preserve">企业或机构）。 </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val="en-US" w:eastAsia="zh-CN" w:bidi="ar"/>
        </w:rPr>
        <w:t>2</w:t>
      </w:r>
      <w:r>
        <w:rPr>
          <w:rFonts w:hint="eastAsia" w:ascii="仿宋_GB2312" w:hAnsi="仿宋_GB2312" w:eastAsia="仿宋_GB2312" w:cs="仿宋_GB2312"/>
          <w:sz w:val="32"/>
          <w:szCs w:val="32"/>
          <w:highlight w:val="none"/>
          <w:lang w:bidi="ar"/>
        </w:rPr>
        <w:t>.能源产业。包括从事太阳能、先进储能、核能、风能、氢能、新型电力系统、电力供应、天然气、新能源汽车充换电等领域技术、装备的研发和生产的企业或机构；从事节能装备和技术产品的研发和生产企业或机构；提供合同能源管理、综合能源服务、节能低碳咨询、碳资产管理等服务的企业或机构。</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jc w:val="left"/>
        <w:textAlignment w:val="auto"/>
        <w:outlineLvl w:val="9"/>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1.分类标准（符合其中一项即可）</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（1）</w:t>
      </w:r>
      <w:r>
        <w:rPr>
          <w:rFonts w:hint="eastAsia" w:ascii="仿宋_GB2312" w:hAnsi="仿宋_GB2312" w:eastAsia="仿宋_GB2312" w:cs="仿宋_GB2312"/>
          <w:sz w:val="32"/>
          <w:szCs w:val="32"/>
          <w:highlight w:val="none"/>
          <w:lang w:eastAsia="zh-CN" w:bidi="ar"/>
        </w:rPr>
        <w:t>经</w:t>
      </w:r>
      <w:r>
        <w:rPr>
          <w:rFonts w:hint="eastAsia" w:ascii="仿宋_GB2312" w:hAnsi="仿宋_GB2312" w:eastAsia="仿宋_GB2312" w:cs="仿宋_GB2312"/>
          <w:sz w:val="32"/>
          <w:szCs w:val="32"/>
          <w:highlight w:val="none"/>
          <w:lang w:val="en-US" w:eastAsia="zh-CN" w:bidi="ar"/>
        </w:rPr>
        <w:t>认定的福田区总部企业；</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2</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2021年综合贡献100万元以上的</w:t>
      </w:r>
      <w:r>
        <w:rPr>
          <w:rFonts w:hint="eastAsia" w:ascii="仿宋_GB2312" w:hAnsi="仿宋_GB2312" w:eastAsia="仿宋_GB2312" w:cs="仿宋_GB2312"/>
          <w:sz w:val="32"/>
          <w:szCs w:val="32"/>
          <w:highlight w:val="none"/>
          <w:lang w:eastAsia="zh-CN" w:bidi="ar"/>
        </w:rPr>
        <w:t>能源</w:t>
      </w:r>
      <w:r>
        <w:rPr>
          <w:rFonts w:hint="eastAsia" w:ascii="仿宋_GB2312" w:hAnsi="仿宋_GB2312" w:eastAsia="仿宋_GB2312" w:cs="仿宋_GB2312"/>
          <w:color w:val="auto"/>
          <w:sz w:val="32"/>
          <w:szCs w:val="32"/>
          <w:highlight w:val="none"/>
          <w:lang w:eastAsia="zh-CN"/>
        </w:rPr>
        <w:t>产业</w:t>
      </w:r>
      <w:r>
        <w:rPr>
          <w:rFonts w:hint="eastAsia" w:ascii="仿宋_GB2312" w:hAnsi="仿宋_GB2312" w:eastAsia="仿宋_GB2312" w:cs="仿宋_GB2312"/>
          <w:sz w:val="32"/>
          <w:szCs w:val="32"/>
          <w:highlight w:val="none"/>
          <w:lang w:val="en-US" w:eastAsia="zh-CN" w:bidi="ar"/>
        </w:rPr>
        <w:t>企业。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2.申报资格条件</w:t>
      </w:r>
    </w:p>
    <w:p>
      <w:pPr>
        <w:adjustRightInd w:val="0"/>
        <w:snapToGrid w:val="0"/>
        <w:spacing w:beforeLines="0" w:afterLines="0" w:line="620" w:lineRule="exact"/>
        <w:ind w:firstLine="644" w:firstLineChars="200"/>
        <w:outlineLvl w:val="9"/>
        <w:rPr>
          <w:rFonts w:hint="eastAsia" w:ascii="楷体" w:hAnsi="楷体" w:eastAsia="楷体" w:cs="楷体"/>
          <w:sz w:val="32"/>
          <w:szCs w:val="32"/>
          <w:highlight w:val="none"/>
        </w:rPr>
      </w:pPr>
      <w:r>
        <w:rPr>
          <w:rFonts w:hint="eastAsia" w:ascii="仿宋_GB2312" w:hAnsi="仿宋_GB2312" w:eastAsia="仿宋_GB2312" w:cs="仿宋_GB2312"/>
          <w:color w:val="auto"/>
          <w:sz w:val="32"/>
          <w:szCs w:val="32"/>
          <w:highlight w:val="none"/>
        </w:rPr>
        <w:t>工商注册、税务登记和统计关系均在福田。</w:t>
      </w:r>
    </w:p>
    <w:p>
      <w:pPr>
        <w:autoSpaceDE w:val="0"/>
        <w:autoSpaceDN w:val="0"/>
        <w:adjustRightInd w:val="0"/>
        <w:snapToGrid w:val="0"/>
        <w:spacing w:beforeLines="0" w:afterLines="0" w:line="620" w:lineRule="exact"/>
        <w:ind w:firstLine="644"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lang w:eastAsia="zh-CN"/>
        </w:rPr>
        <w:t>科技和创新</w:t>
      </w:r>
      <w:r>
        <w:rPr>
          <w:rFonts w:hint="eastAsia" w:ascii="黑体" w:hAnsi="黑体" w:eastAsia="黑体" w:cs="黑体"/>
          <w:sz w:val="32"/>
          <w:szCs w:val="32"/>
          <w:highlight w:val="none"/>
        </w:rPr>
        <w:t>局</w:t>
      </w:r>
    </w:p>
    <w:p>
      <w:pPr>
        <w:pageBreakBefore w:val="0"/>
        <w:kinsoku/>
        <w:wordWrap/>
        <w:overflowPunct/>
        <w:topLinePunct w:val="0"/>
        <w:bidi w:val="0"/>
        <w:snapToGrid w:val="0"/>
        <w:spacing w:beforeLines="0" w:afterLines="0" w:line="620" w:lineRule="exact"/>
        <w:ind w:firstLine="644"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rPr>
        <w:t>服务范围</w:t>
      </w:r>
    </w:p>
    <w:p>
      <w:pPr>
        <w:pageBreakBefore w:val="0"/>
        <w:kinsoku/>
        <w:wordWrap/>
        <w:overflowPunct/>
        <w:topLinePunct w:val="0"/>
        <w:bidi w:val="0"/>
        <w:snapToGrid w:val="0"/>
        <w:spacing w:beforeLines="0" w:afterLines="0" w:line="620" w:lineRule="exact"/>
        <w:ind w:firstLine="644" w:firstLineChars="20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高新技术企业、研发机构、创新创业平台、高层次人才团队、专利代理机构、重点引进企业及机构</w:t>
      </w:r>
      <w:r>
        <w:rPr>
          <w:rFonts w:hint="eastAsia" w:ascii="仿宋_GB2312" w:eastAsia="仿宋_GB2312" w:cs="Times New Roman"/>
          <w:color w:val="auto"/>
          <w:sz w:val="32"/>
          <w:szCs w:val="32"/>
          <w:highlight w:val="none"/>
          <w:lang w:eastAsia="zh-CN"/>
        </w:rPr>
        <w:t>。</w:t>
      </w:r>
    </w:p>
    <w:p>
      <w:pPr>
        <w:pageBreakBefore w:val="0"/>
        <w:kinsoku/>
        <w:wordWrap/>
        <w:overflowPunct/>
        <w:topLinePunct w:val="0"/>
        <w:bidi w:val="0"/>
        <w:snapToGrid w:val="0"/>
        <w:spacing w:beforeLines="0" w:afterLines="0" w:line="620" w:lineRule="exact"/>
        <w:ind w:firstLine="644"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1.分类标准（符合其中一项即可）</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（1）</w:t>
      </w:r>
      <w:r>
        <w:rPr>
          <w:rFonts w:hint="eastAsia" w:ascii="仿宋_GB2312" w:eastAsia="仿宋_GB2312" w:cs="Times New Roman"/>
          <w:color w:val="auto"/>
          <w:sz w:val="32"/>
          <w:szCs w:val="32"/>
          <w:highlight w:val="none"/>
          <w:lang w:val="en-US" w:eastAsia="zh-CN"/>
        </w:rPr>
        <w:t>2021</w:t>
      </w:r>
      <w:r>
        <w:rPr>
          <w:rFonts w:hint="eastAsia" w:ascii="仿宋_GB2312" w:eastAsia="仿宋_GB2312" w:cs="Times New Roman"/>
          <w:color w:val="auto"/>
          <w:sz w:val="32"/>
          <w:szCs w:val="32"/>
          <w:highlight w:val="none"/>
        </w:rPr>
        <w:t>年度纳税200万元以上国家级高新技术企业；</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（2）</w:t>
      </w:r>
      <w:r>
        <w:rPr>
          <w:rFonts w:hint="eastAsia" w:ascii="仿宋_GB2312" w:eastAsia="仿宋_GB2312" w:cs="Times New Roman"/>
          <w:color w:val="auto"/>
          <w:sz w:val="32"/>
          <w:szCs w:val="32"/>
          <w:highlight w:val="none"/>
          <w:lang w:eastAsia="zh-CN"/>
        </w:rPr>
        <w:t>2020</w:t>
      </w:r>
      <w:r>
        <w:rPr>
          <w:rFonts w:hint="eastAsia" w:ascii="仿宋_GB2312" w:eastAsia="仿宋_GB2312" w:cs="Times New Roman"/>
          <w:color w:val="auto"/>
          <w:sz w:val="32"/>
          <w:szCs w:val="32"/>
          <w:highlight w:val="none"/>
        </w:rPr>
        <w:t>年1月1日以来，拥有国家、省、市级新认定的重点实验室、工程中心、公共技术服务平台的科技型企业或研究机构；</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rPr>
        <w:t>）引进广东省“重大人才工程”团队、深圳市“高层次人才”团队的企业或机构；</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4</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2020</w:t>
      </w:r>
      <w:r>
        <w:rPr>
          <w:rFonts w:hint="eastAsia" w:ascii="仿宋_GB2312" w:eastAsia="仿宋_GB2312" w:cs="Times New Roman"/>
          <w:color w:val="auto"/>
          <w:sz w:val="32"/>
          <w:szCs w:val="32"/>
          <w:highlight w:val="none"/>
        </w:rPr>
        <w:t>年1月1日以来，深圳市或福田区</w:t>
      </w:r>
      <w:r>
        <w:rPr>
          <w:rFonts w:hint="eastAsia" w:ascii="仿宋_GB2312" w:eastAsia="仿宋_GB2312" w:cs="Times New Roman"/>
          <w:color w:val="auto"/>
          <w:sz w:val="32"/>
          <w:szCs w:val="32"/>
          <w:highlight w:val="none"/>
          <w:lang w:eastAsia="zh-CN"/>
        </w:rPr>
        <w:t>新迁入或新注册</w:t>
      </w:r>
      <w:r>
        <w:rPr>
          <w:rFonts w:hint="eastAsia" w:ascii="仿宋_GB2312" w:eastAsia="仿宋_GB2312" w:cs="Times New Roman"/>
          <w:color w:val="auto"/>
          <w:sz w:val="32"/>
          <w:szCs w:val="32"/>
          <w:highlight w:val="none"/>
        </w:rPr>
        <w:t>的高新技术企业、科技成果转化平台或研究类机构;</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5</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年规模以上科学研究和技术服务业营业收入排名前50的企业；</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6</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年规模以上互联网和相关服务、软件和信息技术服务业营业收入排名前</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rPr>
        <w:t>0的企业；</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7</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年科学研究和技术服务从业人员工资总额收入排名前</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rPr>
        <w:t>0的企业；</w:t>
      </w:r>
    </w:p>
    <w:p>
      <w:pPr>
        <w:pageBreakBefore w:val="0"/>
        <w:widowControl w:val="0"/>
        <w:kinsoku/>
        <w:wordWrap/>
        <w:overflowPunct/>
        <w:topLinePunct w:val="0"/>
        <w:bidi w:val="0"/>
        <w:adjustRightInd w:val="0"/>
        <w:snapToGrid w:val="0"/>
        <w:spacing w:before="0" w:beforeLines="0" w:after="0" w:afterLines="0" w:line="620" w:lineRule="exact"/>
        <w:ind w:firstLine="644" w:firstLineChars="200"/>
        <w:textAlignment w:val="auto"/>
        <w:rPr>
          <w:rFonts w:hint="eastAsia" w:ascii="仿宋_GB2312" w:eastAsia="仿宋_GB2312"/>
          <w:b/>
          <w:bCs/>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8</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年1月1日起，纳入我局固定资产投入</w:t>
      </w:r>
      <w:r>
        <w:rPr>
          <w:rFonts w:hint="eastAsia" w:ascii="仿宋_GB2312" w:eastAsia="仿宋_GB2312" w:cs="Times New Roman"/>
          <w:color w:val="auto"/>
          <w:sz w:val="32"/>
          <w:szCs w:val="32"/>
          <w:highlight w:val="none"/>
          <w:lang w:eastAsia="zh-CN"/>
        </w:rPr>
        <w:t>名录库</w:t>
      </w:r>
      <w:r>
        <w:rPr>
          <w:rFonts w:hint="eastAsia" w:ascii="仿宋_GB2312" w:eastAsia="仿宋_GB2312" w:cs="Times New Roman"/>
          <w:color w:val="auto"/>
          <w:sz w:val="32"/>
          <w:szCs w:val="32"/>
          <w:highlight w:val="none"/>
        </w:rPr>
        <w:t>的企业或科研机构。</w:t>
      </w:r>
    </w:p>
    <w:p>
      <w:pPr>
        <w:pageBreakBefore w:val="0"/>
        <w:widowControl w:val="0"/>
        <w:kinsoku/>
        <w:wordWrap/>
        <w:overflowPunct/>
        <w:topLinePunct w:val="0"/>
        <w:bidi w:val="0"/>
        <w:adjustRightInd w:val="0"/>
        <w:snapToGrid w:val="0"/>
        <w:spacing w:before="0" w:beforeLines="0" w:after="0" w:afterLines="0" w:line="620" w:lineRule="exact"/>
        <w:ind w:firstLine="644" w:firstLineChars="200"/>
        <w:textAlignment w:val="auto"/>
        <w:rPr>
          <w:rFonts w:hint="eastAsia" w:ascii="仿宋_GB2312" w:eastAsia="仿宋_GB2312" w:cs="宋体"/>
          <w:color w:val="auto"/>
          <w:sz w:val="32"/>
          <w:szCs w:val="32"/>
          <w:highlight w:val="none"/>
          <w:u w:val="none"/>
          <w:lang w:eastAsia="zh-CN"/>
        </w:rPr>
      </w:pPr>
      <w:r>
        <w:rPr>
          <w:rFonts w:hint="eastAsia" w:ascii="仿宋_GB2312" w:eastAsia="仿宋_GB2312"/>
          <w:b/>
          <w:bCs/>
          <w:color w:val="auto"/>
          <w:sz w:val="32"/>
          <w:szCs w:val="32"/>
          <w:highlight w:val="none"/>
        </w:rPr>
        <w:t>2.申报资格条件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工商注册、税务登记和统计关系均在福田。</w:t>
      </w:r>
    </w:p>
    <w:p>
      <w:pPr>
        <w:snapToGrid w:val="0"/>
        <w:spacing w:beforeLines="0" w:afterLines="0" w:line="620" w:lineRule="exact"/>
        <w:ind w:firstLine="644" w:firstLineChars="200"/>
        <w:rPr>
          <w:rFonts w:hint="eastAsia" w:ascii="仿宋_GB2312" w:eastAsia="仿宋_GB2312" w:cs="宋体"/>
          <w:sz w:val="32"/>
          <w:szCs w:val="32"/>
          <w:highlight w:val="none"/>
          <w:u w:val="none"/>
          <w:lang w:eastAsia="zh-CN"/>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lang w:eastAsia="zh-CN"/>
        </w:rPr>
        <w:t>工业和信息化</w:t>
      </w:r>
      <w:r>
        <w:rPr>
          <w:rFonts w:hint="eastAsia" w:ascii="黑体" w:hAnsi="黑体" w:eastAsia="黑体" w:cs="黑体"/>
          <w:sz w:val="32"/>
          <w:szCs w:val="32"/>
          <w:highlight w:val="none"/>
        </w:rPr>
        <w:t>局</w:t>
      </w:r>
    </w:p>
    <w:p>
      <w:pPr>
        <w:keepNext w:val="0"/>
        <w:keepLines w:val="0"/>
        <w:pageBreakBefore w:val="0"/>
        <w:kinsoku/>
        <w:wordWrap/>
        <w:overflowPunct/>
        <w:topLinePunct w:val="0"/>
        <w:autoSpaceDE/>
        <w:autoSpaceDN/>
        <w:bidi w:val="0"/>
        <w:adjustRightInd/>
        <w:snapToGrid w:val="0"/>
        <w:spacing w:beforeLines="0" w:afterLines="0" w:line="620" w:lineRule="exact"/>
        <w:ind w:right="0" w:rightChars="0" w:firstLine="644"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（一）服务范围</w:t>
      </w:r>
    </w:p>
    <w:p>
      <w:pPr>
        <w:keepNext w:val="0"/>
        <w:keepLines w:val="0"/>
        <w:pageBreakBefore w:val="0"/>
        <w:kinsoku/>
        <w:wordWrap/>
        <w:overflowPunct/>
        <w:topLinePunct w:val="0"/>
        <w:autoSpaceDE/>
        <w:autoSpaceDN/>
        <w:bidi w:val="0"/>
        <w:adjustRightInd/>
        <w:snapToGrid w:val="0"/>
        <w:spacing w:beforeLines="0" w:afterLines="0" w:line="620" w:lineRule="exact"/>
        <w:ind w:right="0" w:rightChars="0" w:firstLine="644"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rPr>
        <w:t>工业企业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福田区商业企业（批发业、零售业、餐饮业）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外贸企业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bidi="ar"/>
        </w:rPr>
        <w:t>租赁和商务服务业</w:t>
      </w:r>
      <w:r>
        <w:rPr>
          <w:rFonts w:hint="eastAsia" w:ascii="仿宋_GB2312" w:hAnsi="仿宋_GB2312" w:eastAsia="仿宋_GB2312" w:cs="仿宋_GB2312"/>
          <w:color w:val="auto"/>
          <w:sz w:val="32"/>
          <w:szCs w:val="32"/>
          <w:highlight w:val="none"/>
          <w:lang w:eastAsia="zh-CN" w:bidi="ar"/>
        </w:rPr>
        <w:t>企业；居民服务、修理和其他服务业企业。</w:t>
      </w:r>
    </w:p>
    <w:p>
      <w:pPr>
        <w:keepNext w:val="0"/>
        <w:keepLines w:val="0"/>
        <w:pageBreakBefore w:val="0"/>
        <w:kinsoku/>
        <w:wordWrap/>
        <w:overflowPunct/>
        <w:topLinePunct w:val="0"/>
        <w:autoSpaceDE/>
        <w:autoSpaceDN/>
        <w:bidi w:val="0"/>
        <w:adjustRightInd/>
        <w:snapToGrid w:val="0"/>
        <w:spacing w:beforeLines="0" w:afterLines="0" w:line="620" w:lineRule="exact"/>
        <w:ind w:right="0" w:rightChars="0" w:firstLine="644"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（二）认定标准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eastAsia="仿宋_GB2312" w:cs="宋体"/>
          <w:sz w:val="32"/>
          <w:szCs w:val="32"/>
          <w:highlight w:val="none"/>
          <w:u w:val="none"/>
          <w:lang w:eastAsia="zh-CN"/>
        </w:rPr>
      </w:pPr>
      <w:r>
        <w:rPr>
          <w:rFonts w:hint="eastAsia" w:ascii="仿宋_GB2312" w:hAnsi="仿宋_GB2312" w:eastAsia="仿宋_GB2312" w:cs="仿宋_GB2312"/>
          <w:b/>
          <w:bCs/>
          <w:color w:val="000000"/>
          <w:sz w:val="32"/>
          <w:szCs w:val="32"/>
          <w:highlight w:val="none"/>
        </w:rPr>
        <w:t>1.</w:t>
      </w:r>
      <w:r>
        <w:rPr>
          <w:rFonts w:hint="eastAsia" w:ascii="仿宋_GB2312" w:hAnsi="仿宋_GB2312" w:eastAsia="仿宋_GB2312" w:cs="仿宋_GB2312"/>
          <w:b/>
          <w:bCs/>
          <w:color w:val="000000"/>
          <w:sz w:val="32"/>
          <w:szCs w:val="32"/>
          <w:highlight w:val="none"/>
          <w:lang w:eastAsia="zh-CN"/>
        </w:rPr>
        <w:t>分类标准</w:t>
      </w:r>
      <w:r>
        <w:rPr>
          <w:rFonts w:hint="eastAsia" w:ascii="仿宋_GB2312" w:hAnsi="仿宋_GB2312" w:eastAsia="仿宋_GB2312" w:cs="仿宋_GB2312"/>
          <w:b/>
          <w:bCs/>
          <w:color w:val="000000"/>
          <w:sz w:val="32"/>
          <w:szCs w:val="32"/>
          <w:highlight w:val="none"/>
        </w:rPr>
        <w:t>（符合其中一项即可）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（1）</w:t>
      </w:r>
      <w:r>
        <w:rPr>
          <w:rFonts w:hint="eastAsia" w:ascii="仿宋_GB2312" w:eastAsia="仿宋_GB2312"/>
          <w:color w:val="auto"/>
          <w:sz w:val="32"/>
          <w:szCs w:val="32"/>
          <w:highlight w:val="none"/>
          <w:u w:val="none"/>
          <w:lang w:val="en-US" w:eastAsia="zh-CN"/>
        </w:rPr>
        <w:t>2021</w:t>
      </w:r>
      <w:r>
        <w:rPr>
          <w:rFonts w:hint="eastAsia" w:ascii="仿宋_GB2312" w:eastAsia="仿宋_GB2312"/>
          <w:color w:val="auto"/>
          <w:sz w:val="32"/>
          <w:szCs w:val="32"/>
          <w:highlight w:val="none"/>
          <w:u w:val="none"/>
        </w:rPr>
        <w:t>年工业总产值</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000万元</w:t>
      </w:r>
      <w:r>
        <w:rPr>
          <w:rFonts w:hint="eastAsia" w:ascii="仿宋_GB2312" w:eastAsia="仿宋_GB2312"/>
          <w:color w:val="auto"/>
          <w:sz w:val="32"/>
          <w:szCs w:val="32"/>
          <w:highlight w:val="none"/>
          <w:u w:val="none"/>
          <w:lang w:eastAsia="zh-CN"/>
        </w:rPr>
        <w:t>（含）以上</w:t>
      </w:r>
      <w:r>
        <w:rPr>
          <w:rFonts w:hint="eastAsia" w:ascii="仿宋_GB2312" w:eastAsia="仿宋_GB2312" w:cs="宋体"/>
          <w:color w:val="auto"/>
          <w:sz w:val="32"/>
          <w:szCs w:val="32"/>
          <w:highlight w:val="none"/>
          <w:u w:val="none"/>
          <w:lang w:eastAsia="zh-CN"/>
        </w:rPr>
        <w:t>的工业企业</w:t>
      </w:r>
      <w:r>
        <w:rPr>
          <w:rFonts w:hint="eastAsia" w:ascii="仿宋_GB2312"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（2）</w:t>
      </w:r>
      <w:r>
        <w:rPr>
          <w:rFonts w:hint="eastAsia" w:ascii="仿宋_GB2312" w:eastAsia="仿宋_GB2312" w:cs="Times New Roman"/>
          <w:color w:val="auto"/>
          <w:sz w:val="32"/>
          <w:szCs w:val="32"/>
          <w:highlight w:val="none"/>
          <w:u w:val="none"/>
          <w:lang w:val="en-US" w:eastAsia="zh-CN"/>
        </w:rPr>
        <w:t>2021</w:t>
      </w:r>
      <w:r>
        <w:rPr>
          <w:rFonts w:hint="eastAsia" w:ascii="仿宋_GB2312" w:eastAsia="仿宋_GB2312"/>
          <w:color w:val="auto"/>
          <w:sz w:val="32"/>
          <w:szCs w:val="32"/>
          <w:highlight w:val="none"/>
          <w:u w:val="none"/>
        </w:rPr>
        <w:t>年进出口额</w:t>
      </w:r>
      <w:r>
        <w:rPr>
          <w:rFonts w:hint="eastAsia" w:ascii="仿宋_GB2312" w:eastAsia="仿宋_GB2312"/>
          <w:color w:val="auto"/>
          <w:sz w:val="32"/>
          <w:szCs w:val="32"/>
          <w:highlight w:val="none"/>
          <w:u w:val="none"/>
          <w:lang w:val="en-US" w:eastAsia="zh-CN"/>
        </w:rPr>
        <w:t>3亿元（含）</w:t>
      </w:r>
      <w:r>
        <w:rPr>
          <w:rFonts w:hint="eastAsia" w:ascii="仿宋_GB2312" w:eastAsia="仿宋_GB2312"/>
          <w:color w:val="auto"/>
          <w:sz w:val="32"/>
          <w:szCs w:val="32"/>
          <w:highlight w:val="none"/>
          <w:u w:val="none"/>
        </w:rPr>
        <w:t>以上</w:t>
      </w:r>
      <w:r>
        <w:rPr>
          <w:rFonts w:hint="eastAsia" w:ascii="仿宋_GB2312" w:eastAsia="仿宋_GB2312"/>
          <w:color w:val="auto"/>
          <w:sz w:val="32"/>
          <w:szCs w:val="32"/>
          <w:highlight w:val="none"/>
          <w:u w:val="none"/>
          <w:lang w:eastAsia="zh-CN"/>
        </w:rPr>
        <w:t>的</w:t>
      </w:r>
      <w:r>
        <w:rPr>
          <w:rFonts w:hint="eastAsia" w:ascii="仿宋_GB2312" w:eastAsia="仿宋_GB2312"/>
          <w:color w:val="auto"/>
          <w:sz w:val="32"/>
          <w:szCs w:val="32"/>
          <w:highlight w:val="none"/>
          <w:u w:val="none"/>
        </w:rPr>
        <w:t>外贸企业</w:t>
      </w:r>
      <w:r>
        <w:rPr>
          <w:rFonts w:hint="eastAsia" w:ascii="仿宋_GB2312" w:eastAsia="仿宋_GB2312"/>
          <w:color w:val="auto"/>
          <w:sz w:val="32"/>
          <w:szCs w:val="32"/>
          <w:highlight w:val="none"/>
          <w:u w:val="none"/>
          <w:lang w:eastAsia="zh-CN"/>
        </w:rPr>
        <w:t>，进出口数据来源自海关或单一窗口；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（3）</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年销售额</w:t>
      </w:r>
      <w:r>
        <w:rPr>
          <w:rFonts w:hint="eastAsia" w:ascii="仿宋_GB2312" w:eastAsia="仿宋_GB2312"/>
          <w:color w:val="auto"/>
          <w:sz w:val="32"/>
          <w:szCs w:val="32"/>
          <w:highlight w:val="none"/>
          <w:u w:val="none"/>
          <w:lang w:val="en-US" w:eastAsia="zh-CN"/>
        </w:rPr>
        <w:t>1亿元</w:t>
      </w:r>
      <w:r>
        <w:rPr>
          <w:rFonts w:hint="eastAsia" w:ascii="仿宋_GB2312" w:eastAsia="仿宋_GB2312"/>
          <w:color w:val="auto"/>
          <w:sz w:val="32"/>
          <w:szCs w:val="32"/>
          <w:highlight w:val="none"/>
          <w:u w:val="none"/>
        </w:rPr>
        <w:t>（含）以上的零售企业</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（4）</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年销售额</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rPr>
        <w:t>亿元（含）以上的批发企业</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（5）</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年营业额</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000万（含）以上的餐饮企业</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s="Times New Roman"/>
          <w:b w:val="0"/>
          <w:bCs w:val="0"/>
          <w:color w:val="auto"/>
          <w:sz w:val="32"/>
          <w:szCs w:val="32"/>
          <w:highlight w:val="none"/>
          <w:u w:val="none"/>
          <w:lang w:val="en-US" w:eastAsia="zh-CN"/>
        </w:rPr>
        <w:t>（6）</w:t>
      </w:r>
      <w:r>
        <w:rPr>
          <w:rFonts w:hint="eastAsia" w:ascii="仿宋_GB2312" w:eastAsia="仿宋_GB2312"/>
          <w:color w:val="auto"/>
          <w:sz w:val="32"/>
          <w:szCs w:val="32"/>
          <w:highlight w:val="none"/>
          <w:u w:val="none"/>
          <w:lang w:val="en-US" w:eastAsia="zh-CN"/>
        </w:rPr>
        <w:t>2021年工业设计服务营业收入2000万元以上的工业设计企业；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Times New Roman"/>
          <w:b w:val="0"/>
          <w:bCs w:val="0"/>
          <w:color w:val="auto"/>
          <w:sz w:val="32"/>
          <w:szCs w:val="32"/>
          <w:highlight w:val="none"/>
          <w:u w:val="none"/>
          <w:lang w:val="en-US" w:eastAsia="zh-CN"/>
        </w:rPr>
        <w:t>（7）</w:t>
      </w:r>
      <w:r>
        <w:rPr>
          <w:rFonts w:hint="eastAsia" w:ascii="仿宋_GB2312" w:eastAsia="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lang w:val="en-US" w:eastAsia="zh-CN"/>
        </w:rPr>
        <w:t>021年营业收入1亿元（含）以上的</w:t>
      </w:r>
      <w:r>
        <w:rPr>
          <w:rFonts w:hint="eastAsia" w:ascii="仿宋_GB2312" w:hAnsi="仿宋_GB2312" w:eastAsia="仿宋_GB2312" w:cs="仿宋_GB2312"/>
          <w:color w:val="auto"/>
          <w:sz w:val="32"/>
          <w:szCs w:val="32"/>
          <w:highlight w:val="none"/>
        </w:rPr>
        <w:t>租赁和商务服务业企业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outlineLvl w:val="9"/>
        <w:rPr>
          <w:rFonts w:hint="default" w:ascii="仿宋_GB2312" w:eastAsia="仿宋_GB2312"/>
          <w:b/>
          <w:bCs/>
          <w:color w:val="auto"/>
          <w:sz w:val="32"/>
          <w:szCs w:val="32"/>
          <w:highlight w:val="none"/>
          <w:u w:val="none"/>
          <w:lang w:val="en-US" w:eastAsia="zh-CN"/>
        </w:rPr>
      </w:pPr>
      <w:r>
        <w:rPr>
          <w:rFonts w:hint="eastAsia" w:ascii="仿宋_GB2312" w:eastAsia="仿宋_GB2312" w:cs="Times New Roman"/>
          <w:b w:val="0"/>
          <w:bCs w:val="0"/>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lang w:val="en-US" w:eastAsia="zh-CN"/>
        </w:rPr>
        <w:t>2021年营业收入5000万元</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val="en-US" w:eastAsia="zh-CN"/>
        </w:rPr>
        <w:t>以上的</w:t>
      </w:r>
      <w:r>
        <w:rPr>
          <w:rFonts w:hint="eastAsia" w:ascii="仿宋_GB2312" w:hAnsi="仿宋_GB2312" w:eastAsia="仿宋_GB2312" w:cs="仿宋_GB2312"/>
          <w:color w:val="auto"/>
          <w:sz w:val="32"/>
          <w:szCs w:val="32"/>
          <w:highlight w:val="none"/>
          <w:lang w:eastAsia="zh-CN"/>
        </w:rPr>
        <w:t>居民服务、修理和其他服务业；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eastAsia="仿宋_GB2312"/>
          <w:color w:val="auto"/>
          <w:highlight w:val="none"/>
          <w:lang w:val="en-US" w:eastAsia="zh-CN"/>
        </w:rPr>
      </w:pPr>
      <w:r>
        <w:rPr>
          <w:rFonts w:hint="eastAsia" w:ascii="仿宋_GB2312" w:eastAsia="仿宋_GB2312" w:cs="Times New Roman"/>
          <w:b w:val="0"/>
          <w:bCs w:val="0"/>
          <w:color w:val="auto"/>
          <w:sz w:val="32"/>
          <w:szCs w:val="32"/>
          <w:highlight w:val="none"/>
          <w:u w:val="none"/>
          <w:lang w:val="en-US" w:eastAsia="zh-CN"/>
        </w:rPr>
        <w:t>（9）</w:t>
      </w:r>
      <w:r>
        <w:rPr>
          <w:rFonts w:hint="eastAsia" w:ascii="仿宋_GB2312" w:eastAsia="仿宋_GB2312"/>
          <w:color w:val="auto"/>
          <w:sz w:val="32"/>
          <w:szCs w:val="32"/>
          <w:highlight w:val="none"/>
          <w:u w:val="none"/>
        </w:rPr>
        <w:t>拥有国家、省、市级新认定的制造业创新中心</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s="Times New Roman"/>
          <w:b w:val="0"/>
          <w:bCs w:val="0"/>
          <w:color w:val="auto"/>
          <w:sz w:val="32"/>
          <w:szCs w:val="32"/>
          <w:highlight w:val="none"/>
          <w:u w:val="none"/>
          <w:lang w:val="en-US" w:eastAsia="zh-CN"/>
        </w:rPr>
        <w:t>（10）</w:t>
      </w:r>
      <w:r>
        <w:rPr>
          <w:rFonts w:hint="eastAsia" w:ascii="仿宋_GB2312" w:eastAsia="仿宋_GB2312"/>
          <w:b w:val="0"/>
          <w:bCs w:val="0"/>
          <w:color w:val="auto"/>
          <w:sz w:val="32"/>
          <w:szCs w:val="32"/>
          <w:highlight w:val="none"/>
          <w:u w:val="none"/>
          <w:lang w:val="en-US" w:eastAsia="zh-CN"/>
        </w:rPr>
        <w:t>2022年2月前公示且有效期内</w:t>
      </w:r>
      <w:r>
        <w:rPr>
          <w:rFonts w:hint="eastAsia" w:ascii="仿宋_GB2312" w:eastAsia="仿宋_GB2312"/>
          <w:color w:val="auto"/>
          <w:sz w:val="32"/>
          <w:szCs w:val="32"/>
          <w:highlight w:val="none"/>
          <w:u w:val="none"/>
          <w:lang w:eastAsia="zh-CN"/>
        </w:rPr>
        <w:t>认定为国家级专精特新“小巨人”和广东省“</w:t>
      </w:r>
      <w:r>
        <w:rPr>
          <w:rFonts w:hint="eastAsia" w:ascii="仿宋_GB2312" w:eastAsia="仿宋_GB2312"/>
          <w:color w:val="auto"/>
          <w:sz w:val="32"/>
          <w:szCs w:val="32"/>
          <w:highlight w:val="none"/>
          <w:u w:val="none"/>
          <w:lang w:val="en-US" w:eastAsia="zh-CN"/>
        </w:rPr>
        <w:t>专精特新</w:t>
      </w:r>
      <w:r>
        <w:rPr>
          <w:rFonts w:hint="eastAsia" w:ascii="仿宋_GB2312" w:eastAsia="仿宋_GB2312"/>
          <w:color w:val="auto"/>
          <w:sz w:val="32"/>
          <w:szCs w:val="32"/>
          <w:highlight w:val="none"/>
          <w:u w:val="none"/>
          <w:lang w:eastAsia="zh-CN"/>
        </w:rPr>
        <w:t>”的中小企业。</w:t>
      </w:r>
    </w:p>
    <w:p>
      <w:pPr>
        <w:pageBreakBefore w:val="0"/>
        <w:widowControl w:val="0"/>
        <w:kinsoku/>
        <w:wordWrap/>
        <w:overflowPunct/>
        <w:topLinePunct w:val="0"/>
        <w:bidi w:val="0"/>
        <w:adjustRightInd w:val="0"/>
        <w:snapToGrid w:val="0"/>
        <w:spacing w:before="0" w:beforeLines="0" w:after="0" w:afterLines="0" w:line="620" w:lineRule="exact"/>
        <w:ind w:firstLine="644" w:firstLineChars="200"/>
        <w:textAlignment w:val="auto"/>
        <w:rPr>
          <w:rFonts w:hint="eastAsia" w:ascii="仿宋_GB2312" w:eastAsia="仿宋_GB2312" w:cs="宋体"/>
          <w:color w:val="auto"/>
          <w:sz w:val="32"/>
          <w:szCs w:val="32"/>
          <w:highlight w:val="none"/>
          <w:u w:val="none"/>
          <w:lang w:eastAsia="zh-CN"/>
        </w:rPr>
      </w:pPr>
      <w:r>
        <w:rPr>
          <w:rFonts w:hint="eastAsia" w:ascii="仿宋_GB2312" w:eastAsia="仿宋_GB2312"/>
          <w:b/>
          <w:bCs/>
          <w:color w:val="auto"/>
          <w:sz w:val="32"/>
          <w:szCs w:val="32"/>
          <w:highlight w:val="none"/>
        </w:rPr>
        <w:t>2.申报资格条件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工商注册、税务登记和统计关系均在福田。</w:t>
      </w:r>
    </w:p>
    <w:p>
      <w:pPr>
        <w:snapToGrid w:val="0"/>
        <w:spacing w:beforeLines="0" w:afterLines="0" w:line="620" w:lineRule="exact"/>
        <w:ind w:firstLine="0" w:firstLineChars="0"/>
        <w:rPr>
          <w:rFonts w:hint="eastAsia" w:ascii="黑体" w:hAnsi="黑体" w:eastAsia="黑体" w:cs="黑体"/>
          <w:color w:val="000000"/>
          <w:sz w:val="32"/>
          <w:szCs w:val="32"/>
          <w:highlight w:val="none"/>
          <w:lang w:eastAsia="zh-CN"/>
        </w:rPr>
      </w:pP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——福田区住房和建设局</w:t>
      </w: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r>
        <w:rPr>
          <w:rFonts w:hint="eastAsia" w:ascii="楷体" w:hAnsi="楷体" w:eastAsia="楷体" w:cs="楷体"/>
          <w:color w:val="auto"/>
          <w:sz w:val="32"/>
          <w:szCs w:val="32"/>
          <w:highlight w:val="none"/>
          <w:lang w:val="en-US" w:eastAsia="zh-CN"/>
        </w:rPr>
        <w:t>（一）服务范围</w:t>
      </w:r>
    </w:p>
    <w:p>
      <w:pPr>
        <w:widowControl w:val="0"/>
        <w:adjustRightInd w:val="0"/>
        <w:snapToGrid w:val="0"/>
        <w:spacing w:before="0" w:beforeLines="0" w:after="0" w:afterLines="0" w:line="620" w:lineRule="exact"/>
        <w:ind w:firstLine="644" w:firstLineChars="200"/>
        <w:rPr>
          <w:rFonts w:hint="eastAsia" w:ascii="仿宋_GB2312" w:hAnsi="Calibri" w:eastAsia="仿宋_GB2312" w:cs="宋体"/>
          <w:color w:val="auto"/>
          <w:sz w:val="32"/>
          <w:szCs w:val="32"/>
          <w:highlight w:val="none"/>
          <w:lang w:val="en-US" w:eastAsia="zh-CN"/>
        </w:rPr>
      </w:pPr>
      <w:r>
        <w:rPr>
          <w:rFonts w:hint="eastAsia" w:ascii="仿宋_GB2312" w:hAnsi="Calibri" w:eastAsia="仿宋_GB2312" w:cs="宋体"/>
          <w:color w:val="auto"/>
          <w:sz w:val="32"/>
          <w:szCs w:val="32"/>
          <w:highlight w:val="none"/>
          <w:lang w:val="en-US" w:eastAsia="zh-CN"/>
        </w:rPr>
        <w:t>建筑业企业、物业服务企业</w:t>
      </w:r>
      <w:r>
        <w:rPr>
          <w:rFonts w:hint="eastAsia" w:ascii="仿宋_GB2312" w:eastAsia="仿宋_GB2312" w:cs="宋体"/>
          <w:color w:val="auto"/>
          <w:sz w:val="32"/>
          <w:szCs w:val="32"/>
          <w:highlight w:val="none"/>
          <w:lang w:val="en-US" w:eastAsia="zh-CN"/>
        </w:rPr>
        <w:t>、燃气行业企业。</w:t>
      </w:r>
    </w:p>
    <w:p>
      <w:pPr>
        <w:snapToGrid w:val="0"/>
        <w:spacing w:beforeLines="0" w:afterLines="0" w:line="620" w:lineRule="exact"/>
        <w:ind w:firstLine="644" w:firstLineChars="200"/>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（二）认定标准</w:t>
      </w:r>
    </w:p>
    <w:p>
      <w:pPr>
        <w:snapToGrid w:val="0"/>
        <w:spacing w:beforeLines="0" w:afterLines="0" w:line="62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1.分类标准（符合其中一项即可）</w:t>
      </w:r>
    </w:p>
    <w:p>
      <w:pPr>
        <w:spacing w:line="620" w:lineRule="exact"/>
        <w:ind w:firstLine="644"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）福田区建筑业2021年产值排名前</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0名（含）的建筑业企业。</w:t>
      </w:r>
      <w:r>
        <w:rPr>
          <w:rFonts w:hint="eastAsia" w:ascii="仿宋_GB2312" w:eastAsia="仿宋_GB2312"/>
          <w:color w:val="auto"/>
          <w:sz w:val="32"/>
          <w:szCs w:val="32"/>
          <w:highlight w:val="none"/>
          <w:lang w:val="en-US" w:eastAsia="zh-CN"/>
        </w:rPr>
        <w:t>；</w:t>
      </w:r>
    </w:p>
    <w:p>
      <w:pPr>
        <w:spacing w:line="620" w:lineRule="exact"/>
        <w:ind w:firstLine="644"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hAnsi="仿宋_GB2312" w:eastAsia="仿宋_GB2312" w:cs="仿宋_GB2312"/>
          <w:sz w:val="32"/>
          <w:szCs w:val="32"/>
          <w:highlight w:val="none"/>
          <w:lang w:eastAsia="zh-CN" w:bidi="ar"/>
        </w:rPr>
        <w:t>经</w:t>
      </w:r>
      <w:r>
        <w:rPr>
          <w:rFonts w:hint="eastAsia" w:ascii="仿宋_GB2312" w:hAnsi="仿宋_GB2312" w:eastAsia="仿宋_GB2312" w:cs="仿宋_GB2312"/>
          <w:sz w:val="32"/>
          <w:szCs w:val="32"/>
          <w:highlight w:val="none"/>
          <w:lang w:val="en-US" w:eastAsia="zh-CN" w:bidi="ar"/>
        </w:rPr>
        <w:t>认定的福田区建筑业总部企业</w:t>
      </w:r>
      <w:r>
        <w:rPr>
          <w:rFonts w:hint="eastAsia" w:ascii="仿宋_GB2312" w:eastAsia="仿宋_GB2312"/>
          <w:color w:val="auto"/>
          <w:sz w:val="32"/>
          <w:szCs w:val="32"/>
          <w:highlight w:val="none"/>
          <w:lang w:eastAsia="zh-CN"/>
        </w:rPr>
        <w:t>；</w:t>
      </w:r>
    </w:p>
    <w:p>
      <w:pPr>
        <w:snapToGrid w:val="0"/>
        <w:spacing w:beforeLines="0" w:afterLines="0" w:line="620" w:lineRule="exact"/>
        <w:ind w:firstLine="644" w:firstLineChars="200"/>
        <w:rPr>
          <w:rFonts w:hint="eastAsia" w:ascii="仿宋_GB2312" w:eastAsia="仿宋_GB2312"/>
          <w:b w:val="0"/>
          <w:bCs w:val="0"/>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b w:val="0"/>
          <w:bCs w:val="0"/>
          <w:color w:val="auto"/>
          <w:sz w:val="32"/>
          <w:szCs w:val="32"/>
          <w:highlight w:val="none"/>
          <w:lang w:eastAsia="zh-CN"/>
        </w:rPr>
        <w:t>20</w:t>
      </w:r>
      <w:r>
        <w:rPr>
          <w:rFonts w:hint="eastAsia" w:ascii="仿宋_GB2312" w:eastAsia="仿宋_GB2312"/>
          <w:b w:val="0"/>
          <w:bCs w:val="0"/>
          <w:color w:val="auto"/>
          <w:sz w:val="32"/>
          <w:szCs w:val="32"/>
          <w:highlight w:val="none"/>
          <w:lang w:val="en-US" w:eastAsia="zh-CN"/>
        </w:rPr>
        <w:t>2</w:t>
      </w:r>
      <w:r>
        <w:rPr>
          <w:rFonts w:hint="default" w:ascii="仿宋_GB2312" w:eastAsia="仿宋_GB2312"/>
          <w:b w:val="0"/>
          <w:bCs w:val="0"/>
          <w:color w:val="auto"/>
          <w:sz w:val="32"/>
          <w:szCs w:val="32"/>
          <w:highlight w:val="none"/>
          <w:lang w:val="en-US" w:eastAsia="zh-CN"/>
        </w:rPr>
        <w:t>1</w:t>
      </w:r>
      <w:r>
        <w:rPr>
          <w:rFonts w:hint="eastAsia" w:ascii="仿宋_GB2312" w:eastAsia="仿宋_GB2312"/>
          <w:b w:val="0"/>
          <w:bCs w:val="0"/>
          <w:color w:val="auto"/>
          <w:sz w:val="32"/>
          <w:szCs w:val="32"/>
          <w:highlight w:val="none"/>
          <w:lang w:eastAsia="zh-CN"/>
        </w:rPr>
        <w:t>年纳税达</w:t>
      </w:r>
      <w:r>
        <w:rPr>
          <w:rFonts w:hint="eastAsia" w:ascii="仿宋_GB2312" w:eastAsia="仿宋_GB2312"/>
          <w:b w:val="0"/>
          <w:bCs w:val="0"/>
          <w:color w:val="auto"/>
          <w:sz w:val="32"/>
          <w:szCs w:val="32"/>
          <w:highlight w:val="none"/>
          <w:lang w:val="en-US" w:eastAsia="zh-CN"/>
        </w:rPr>
        <w:t>5</w:t>
      </w:r>
      <w:r>
        <w:rPr>
          <w:rFonts w:hint="eastAsia" w:ascii="仿宋_GB2312" w:eastAsia="仿宋_GB2312"/>
          <w:b w:val="0"/>
          <w:bCs w:val="0"/>
          <w:color w:val="auto"/>
          <w:sz w:val="32"/>
          <w:szCs w:val="32"/>
          <w:highlight w:val="none"/>
          <w:lang w:eastAsia="zh-CN"/>
        </w:rPr>
        <w:t>0万元（含）以上，在福田辖区有3个（含）以上在管项目的物业企业；</w:t>
      </w:r>
    </w:p>
    <w:p>
      <w:pPr>
        <w:snapToGrid w:val="0"/>
        <w:spacing w:beforeLines="0" w:afterLines="0" w:line="620" w:lineRule="exact"/>
        <w:ind w:firstLine="644"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Calibri" w:eastAsia="仿宋_GB2312" w:cs="宋体"/>
          <w:b w:val="0"/>
          <w:bCs w:val="0"/>
          <w:color w:val="auto"/>
          <w:sz w:val="32"/>
          <w:szCs w:val="32"/>
          <w:highlight w:val="none"/>
          <w:lang w:eastAsia="zh-CN"/>
        </w:rPr>
        <w:t>（</w:t>
      </w:r>
      <w:r>
        <w:rPr>
          <w:rFonts w:hint="eastAsia" w:ascii="仿宋_GB2312" w:hAnsi="Calibri" w:eastAsia="仿宋_GB2312" w:cs="宋体"/>
          <w:b w:val="0"/>
          <w:bCs w:val="0"/>
          <w:color w:val="auto"/>
          <w:sz w:val="32"/>
          <w:szCs w:val="32"/>
          <w:highlight w:val="none"/>
          <w:lang w:val="en-US" w:eastAsia="zh-CN"/>
        </w:rPr>
        <w:t>4</w:t>
      </w:r>
      <w:r>
        <w:rPr>
          <w:rFonts w:hint="eastAsia" w:ascii="仿宋_GB2312" w:hAnsi="Calibri" w:eastAsia="仿宋_GB2312" w:cs="宋体"/>
          <w:b w:val="0"/>
          <w:bCs w:val="0"/>
          <w:color w:val="auto"/>
          <w:sz w:val="32"/>
          <w:szCs w:val="32"/>
          <w:highlight w:val="none"/>
          <w:lang w:eastAsia="zh-CN"/>
        </w:rPr>
        <w:t>）燃气管道运输企业</w:t>
      </w:r>
      <w:r>
        <w:rPr>
          <w:rFonts w:hint="eastAsia" w:ascii="仿宋_GB2312" w:eastAsia="仿宋_GB2312" w:cs="宋体"/>
          <w:b w:val="0"/>
          <w:bCs w:val="0"/>
          <w:color w:val="auto"/>
          <w:sz w:val="32"/>
          <w:szCs w:val="32"/>
          <w:highlight w:val="none"/>
          <w:lang w:eastAsia="zh-CN"/>
        </w:rPr>
        <w:t>。</w:t>
      </w:r>
    </w:p>
    <w:p>
      <w:pPr>
        <w:snapToGrid w:val="0"/>
        <w:spacing w:beforeLines="0" w:afterLines="0" w:line="62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2.申报资格条件（须同时具备）</w:t>
      </w:r>
    </w:p>
    <w:p>
      <w:pPr>
        <w:snapToGrid w:val="0"/>
        <w:spacing w:beforeLines="0" w:afterLines="0" w:line="62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（1）工商注册、税务登记和统计关系均在福田；</w:t>
      </w:r>
    </w:p>
    <w:p>
      <w:pPr>
        <w:snapToGrid w:val="0"/>
        <w:spacing w:beforeLines="0" w:afterLines="0" w:line="62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自申报之日起近2年</w:t>
      </w:r>
      <w:r>
        <w:rPr>
          <w:rFonts w:hint="eastAsia" w:ascii="仿宋_GB2312" w:hAnsi="仿宋_GB2312" w:eastAsia="仿宋_GB2312" w:cs="仿宋_GB2312"/>
          <w:b w:val="0"/>
          <w:bCs w:val="0"/>
          <w:color w:val="auto"/>
          <w:sz w:val="32"/>
          <w:szCs w:val="32"/>
          <w:highlight w:val="none"/>
        </w:rPr>
        <w:t>，未被有关行政主管部门认定未按照法律法规要求履行企业安全主体责任</w:t>
      </w:r>
      <w:r>
        <w:rPr>
          <w:rFonts w:hint="eastAsia" w:ascii="仿宋_GB2312" w:hAnsi="仿宋_GB2312" w:eastAsia="仿宋_GB2312" w:cs="仿宋_GB2312"/>
          <w:b w:val="0"/>
          <w:bCs w:val="0"/>
          <w:color w:val="auto"/>
          <w:sz w:val="32"/>
          <w:szCs w:val="32"/>
          <w:highlight w:val="none"/>
          <w:lang w:eastAsia="zh-CN"/>
        </w:rPr>
        <w:t>或重大失信的</w:t>
      </w:r>
      <w:r>
        <w:rPr>
          <w:rFonts w:hint="eastAsia" w:ascii="仿宋_GB2312" w:hAnsi="仿宋_GB2312" w:eastAsia="仿宋_GB2312" w:cs="仿宋_GB2312"/>
          <w:b w:val="0"/>
          <w:bCs w:val="0"/>
          <w:color w:val="auto"/>
          <w:sz w:val="32"/>
          <w:szCs w:val="32"/>
          <w:highlight w:val="none"/>
        </w:rPr>
        <w:t>；</w:t>
      </w:r>
    </w:p>
    <w:p>
      <w:pPr>
        <w:snapToGrid w:val="0"/>
        <w:spacing w:line="620" w:lineRule="exact"/>
        <w:ind w:firstLine="644" w:firstLineChars="200"/>
        <w:rPr>
          <w:rFonts w:hint="default"/>
          <w:lang w:val="en-US"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自申报之日起近2年</w:t>
      </w:r>
      <w:r>
        <w:rPr>
          <w:rFonts w:hint="eastAsia" w:ascii="仿宋_GB2312" w:hAnsi="仿宋_GB2312" w:eastAsia="仿宋_GB2312" w:cs="仿宋_GB2312"/>
          <w:b w:val="0"/>
          <w:bCs w:val="0"/>
          <w:color w:val="auto"/>
          <w:sz w:val="32"/>
          <w:szCs w:val="32"/>
          <w:highlight w:val="none"/>
        </w:rPr>
        <w:t>，未因企业原因引发较大信访、群体性事件。</w:t>
      </w: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——福田区文化广电旅游体育局</w:t>
      </w:r>
    </w:p>
    <w:p>
      <w:pPr>
        <w:snapToGrid w:val="0"/>
        <w:spacing w:beforeLines="0" w:afterLines="0" w:line="620" w:lineRule="exact"/>
        <w:ind w:firstLine="644"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（一）服务范围</w:t>
      </w:r>
    </w:p>
    <w:p>
      <w:pPr>
        <w:keepNext w:val="0"/>
        <w:keepLines w:val="0"/>
        <w:pageBreakBefore w:val="0"/>
        <w:kinsoku/>
        <w:wordWrap/>
        <w:overflowPunct/>
        <w:topLinePunct w:val="0"/>
        <w:autoSpaceDE/>
        <w:autoSpaceDN/>
        <w:bidi w:val="0"/>
        <w:adjustRightInd/>
        <w:snapToGrid w:val="0"/>
        <w:spacing w:line="62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color w:val="auto"/>
          <w:sz w:val="32"/>
          <w:szCs w:val="32"/>
          <w:highlight w:val="none"/>
          <w:lang w:val="en-US"/>
        </w:rPr>
        <w:t>福田区</w:t>
      </w:r>
      <w:r>
        <w:rPr>
          <w:rFonts w:hint="eastAsia" w:ascii="仿宋_GB2312" w:hAnsi="仿宋_GB2312" w:eastAsia="仿宋_GB2312" w:cs="仿宋_GB2312"/>
          <w:sz w:val="32"/>
          <w:szCs w:val="32"/>
          <w:highlight w:val="none"/>
        </w:rPr>
        <w:t>属于创意设计、影视和动漫、演艺和音乐、新媒体和网络文化、文化软件及游戏、数字出版、文化旅游、高端工艺美术、高端印刷、高端文化设备等重点发展领域的文化企业，属于</w:t>
      </w:r>
      <w:r>
        <w:rPr>
          <w:rFonts w:hint="eastAsia" w:ascii="仿宋_GB2312" w:hAnsi="仿宋_GB2312" w:eastAsia="仿宋_GB2312" w:cs="仿宋_GB2312"/>
          <w:sz w:val="32"/>
          <w:szCs w:val="32"/>
          <w:highlight w:val="none"/>
          <w:lang w:eastAsia="zh-CN"/>
        </w:rPr>
        <w:t>旅业（与公安旅业系统中的“旅业”概念保持一致）</w:t>
      </w:r>
      <w:r>
        <w:rPr>
          <w:rFonts w:hint="eastAsia" w:ascii="仿宋_GB2312" w:hAnsi="仿宋_GB2312" w:eastAsia="仿宋_GB2312" w:cs="仿宋_GB2312"/>
          <w:sz w:val="32"/>
          <w:szCs w:val="32"/>
          <w:highlight w:val="none"/>
        </w:rPr>
        <w:t>、旅行社等旅游企业，属于场馆运营、赛事举办等体育企业；</w:t>
      </w:r>
    </w:p>
    <w:p>
      <w:pPr>
        <w:keepNext w:val="0"/>
        <w:keepLines w:val="0"/>
        <w:pageBreakBefore w:val="0"/>
        <w:kinsoku/>
        <w:wordWrap/>
        <w:overflowPunct/>
        <w:topLinePunct w:val="0"/>
        <w:autoSpaceDE/>
        <w:autoSpaceDN/>
        <w:bidi w:val="0"/>
        <w:adjustRightInd/>
        <w:snapToGrid w:val="0"/>
        <w:spacing w:line="62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color w:val="auto"/>
          <w:sz w:val="32"/>
          <w:szCs w:val="32"/>
          <w:highlight w:val="none"/>
          <w:lang w:val="en-US"/>
        </w:rPr>
        <w:t>福田区</w:t>
      </w:r>
      <w:r>
        <w:rPr>
          <w:rFonts w:hint="eastAsia" w:ascii="仿宋_GB2312" w:hAnsi="仿宋_GB2312" w:eastAsia="仿宋_GB2312" w:cs="仿宋_GB2312"/>
          <w:sz w:val="32"/>
          <w:szCs w:val="32"/>
          <w:highlight w:val="none"/>
        </w:rPr>
        <w:t>属于建筑装饰行业中的建筑设计、装饰设计、勘察设计、规划设计、软装设计、园林景观设计、灯光照明设计、消防设计等重点发展领域的企业；</w:t>
      </w:r>
    </w:p>
    <w:p>
      <w:pPr>
        <w:keepNext w:val="0"/>
        <w:keepLines w:val="0"/>
        <w:pageBreakBefore w:val="0"/>
        <w:widowControl w:val="0"/>
        <w:kinsoku/>
        <w:wordWrap/>
        <w:overflowPunct/>
        <w:topLinePunct w:val="0"/>
        <w:autoSpaceDE/>
        <w:autoSpaceDN/>
        <w:bidi w:val="0"/>
        <w:adjustRightInd/>
        <w:snapToGrid w:val="0"/>
        <w:spacing w:beforeLines="0" w:afterLines="0" w:line="620" w:lineRule="exact"/>
        <w:ind w:left="644" w:leftChars="304" w:right="0" w:rightChars="0" w:firstLine="0" w:firstLineChars="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color w:val="auto"/>
          <w:sz w:val="32"/>
          <w:szCs w:val="32"/>
          <w:highlight w:val="none"/>
          <w:lang w:val="en-US"/>
        </w:rPr>
        <w:t>福田区</w:t>
      </w:r>
      <w:r>
        <w:rPr>
          <w:rFonts w:hint="eastAsia" w:ascii="仿宋_GB2312" w:hAnsi="仿宋_GB2312" w:eastAsia="仿宋_GB2312" w:cs="仿宋_GB2312"/>
          <w:sz w:val="32"/>
          <w:szCs w:val="32"/>
          <w:highlight w:val="none"/>
        </w:rPr>
        <w:t>属于时装、服饰配品等领域的</w:t>
      </w:r>
      <w:r>
        <w:rPr>
          <w:rFonts w:hint="eastAsia" w:ascii="仿宋_GB2312" w:hAnsi="仿宋_GB2312" w:eastAsia="仿宋_GB2312" w:cs="仿宋_GB2312"/>
          <w:sz w:val="32"/>
          <w:szCs w:val="32"/>
          <w:highlight w:val="none"/>
          <w:lang w:eastAsia="zh-CN"/>
        </w:rPr>
        <w:t>文化</w:t>
      </w:r>
      <w:r>
        <w:rPr>
          <w:rFonts w:hint="eastAsia" w:ascii="仿宋_GB2312" w:hAnsi="仿宋_GB2312" w:eastAsia="仿宋_GB2312" w:cs="仿宋_GB2312"/>
          <w:sz w:val="32"/>
          <w:szCs w:val="32"/>
          <w:highlight w:val="none"/>
        </w:rPr>
        <w:t>时尚企业。</w:t>
      </w:r>
    </w:p>
    <w:p>
      <w:pPr>
        <w:snapToGrid w:val="0"/>
        <w:spacing w:beforeLines="0" w:afterLines="0" w:line="620" w:lineRule="exact"/>
        <w:ind w:firstLine="644"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（二）认定标准</w:t>
      </w:r>
    </w:p>
    <w:p>
      <w:pPr>
        <w:pStyle w:val="8"/>
        <w:widowControl w:val="0"/>
        <w:snapToGrid w:val="0"/>
        <w:spacing w:beforeLines="0" w:afterLines="0" w:line="620" w:lineRule="exact"/>
        <w:ind w:firstLine="644" w:firstLineChars="200"/>
        <w:rPr>
          <w:rFonts w:hint="eastAsia" w:ascii="仿宋" w:hAnsi="仿宋" w:eastAsia="仿宋" w:cs="楷体_GB2312"/>
          <w:b/>
          <w:bCs/>
          <w:sz w:val="32"/>
          <w:szCs w:val="32"/>
          <w:highlight w:val="none"/>
          <w:lang w:val="en-US" w:eastAsia="zh-CN"/>
        </w:rPr>
      </w:pPr>
      <w:r>
        <w:rPr>
          <w:rFonts w:hint="eastAsia" w:ascii="仿宋" w:hAnsi="仿宋" w:eastAsia="仿宋" w:cs="楷体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分类标准（符合其中一项即可）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sz w:val="32"/>
          <w:szCs w:val="32"/>
          <w:highlight w:val="none"/>
          <w:u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u w:val="none"/>
          <w:lang w:val="en-US" w:eastAsia="zh-CN"/>
        </w:rPr>
        <w:t>2021</w:t>
      </w:r>
      <w:r>
        <w:rPr>
          <w:rFonts w:hint="eastAsia" w:ascii="仿宋_GB2312" w:eastAsia="仿宋_GB2312"/>
          <w:sz w:val="32"/>
          <w:szCs w:val="32"/>
          <w:highlight w:val="none"/>
          <w:u w:val="none"/>
        </w:rPr>
        <w:t>年</w:t>
      </w:r>
      <w:r>
        <w:rPr>
          <w:rFonts w:hint="eastAsia" w:ascii="仿宋_GB2312" w:eastAsia="仿宋_GB2312" w:cs="宋体"/>
          <w:sz w:val="32"/>
          <w:szCs w:val="32"/>
          <w:highlight w:val="none"/>
          <w:u w:val="none"/>
          <w:lang w:val="en-US" w:eastAsia="zh-CN"/>
        </w:rPr>
        <w:t>营业收入</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rPr>
        <w:t>000万元</w:t>
      </w:r>
      <w:r>
        <w:rPr>
          <w:rFonts w:hint="eastAsia" w:ascii="仿宋_GB2312" w:eastAsia="仿宋_GB2312"/>
          <w:sz w:val="32"/>
          <w:szCs w:val="32"/>
          <w:highlight w:val="none"/>
          <w:u w:val="none"/>
          <w:lang w:eastAsia="zh-CN"/>
        </w:rPr>
        <w:t>（含）以上</w:t>
      </w:r>
      <w:r>
        <w:rPr>
          <w:rFonts w:hint="eastAsia" w:ascii="仿宋_GB2312" w:eastAsia="仿宋_GB2312" w:cs="宋体"/>
          <w:sz w:val="32"/>
          <w:szCs w:val="32"/>
          <w:highlight w:val="none"/>
          <w:u w:val="none"/>
          <w:lang w:eastAsia="zh-CN"/>
        </w:rPr>
        <w:t>的</w:t>
      </w:r>
      <w:r>
        <w:rPr>
          <w:rFonts w:hint="eastAsia" w:ascii="仿宋_GB2312" w:hAnsi="仿宋_GB2312" w:eastAsia="仿宋_GB2312"/>
          <w:sz w:val="32"/>
          <w:szCs w:val="32"/>
          <w:highlight w:val="none"/>
        </w:rPr>
        <w:t>文化体育娱乐业企业</w:t>
      </w:r>
      <w:r>
        <w:rPr>
          <w:rFonts w:hint="eastAsia" w:ascii="仿宋_GB2312" w:eastAsia="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000000"/>
          <w:sz w:val="32"/>
          <w:szCs w:val="32"/>
          <w:highlight w:val="none"/>
          <w:u w:val="none"/>
          <w:lang w:eastAsia="zh-CN"/>
        </w:rPr>
      </w:pPr>
      <w:r>
        <w:rPr>
          <w:rFonts w:hint="eastAsia" w:ascii="仿宋_GB2312" w:hAnsi="仿宋_GB2312" w:eastAsia="仿宋_GB2312" w:cs="仿宋_GB2312"/>
          <w:sz w:val="32"/>
          <w:szCs w:val="32"/>
          <w:highlight w:val="none"/>
        </w:rPr>
        <w:t>（2）</w:t>
      </w:r>
      <w:r>
        <w:rPr>
          <w:rFonts w:hint="eastAsia" w:ascii="仿宋_GB2312" w:eastAsia="仿宋_GB2312" w:cs="宋体"/>
          <w:sz w:val="32"/>
          <w:szCs w:val="32"/>
          <w:highlight w:val="none"/>
          <w:u w:val="none"/>
          <w:lang w:val="en-US" w:eastAsia="zh-CN"/>
        </w:rPr>
        <w:t>2021年营业收入1000万元</w:t>
      </w:r>
      <w:r>
        <w:rPr>
          <w:rFonts w:hint="eastAsia" w:ascii="仿宋_GB2312" w:eastAsia="仿宋_GB2312"/>
          <w:color w:val="000000"/>
          <w:sz w:val="32"/>
          <w:szCs w:val="32"/>
          <w:highlight w:val="none"/>
          <w:u w:val="none"/>
          <w:lang w:val="en-US" w:eastAsia="zh-CN"/>
        </w:rPr>
        <w:t>（含）</w:t>
      </w:r>
      <w:r>
        <w:rPr>
          <w:rFonts w:hint="eastAsia" w:ascii="仿宋_GB2312" w:eastAsia="仿宋_GB2312"/>
          <w:color w:val="000000"/>
          <w:sz w:val="32"/>
          <w:szCs w:val="32"/>
          <w:highlight w:val="none"/>
          <w:u w:val="none"/>
        </w:rPr>
        <w:t>以上</w:t>
      </w:r>
      <w:r>
        <w:rPr>
          <w:rFonts w:hint="eastAsia" w:ascii="仿宋_GB2312" w:eastAsia="仿宋_GB2312"/>
          <w:color w:val="000000"/>
          <w:sz w:val="32"/>
          <w:szCs w:val="32"/>
          <w:highlight w:val="none"/>
          <w:u w:val="none"/>
          <w:lang w:eastAsia="zh-CN"/>
        </w:rPr>
        <w:t>的</w:t>
      </w:r>
      <w:r>
        <w:rPr>
          <w:rFonts w:hint="eastAsia" w:ascii="仿宋_GB2312" w:hAnsi="仿宋_GB2312" w:eastAsia="仿宋_GB2312" w:cs="仿宋_GB2312"/>
          <w:sz w:val="32"/>
          <w:szCs w:val="32"/>
          <w:highlight w:val="none"/>
          <w:lang w:eastAsia="zh-CN"/>
        </w:rPr>
        <w:t>旅业</w:t>
      </w:r>
      <w:r>
        <w:rPr>
          <w:rFonts w:hint="eastAsia" w:ascii="仿宋_GB2312" w:hAnsi="仿宋_GB2312" w:eastAsia="仿宋_GB2312" w:cs="仿宋_GB2312"/>
          <w:sz w:val="32"/>
          <w:szCs w:val="32"/>
          <w:highlight w:val="none"/>
        </w:rPr>
        <w:t>、旅行社等旅游企业</w:t>
      </w:r>
      <w:r>
        <w:rPr>
          <w:rFonts w:hint="eastAsia" w:ascii="仿宋_GB2312" w:eastAsia="仿宋_GB2312"/>
          <w:color w:val="00000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sz w:val="32"/>
          <w:szCs w:val="32"/>
          <w:highlight w:val="none"/>
          <w:u w:val="none"/>
          <w:lang w:eastAsia="zh-CN"/>
        </w:rPr>
      </w:pPr>
      <w:r>
        <w:rPr>
          <w:rFonts w:hint="eastAsia" w:ascii="仿宋_GB2312" w:hAnsi="仿宋_GB2312" w:eastAsia="仿宋_GB2312" w:cs="仿宋_GB2312"/>
          <w:sz w:val="32"/>
          <w:szCs w:val="32"/>
          <w:highlight w:val="none"/>
        </w:rPr>
        <w:t>（3）</w:t>
      </w: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年</w:t>
      </w:r>
      <w:r>
        <w:rPr>
          <w:rFonts w:hint="eastAsia" w:ascii="仿宋_GB2312" w:eastAsia="仿宋_GB2312" w:cs="宋体"/>
          <w:sz w:val="32"/>
          <w:szCs w:val="32"/>
          <w:highlight w:val="none"/>
          <w:u w:val="none"/>
          <w:lang w:val="en-US" w:eastAsia="zh-CN"/>
        </w:rPr>
        <w:t>营业收入</w:t>
      </w:r>
      <w:r>
        <w:rPr>
          <w:rFonts w:hint="eastAsia" w:ascii="仿宋_GB2312" w:hAnsi="仿宋_GB2312" w:eastAsia="仿宋_GB2312" w:cs="Times New Roman"/>
          <w:b w:val="0"/>
          <w:bCs w:val="0"/>
          <w:kern w:val="2"/>
          <w:sz w:val="32"/>
          <w:szCs w:val="32"/>
          <w:highlight w:val="none"/>
          <w:lang w:val="en-US" w:eastAsia="zh-CN" w:bidi="ar-SA"/>
        </w:rPr>
        <w:t>5000万元</w:t>
      </w:r>
      <w:r>
        <w:rPr>
          <w:rFonts w:hint="eastAsia" w:ascii="仿宋_GB2312" w:eastAsia="仿宋_GB2312"/>
          <w:sz w:val="32"/>
          <w:szCs w:val="32"/>
          <w:highlight w:val="none"/>
          <w:u w:val="none"/>
        </w:rPr>
        <w:t>（含）以上的</w:t>
      </w:r>
      <w:r>
        <w:rPr>
          <w:rFonts w:hint="eastAsia" w:ascii="仿宋_GB2312" w:hAnsi="仿宋_GB2312" w:eastAsia="仿宋_GB2312" w:cs="Times New Roman"/>
          <w:b w:val="0"/>
          <w:bCs w:val="0"/>
          <w:kern w:val="2"/>
          <w:sz w:val="32"/>
          <w:szCs w:val="32"/>
          <w:highlight w:val="none"/>
          <w:lang w:val="en-US" w:eastAsia="zh-CN" w:bidi="ar-SA"/>
        </w:rPr>
        <w:t>建筑装饰设计企业</w:t>
      </w:r>
      <w:r>
        <w:rPr>
          <w:rFonts w:hint="eastAsia" w:ascii="仿宋_GB2312" w:eastAsia="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年</w:t>
      </w:r>
      <w:r>
        <w:rPr>
          <w:rFonts w:hint="eastAsia" w:ascii="仿宋_GB2312" w:eastAsia="仿宋_GB2312" w:cs="宋体"/>
          <w:sz w:val="32"/>
          <w:szCs w:val="32"/>
          <w:highlight w:val="none"/>
          <w:u w:val="none"/>
          <w:lang w:val="en-US" w:eastAsia="zh-CN"/>
        </w:rPr>
        <w:t>营业收入</w:t>
      </w:r>
      <w:r>
        <w:rPr>
          <w:rFonts w:hint="eastAsia" w:ascii="仿宋_GB2312" w:hAnsi="仿宋_GB2312" w:eastAsia="仿宋_GB2312" w:cs="Times New Roman"/>
          <w:b w:val="0"/>
          <w:bCs w:val="0"/>
          <w:kern w:val="2"/>
          <w:sz w:val="32"/>
          <w:szCs w:val="32"/>
          <w:highlight w:val="none"/>
          <w:lang w:val="en-US" w:eastAsia="zh-CN" w:bidi="ar-SA"/>
        </w:rPr>
        <w:t>3000万</w:t>
      </w:r>
      <w:r>
        <w:rPr>
          <w:rFonts w:hint="eastAsia" w:ascii="仿宋_GB2312" w:eastAsia="仿宋_GB2312"/>
          <w:sz w:val="32"/>
          <w:szCs w:val="32"/>
          <w:highlight w:val="none"/>
          <w:u w:val="none"/>
        </w:rPr>
        <w:t>元（含）以上的</w:t>
      </w:r>
      <w:r>
        <w:rPr>
          <w:rFonts w:hint="eastAsia" w:ascii="仿宋_GB2312" w:hAnsi="仿宋_GB2312" w:eastAsia="仿宋_GB2312"/>
          <w:sz w:val="32"/>
          <w:szCs w:val="32"/>
          <w:highlight w:val="none"/>
          <w:lang w:eastAsia="zh-CN"/>
        </w:rPr>
        <w:t>时尚文化</w:t>
      </w:r>
      <w:r>
        <w:rPr>
          <w:rFonts w:hint="eastAsia" w:ascii="仿宋_GB2312" w:hAnsi="仿宋_GB2312" w:eastAsia="仿宋_GB2312"/>
          <w:sz w:val="32"/>
          <w:szCs w:val="32"/>
          <w:highlight w:val="none"/>
        </w:rPr>
        <w:t>企业</w:t>
      </w:r>
      <w:r>
        <w:rPr>
          <w:rFonts w:hint="eastAsia" w:ascii="仿宋_GB2312" w:hAnsi="仿宋_GB2312" w:eastAsia="仿宋_GB2312"/>
          <w:sz w:val="32"/>
          <w:szCs w:val="32"/>
          <w:highlight w:val="none"/>
          <w:lang w:eastAsia="zh-CN"/>
        </w:rPr>
        <w:t>。</w:t>
      </w:r>
    </w:p>
    <w:p>
      <w:pPr>
        <w:pStyle w:val="8"/>
        <w:widowControl w:val="0"/>
        <w:snapToGrid w:val="0"/>
        <w:spacing w:beforeLines="0" w:afterLines="0" w:line="620" w:lineRule="exact"/>
        <w:ind w:firstLine="644" w:firstLineChars="200"/>
        <w:rPr>
          <w:rFonts w:hint="eastAsia" w:ascii="仿宋" w:hAnsi="仿宋" w:eastAsia="仿宋" w:cs="楷体_GB2312"/>
          <w:b/>
          <w:bCs/>
          <w:sz w:val="32"/>
          <w:szCs w:val="32"/>
          <w:highlight w:val="none"/>
          <w:lang w:val="en-US" w:eastAsia="zh-CN"/>
        </w:rPr>
      </w:pPr>
      <w:r>
        <w:rPr>
          <w:rFonts w:hint="eastAsia" w:ascii="仿宋_GB2312" w:eastAsia="仿宋_GB2312" w:cs="宋体"/>
          <w:b/>
          <w:bCs/>
          <w:color w:val="auto"/>
          <w:sz w:val="32"/>
          <w:szCs w:val="32"/>
          <w:highlight w:val="none"/>
          <w:lang w:val="en-US" w:eastAsia="zh-CN"/>
        </w:rPr>
        <w:t>2.申报资格条件</w:t>
      </w:r>
    </w:p>
    <w:p>
      <w:pPr>
        <w:pStyle w:val="8"/>
        <w:widowControl w:val="0"/>
        <w:numPr>
          <w:ilvl w:val="0"/>
          <w:numId w:val="0"/>
        </w:numPr>
        <w:snapToGrid w:val="0"/>
        <w:spacing w:beforeLines="0" w:afterLines="0" w:line="620" w:lineRule="exact"/>
        <w:ind w:firstLine="644" w:firstLineChars="200"/>
        <w:rPr>
          <w:rFonts w:hint="eastAsia" w:ascii="仿宋" w:hAnsi="仿宋" w:eastAsia="仿宋" w:cs="楷体_GB2312"/>
          <w:b/>
          <w:bCs/>
          <w:sz w:val="32"/>
          <w:szCs w:val="32"/>
          <w:highlight w:val="none"/>
          <w:lang w:val="en-US" w:eastAsia="zh-CN"/>
        </w:rPr>
      </w:pPr>
      <w:r>
        <w:rPr>
          <w:rFonts w:hint="eastAsia" w:ascii="仿宋_GB2312" w:hAnsi="仿宋_GB2312" w:eastAsia="仿宋_GB2312" w:cs="仿宋_GB2312"/>
          <w:color w:val="auto"/>
          <w:sz w:val="32"/>
          <w:szCs w:val="32"/>
          <w:highlight w:val="none"/>
        </w:rPr>
        <w:t>工商注册、税务登记和统计关系均在福田。</w:t>
      </w:r>
    </w:p>
    <w:p>
      <w:pPr>
        <w:snapToGrid w:val="0"/>
        <w:spacing w:beforeLines="0" w:afterLines="0" w:line="620" w:lineRule="exact"/>
        <w:ind w:firstLine="644" w:firstLineChars="200"/>
        <w:rPr>
          <w:rFonts w:hint="eastAsia" w:ascii="黑体" w:hAnsi="黑体" w:eastAsia="黑体" w:cs="黑体"/>
          <w:sz w:val="32"/>
          <w:szCs w:val="32"/>
          <w:highlight w:val="none"/>
        </w:rPr>
      </w:pPr>
    </w:p>
    <w:p>
      <w:pPr>
        <w:snapToGrid w:val="0"/>
        <w:spacing w:beforeLines="0" w:afterLines="0" w:line="620" w:lineRule="exact"/>
        <w:ind w:firstLine="644"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lang w:eastAsia="zh-CN"/>
        </w:rPr>
        <w:t>金融工作局</w:t>
      </w:r>
    </w:p>
    <w:p>
      <w:pPr>
        <w:snapToGrid w:val="0"/>
        <w:spacing w:beforeLines="0" w:afterLines="0" w:line="620" w:lineRule="exact"/>
        <w:ind w:firstLine="644" w:firstLineChars="200"/>
        <w:rPr>
          <w:rFonts w:hint="eastAsia" w:ascii="楷体" w:hAnsi="楷体" w:eastAsia="楷体" w:cs="楷体"/>
          <w:sz w:val="32"/>
          <w:szCs w:val="32"/>
          <w:highlight w:val="none"/>
          <w:lang w:val="zh-CN" w:eastAsia="zh-CN"/>
        </w:rPr>
      </w:pPr>
      <w:r>
        <w:rPr>
          <w:rFonts w:hint="eastAsia" w:ascii="楷体" w:hAnsi="楷体" w:eastAsia="楷体" w:cs="楷体"/>
          <w:sz w:val="32"/>
          <w:szCs w:val="32"/>
          <w:highlight w:val="none"/>
          <w:lang w:val="zh-CN"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lang w:val="zh-CN" w:eastAsia="zh-CN"/>
        </w:rPr>
        <w:t>服务范围</w:t>
      </w:r>
    </w:p>
    <w:p>
      <w:pPr>
        <w:snapToGrid w:val="0"/>
        <w:spacing w:beforeLines="0" w:afterLines="0" w:line="620" w:lineRule="exact"/>
        <w:ind w:left="644" w:leftChars="304" w:firstLine="0" w:firstLineChars="0"/>
        <w:rPr>
          <w:rFonts w:hint="eastAsia" w:ascii="楷体" w:hAnsi="楷体" w:eastAsia="楷体" w:cs="楷体"/>
          <w:sz w:val="32"/>
          <w:szCs w:val="32"/>
          <w:highlight w:val="none"/>
          <w:lang w:val="zh-CN" w:eastAsia="zh-CN"/>
        </w:rPr>
      </w:pPr>
      <w:r>
        <w:rPr>
          <w:rFonts w:hint="eastAsia" w:ascii="仿宋_GB2312" w:hAnsi="仿宋_GB2312" w:eastAsia="仿宋_GB2312" w:cs="仿宋_GB2312"/>
          <w:b w:val="0"/>
          <w:bCs w:val="0"/>
          <w:color w:val="auto"/>
          <w:sz w:val="32"/>
          <w:szCs w:val="32"/>
          <w:highlight w:val="none"/>
          <w:u w:val="none"/>
          <w:lang w:eastAsia="zh-CN"/>
        </w:rPr>
        <w:t>持牌金融机构、金融科技行业、</w:t>
      </w:r>
      <w:r>
        <w:rPr>
          <w:rFonts w:hint="eastAsia" w:ascii="仿宋_GB2312" w:hAnsi="仿宋_GB2312" w:eastAsia="仿宋_GB2312" w:cs="仿宋_GB2312"/>
          <w:b w:val="0"/>
          <w:bCs w:val="0"/>
          <w:color w:val="auto"/>
          <w:sz w:val="32"/>
          <w:szCs w:val="32"/>
          <w:highlight w:val="none"/>
          <w:u w:val="none"/>
          <w:lang w:val="en-US" w:eastAsia="zh-Hans"/>
        </w:rPr>
        <w:t>上市企业</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eastAsia="zh-CN"/>
        </w:rPr>
        <w:t>其他金融机构。</w:t>
      </w:r>
      <w:r>
        <w:rPr>
          <w:rFonts w:hint="eastAsia" w:ascii="楷体" w:hAnsi="楷体" w:eastAsia="楷体" w:cs="楷体"/>
          <w:sz w:val="32"/>
          <w:szCs w:val="32"/>
          <w:highlight w:val="none"/>
          <w:lang w:val="zh-CN" w:eastAsia="zh-CN"/>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lang w:val="zh-CN" w:eastAsia="zh-CN"/>
        </w:rPr>
        <w:t>认定标准</w:t>
      </w:r>
    </w:p>
    <w:p>
      <w:pPr>
        <w:numPr>
          <w:ilvl w:val="0"/>
          <w:numId w:val="0"/>
        </w:numPr>
        <w:autoSpaceDE w:val="0"/>
        <w:autoSpaceDN w:val="0"/>
        <w:adjustRightInd w:val="0"/>
        <w:snapToGrid w:val="0"/>
        <w:spacing w:beforeLines="0" w:afterLines="0" w:line="620" w:lineRule="exact"/>
        <w:ind w:firstLine="644" w:firstLineChars="200"/>
        <w:rPr>
          <w:rFonts w:hint="eastAsia" w:ascii="仿宋_GB2312" w:hAnsi="仿宋_GB2312" w:eastAsia="仿宋_GB2312" w:cs="仿宋_GB2312"/>
          <w:bCs/>
          <w:kern w:val="0"/>
          <w:sz w:val="32"/>
          <w:szCs w:val="32"/>
          <w:highlight w:val="none"/>
          <w:lang w:val="zh-CN"/>
        </w:rPr>
      </w:pPr>
      <w:r>
        <w:rPr>
          <w:rFonts w:hint="eastAsia" w:ascii="仿宋_GB2312" w:hAnsi="仿宋_GB2312" w:eastAsia="仿宋_GB2312" w:cs="仿宋_GB2312"/>
          <w:b/>
          <w:kern w:val="0"/>
          <w:sz w:val="32"/>
          <w:szCs w:val="32"/>
          <w:highlight w:val="none"/>
          <w:lang w:val="en-US" w:eastAsia="zh-CN" w:bidi="ar-SA"/>
        </w:rPr>
        <w:t>1.分类标准</w:t>
      </w:r>
      <w:r>
        <w:rPr>
          <w:rFonts w:hint="eastAsia" w:ascii="仿宋_GB2312" w:hAnsi="仿宋_GB2312" w:eastAsia="仿宋_GB2312" w:cs="仿宋_GB2312"/>
          <w:b/>
          <w:kern w:val="0"/>
          <w:sz w:val="32"/>
          <w:szCs w:val="32"/>
          <w:highlight w:val="none"/>
          <w:lang w:val="zh-CN" w:eastAsia="zh-CN" w:bidi="ar-SA"/>
        </w:rPr>
        <w:t xml:space="preserve">（符合以下其中一项即可） </w:t>
      </w:r>
      <w:r>
        <w:rPr>
          <w:rFonts w:hint="eastAsia" w:ascii="仿宋_GB2312" w:hAnsi="仿宋_GB2312" w:eastAsia="仿宋_GB2312" w:cs="仿宋_GB2312"/>
          <w:kern w:val="0"/>
          <w:sz w:val="32"/>
          <w:szCs w:val="32"/>
          <w:highlight w:val="none"/>
          <w:lang w:val="zh-CN"/>
        </w:rPr>
        <w:t xml:space="preserve">                                                    </w:t>
      </w:r>
    </w:p>
    <w:p>
      <w:pPr>
        <w:keepNext w:val="0"/>
        <w:keepLines w:val="0"/>
        <w:pageBreakBefore w:val="0"/>
        <w:widowControl w:val="0"/>
        <w:kinsoku/>
        <w:wordWrap/>
        <w:overflowPunct/>
        <w:topLinePunct w:val="0"/>
        <w:bidi w:val="0"/>
        <w:snapToGrid/>
        <w:spacing w:beforeLines="0" w:afterLines="0" w:line="620" w:lineRule="exact"/>
        <w:ind w:left="0" w:leftChars="0" w:right="0" w:rightChars="0" w:firstLine="644" w:firstLineChars="2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持牌金融机构（含市一级分支机构）；</w:t>
      </w:r>
    </w:p>
    <w:p>
      <w:pPr>
        <w:keepNext w:val="0"/>
        <w:keepLines w:val="0"/>
        <w:pageBreakBefore w:val="0"/>
        <w:widowControl w:val="0"/>
        <w:kinsoku/>
        <w:wordWrap/>
        <w:overflowPunct/>
        <w:topLinePunct w:val="0"/>
        <w:bidi w:val="0"/>
        <w:snapToGrid/>
        <w:spacing w:beforeLines="0" w:afterLines="0" w:line="620" w:lineRule="exact"/>
        <w:ind w:left="0" w:leftChars="0" w:right="0" w:rightChars="0"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金融科技行业（符合其中一项即可）①经金融监管部门批准设立的金融科技基础设施、公司，或银行、证券、保险、基金及其他金融机构发起（参与）设立的金融科技公司；②年度金融科技业务收入不低于3,000万元的金融科技企业；③年度金融科技业务收入占企业当年营业收入比例不低于50%的金融科技企业；④经区产业发展联席会审议同意的金融科技企业；⑤金融科技相关研究机构、行业协会。</w:t>
      </w:r>
    </w:p>
    <w:p>
      <w:pPr>
        <w:keepNext w:val="0"/>
        <w:keepLines w:val="0"/>
        <w:pageBreakBefore w:val="0"/>
        <w:widowControl w:val="0"/>
        <w:kinsoku/>
        <w:wordWrap/>
        <w:overflowPunct/>
        <w:topLinePunct w:val="0"/>
        <w:bidi w:val="0"/>
        <w:snapToGrid/>
        <w:spacing w:beforeLines="0" w:afterLines="0" w:line="620" w:lineRule="exact"/>
        <w:ind w:left="0" w:leftChars="0" w:right="0" w:rightChars="0"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eastAsia="zh-CN"/>
        </w:rPr>
        <w:t>辖区</w:t>
      </w:r>
      <w:r>
        <w:rPr>
          <w:rFonts w:hint="eastAsia" w:ascii="仿宋_GB2312" w:hAnsi="仿宋_GB2312" w:eastAsia="仿宋_GB2312" w:cs="仿宋_GB2312"/>
          <w:sz w:val="32"/>
          <w:szCs w:val="32"/>
          <w:highlight w:val="none"/>
          <w:lang w:val="en-US" w:eastAsia="zh-Hans"/>
        </w:rPr>
        <w:t>上市企业</w:t>
      </w:r>
      <w:r>
        <w:rPr>
          <w:rFonts w:hint="eastAsia" w:ascii="仿宋_GB2312" w:hAnsi="仿宋_GB2312" w:eastAsia="仿宋_GB2312" w:cs="仿宋_GB2312"/>
          <w:sz w:val="32"/>
          <w:szCs w:val="32"/>
          <w:highlight w:val="none"/>
          <w:lang w:val="en-US" w:eastAsia="zh-CN"/>
        </w:rPr>
        <w:t>；</w:t>
      </w:r>
    </w:p>
    <w:p>
      <w:pPr>
        <w:pageBreakBefore w:val="0"/>
        <w:widowControl w:val="0"/>
        <w:kinsoku/>
        <w:wordWrap/>
        <w:overflowPunct/>
        <w:topLinePunct w:val="0"/>
        <w:autoSpaceDE/>
        <w:autoSpaceDN/>
        <w:bidi w:val="0"/>
        <w:adjustRightInd/>
        <w:snapToGrid/>
        <w:spacing w:before="0" w:beforeLines="0" w:after="0" w:afterLines="0" w:line="620" w:lineRule="exact"/>
        <w:ind w:firstLine="644" w:firstLineChars="200"/>
        <w:jc w:val="left"/>
        <w:textAlignment w:val="auto"/>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sz w:val="32"/>
          <w:szCs w:val="32"/>
          <w:highlight w:val="none"/>
          <w:lang w:val="en-US" w:eastAsia="zh-CN"/>
        </w:rPr>
        <w:t>（4）其他金融机构（符合其中一项即可）①</w:t>
      </w:r>
      <w:r>
        <w:rPr>
          <w:rFonts w:hint="eastAsia" w:ascii="仿宋_GB2312" w:hAnsi="仿宋_GB2312" w:eastAsia="仿宋_GB2312" w:cs="仿宋_GB2312"/>
          <w:sz w:val="32"/>
          <w:szCs w:val="32"/>
          <w:highlight w:val="none"/>
          <w:lang w:val="zh-CN" w:eastAsia="zh-CN"/>
        </w:rPr>
        <w:t>在中国证券投资基金业协会登记的私募基金管理人或在市地方金融监督管理局备案的创投企业；</w:t>
      </w: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val="zh-CN" w:eastAsia="zh-CN"/>
        </w:rPr>
        <w:t>金融相关行业社会组织</w:t>
      </w:r>
      <w:r>
        <w:rPr>
          <w:rFonts w:hint="eastAsia" w:ascii="仿宋_GB2312" w:hAnsi="仿宋_GB2312" w:eastAsia="仿宋_GB2312" w:cs="仿宋_GB2312"/>
          <w:sz w:val="32"/>
          <w:szCs w:val="32"/>
          <w:highlight w:val="none"/>
          <w:lang w:val="en-US" w:eastAsia="zh-CN"/>
        </w:rPr>
        <w:t>；③</w:t>
      </w:r>
      <w:r>
        <w:rPr>
          <w:rFonts w:hint="eastAsia" w:ascii="仿宋_GB2312" w:hAnsi="仿宋_GB2312" w:eastAsia="仿宋_GB2312" w:cs="仿宋_GB2312"/>
          <w:b w:val="0"/>
          <w:bCs w:val="0"/>
          <w:sz w:val="32"/>
          <w:szCs w:val="32"/>
          <w:lang w:val="en-US" w:eastAsia="zh-CN"/>
        </w:rPr>
        <w:t>经地方金融监管部门审批和监管的地方金融组织。</w:t>
      </w:r>
    </w:p>
    <w:p>
      <w:pPr>
        <w:widowControl w:val="0"/>
        <w:autoSpaceDE w:val="0"/>
        <w:autoSpaceDN w:val="0"/>
        <w:adjustRightInd w:val="0"/>
        <w:snapToGrid w:val="0"/>
        <w:spacing w:before="0" w:beforeLines="0" w:after="0" w:afterLines="0" w:line="620" w:lineRule="exact"/>
        <w:ind w:firstLine="640"/>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2.申报资格条件</w:t>
      </w:r>
    </w:p>
    <w:p>
      <w:pPr>
        <w:autoSpaceDE w:val="0"/>
        <w:autoSpaceDN w:val="0"/>
        <w:adjustRightInd w:val="0"/>
        <w:spacing w:line="620" w:lineRule="exact"/>
        <w:ind w:firstLine="644" w:firstLineChars="200"/>
        <w:jc w:val="left"/>
        <w:rPr>
          <w:rFonts w:hint="eastAsia" w:ascii="黑体" w:hAnsi="黑体" w:eastAsia="黑体" w:cs="Times New Roman"/>
          <w:sz w:val="11"/>
          <w:szCs w:val="11"/>
          <w:highlight w:val="none"/>
        </w:rPr>
      </w:pPr>
      <w:r>
        <w:rPr>
          <w:rFonts w:hint="eastAsia" w:ascii="仿宋_GB2312" w:eastAsia="仿宋_GB2312" w:cs="宋体"/>
          <w:sz w:val="32"/>
          <w:szCs w:val="32"/>
          <w:highlight w:val="none"/>
          <w:u w:val="none"/>
          <w:lang w:eastAsia="zh-CN"/>
        </w:rPr>
        <w:t>工商注册、税务登记和统计关系均在福田。</w:t>
      </w:r>
    </w:p>
    <w:p>
      <w:pPr>
        <w:snapToGrid w:val="0"/>
        <w:spacing w:beforeLines="0" w:afterLines="0" w:line="620" w:lineRule="exact"/>
        <w:rPr>
          <w:rFonts w:ascii="黑体" w:hAnsi="黑体" w:eastAsia="黑体"/>
          <w:sz w:val="32"/>
          <w:szCs w:val="32"/>
          <w:highlight w:val="none"/>
        </w:rPr>
      </w:pPr>
    </w:p>
    <w:p>
      <w:pPr>
        <w:snapToGrid w:val="0"/>
        <w:spacing w:beforeLines="0" w:afterLines="0" w:line="620" w:lineRule="exact"/>
        <w:rPr>
          <w:rFonts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黑体" w:hAnsi="黑体" w:eastAsia="黑体" w:cs="黑体"/>
          <w:color w:val="000000"/>
          <w:sz w:val="32"/>
          <w:szCs w:val="32"/>
          <w:highlight w:val="none"/>
          <w:lang w:eastAsia="zh-CN"/>
        </w:rPr>
        <w:t xml:space="preserve"> ——福田区委政法委</w:t>
      </w:r>
    </w:p>
    <w:p>
      <w:pPr>
        <w:pageBreakBefore w:val="0"/>
        <w:kinsoku/>
        <w:wordWrap/>
        <w:overflowPunct/>
        <w:topLinePunct w:val="0"/>
        <w:autoSpaceDE/>
        <w:autoSpaceDN/>
        <w:bidi w:val="0"/>
        <w:adjustRightInd/>
        <w:snapToGrid w:val="0"/>
        <w:spacing w:beforeLines="0" w:afterLines="0" w:line="620" w:lineRule="exact"/>
        <w:ind w:right="0" w:rightChars="0" w:firstLine="64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keepNext w:val="0"/>
        <w:keepLines w:val="0"/>
        <w:pageBreakBefore w:val="0"/>
        <w:widowControl w:val="0"/>
        <w:kinsoku/>
        <w:wordWrap/>
        <w:overflowPunct/>
        <w:topLinePunct w:val="0"/>
        <w:autoSpaceDE/>
        <w:autoSpaceDN/>
        <w:bidi w:val="0"/>
        <w:adjustRightInd/>
        <w:snapToGrid w:val="0"/>
        <w:spacing w:beforeLines="0" w:afterLines="0" w:line="620" w:lineRule="exact"/>
        <w:ind w:right="0" w:rightChars="0" w:firstLine="644" w:firstLineChars="200"/>
        <w:jc w:val="both"/>
        <w:textAlignment w:val="auto"/>
        <w:outlineLvl w:val="9"/>
        <w:rPr>
          <w:rFonts w:ascii="仿宋" w:hAnsi="仿宋" w:eastAsia="仿宋"/>
          <w:sz w:val="32"/>
          <w:szCs w:val="32"/>
          <w:highlight w:val="none"/>
        </w:rPr>
      </w:pPr>
      <w:r>
        <w:rPr>
          <w:rFonts w:hint="eastAsia" w:ascii="仿宋_GB2312" w:hAnsi="仿宋_GB2312" w:eastAsia="仿宋_GB2312" w:cs="仿宋_GB2312"/>
          <w:sz w:val="32"/>
          <w:szCs w:val="32"/>
          <w:highlight w:val="none"/>
        </w:rPr>
        <w:t>社会组织（经济产业类协会、法律类社会组织以及纳入其他行业主管部门配租工作的社会组织除外）</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autoSpaceDE/>
        <w:autoSpaceDN/>
        <w:bidi w:val="0"/>
        <w:adjustRightInd/>
        <w:snapToGrid w:val="0"/>
        <w:spacing w:beforeLines="0" w:afterLines="0" w:line="620" w:lineRule="exact"/>
        <w:ind w:right="0" w:rightChars="0" w:firstLine="644"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（二）认定标准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highlight w:val="none"/>
        </w:rPr>
        <w:t>分类标准（符合其中一项即可）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（1）在福田区民政局登记注册，且根据《深圳市社会组织评估管理办法（试行）》认定的3A等级及以上的社会组织；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福田区社会建设专项资金总第十期资助项目末期评估结果为优秀的社会组织</w:t>
      </w:r>
      <w:r>
        <w:rPr>
          <w:rFonts w:hint="eastAsia" w:ascii="仿宋_GB2312" w:hAnsi="仿宋_GB2312" w:eastAsia="仿宋_GB2312" w:cs="仿宋_GB2312"/>
          <w:sz w:val="32"/>
          <w:szCs w:val="32"/>
          <w:highlight w:val="none"/>
          <w:lang w:val="en-US" w:eastAsia="zh-CN"/>
        </w:rPr>
        <w:t>。</w:t>
      </w:r>
    </w:p>
    <w:p>
      <w:pPr>
        <w:widowControl w:val="0"/>
        <w:numPr>
          <w:ilvl w:val="0"/>
          <w:numId w:val="0"/>
        </w:numPr>
        <w:autoSpaceDE w:val="0"/>
        <w:autoSpaceDN w:val="0"/>
        <w:adjustRightInd w:val="0"/>
        <w:snapToGrid w:val="0"/>
        <w:spacing w:before="0" w:beforeLines="0" w:after="0" w:afterLines="0" w:line="620" w:lineRule="exact"/>
        <w:ind w:firstLine="644" w:firstLineChars="200"/>
        <w:rPr>
          <w:rFonts w:hint="eastAsia" w:ascii="仿宋_GB2312" w:hAnsi="仿宋_GB2312" w:eastAsia="仿宋_GB2312" w:cs="仿宋_GB2312"/>
          <w:color w:val="000000"/>
          <w:kern w:val="0"/>
          <w:sz w:val="32"/>
          <w:szCs w:val="32"/>
          <w:highlight w:val="none"/>
          <w:lang w:val="zh-CN" w:eastAsia="zh-CN"/>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教育局</w:t>
      </w:r>
    </w:p>
    <w:p>
      <w:pPr>
        <w:snapToGrid w:val="0"/>
        <w:spacing w:beforeLines="0" w:afterLines="0" w:line="620" w:lineRule="exact"/>
        <w:ind w:firstLine="640"/>
        <w:rPr>
          <w:rFonts w:hint="eastAsia" w:ascii="黑体" w:hAnsi="黑体" w:eastAsia="黑体" w:cs="仿宋"/>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pageBreakBefore w:val="0"/>
        <w:kinsoku/>
        <w:wordWrap/>
        <w:overflowPunct/>
        <w:topLinePunct w:val="0"/>
        <w:bidi w:val="0"/>
        <w:snapToGrid w:val="0"/>
        <w:spacing w:beforeLines="0" w:afterLines="0" w:line="620" w:lineRule="exact"/>
        <w:ind w:firstLine="640"/>
        <w:textAlignment w:val="auto"/>
        <w:rPr>
          <w:rFonts w:hint="eastAsia" w:ascii="楷体" w:hAnsi="楷体" w:eastAsia="仿宋_GB2312" w:cs="楷体"/>
          <w:sz w:val="32"/>
          <w:szCs w:val="32"/>
          <w:highlight w:val="none"/>
          <w:lang w:eastAsia="zh-CN"/>
        </w:rPr>
      </w:pPr>
      <w:r>
        <w:rPr>
          <w:rFonts w:hint="eastAsia" w:ascii="仿宋_GB2312" w:hAnsi="仿宋_GB2312" w:eastAsia="仿宋_GB2312" w:cs="仿宋_GB2312"/>
          <w:sz w:val="32"/>
          <w:szCs w:val="32"/>
          <w:highlight w:val="none"/>
        </w:rPr>
        <w:t>在区教育局登记备案的民办幼儿园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民办中小学</w:t>
      </w:r>
      <w:r>
        <w:rPr>
          <w:rFonts w:hint="eastAsia" w:ascii="仿宋_GB2312" w:hAnsi="仿宋_GB2312" w:eastAsia="仿宋_GB2312" w:cs="仿宋_GB2312"/>
          <w:sz w:val="32"/>
          <w:szCs w:val="32"/>
          <w:highlight w:val="none"/>
          <w:lang w:eastAsia="zh-CN"/>
        </w:rPr>
        <w:t>、培训机构。</w:t>
      </w:r>
    </w:p>
    <w:p>
      <w:pPr>
        <w:numPr>
          <w:ilvl w:val="0"/>
          <w:numId w:val="1"/>
        </w:numPr>
        <w:snapToGrid w:val="0"/>
        <w:spacing w:beforeLines="0" w:afterLines="0" w:line="620" w:lineRule="exact"/>
        <w:ind w:firstLine="640"/>
        <w:rPr>
          <w:rFonts w:hint="eastAsia" w:ascii="楷体" w:hAnsi="楷体" w:eastAsia="楷体" w:cs="楷体"/>
          <w:sz w:val="32"/>
          <w:szCs w:val="32"/>
          <w:highlight w:val="none"/>
        </w:rPr>
      </w:pPr>
      <w:r>
        <w:rPr>
          <w:rFonts w:hint="eastAsia" w:ascii="楷体" w:hAnsi="楷体" w:eastAsia="楷体" w:cs="楷体"/>
          <w:sz w:val="32"/>
          <w:szCs w:val="32"/>
          <w:highlight w:val="none"/>
        </w:rPr>
        <w:t>认定标准</w:t>
      </w:r>
    </w:p>
    <w:p>
      <w:pPr>
        <w:snapToGrid w:val="0"/>
        <w:spacing w:beforeLines="0" w:afterLines="0" w:line="620" w:lineRule="exact"/>
        <w:ind w:firstLine="640"/>
        <w:rPr>
          <w:rFonts w:hint="eastAsia" w:ascii="楷体" w:hAnsi="楷体" w:eastAsia="楷体" w:cs="楷体"/>
          <w:sz w:val="32"/>
          <w:szCs w:val="32"/>
          <w:highlight w:val="none"/>
        </w:rPr>
      </w:pPr>
      <w:r>
        <w:rPr>
          <w:rFonts w:hint="eastAsia" w:ascii="仿宋_GB2312" w:eastAsia="仿宋_GB2312"/>
          <w:b/>
          <w:bCs/>
          <w:sz w:val="32"/>
          <w:szCs w:val="32"/>
          <w:highlight w:val="none"/>
        </w:rPr>
        <w:t>申报资格条件（须同时具备）</w:t>
      </w:r>
    </w:p>
    <w:p>
      <w:p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仿宋_GB2312" w:hAnsi="仿宋_GB2312" w:eastAsia="仿宋_GB2312" w:cs="仿宋_GB2312"/>
          <w:sz w:val="32"/>
          <w:szCs w:val="32"/>
          <w:highlight w:val="none"/>
          <w:lang w:val="en-US" w:eastAsia="zh-CN"/>
        </w:rPr>
        <w:t>（1）辖区内处于行业领先的民办教育机构；</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（2）被评为规范化以上的民办教育机构；</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组织机构</w:t>
      </w:r>
      <w:r>
        <w:rPr>
          <w:rFonts w:hint="eastAsia" w:ascii="Times New Roman" w:hAnsi="Times New Roman"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bidi="ar"/>
        </w:rPr>
        <w:t>税务登记</w:t>
      </w:r>
      <w:r>
        <w:rPr>
          <w:rFonts w:hint="eastAsia" w:ascii="仿宋_GB2312" w:hAnsi="仿宋_GB2312" w:eastAsia="仿宋_GB2312" w:cs="仿宋_GB2312"/>
          <w:sz w:val="32"/>
          <w:szCs w:val="32"/>
          <w:highlight w:val="none"/>
          <w:lang w:eastAsia="zh-CN" w:bidi="ar"/>
        </w:rPr>
        <w:t>均</w:t>
      </w:r>
      <w:r>
        <w:rPr>
          <w:rFonts w:hint="eastAsia" w:ascii="仿宋_GB2312" w:hAnsi="仿宋_GB2312" w:eastAsia="仿宋_GB2312" w:cs="仿宋_GB2312"/>
          <w:sz w:val="32"/>
          <w:szCs w:val="32"/>
          <w:highlight w:val="none"/>
          <w:lang w:val="en-US" w:eastAsia="zh-CN"/>
        </w:rPr>
        <w:t>在福田，具有民办学校办学许可证；</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（4）2020年度年检合格；</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（5）1年内未发生安全责任事故；</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i w:val="0"/>
          <w:i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（6）1年内无区级以上通报批评或处罚。</w:t>
      </w:r>
    </w:p>
    <w:p>
      <w:pPr>
        <w:snapToGrid w:val="0"/>
        <w:spacing w:beforeLines="0" w:afterLines="0" w:line="620" w:lineRule="exact"/>
        <w:ind w:firstLine="644" w:firstLineChars="200"/>
        <w:rPr>
          <w:rFonts w:hint="eastAsia" w:ascii="黑体" w:hAnsi="黑体" w:eastAsia="黑体" w:cs="黑体"/>
          <w:sz w:val="32"/>
          <w:szCs w:val="32"/>
          <w:highlight w:val="none"/>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司法局</w:t>
      </w:r>
    </w:p>
    <w:p>
      <w:pPr>
        <w:snapToGrid w:val="0"/>
        <w:spacing w:beforeLines="0" w:afterLines="0" w:line="620" w:lineRule="exact"/>
        <w:ind w:left="600"/>
        <w:rPr>
          <w:rFonts w:hint="eastAsia" w:ascii="楷体" w:hAnsi="楷体" w:eastAsia="楷体" w:cs="楷体"/>
          <w:sz w:val="32"/>
          <w:szCs w:val="32"/>
          <w:highlight w:val="none"/>
        </w:rPr>
      </w:pPr>
      <w:r>
        <w:rPr>
          <w:rFonts w:hint="eastAsia" w:ascii="楷体" w:hAnsi="楷体" w:eastAsia="楷体" w:cs="楷体"/>
          <w:sz w:val="32"/>
          <w:szCs w:val="32"/>
          <w:highlight w:val="none"/>
        </w:rPr>
        <w:t>（一）服务范围</w:t>
      </w:r>
    </w:p>
    <w:p>
      <w:pPr>
        <w:snapToGrid w:val="0"/>
        <w:spacing w:beforeLines="0" w:afterLines="0" w:line="62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律师事务所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法律类社会组织</w:t>
      </w:r>
      <w:r>
        <w:rPr>
          <w:rFonts w:hint="eastAsia" w:ascii="仿宋_GB2312" w:hAnsi="仿宋_GB2312" w:eastAsia="仿宋_GB2312" w:cs="仿宋_GB2312"/>
          <w:sz w:val="32"/>
          <w:szCs w:val="32"/>
          <w:highlight w:val="none"/>
          <w:lang w:eastAsia="zh-CN"/>
        </w:rPr>
        <w:t>。</w:t>
      </w:r>
    </w:p>
    <w:p>
      <w:pPr>
        <w:snapToGrid w:val="0"/>
        <w:spacing w:beforeLines="0" w:afterLines="0" w:line="620" w:lineRule="exact"/>
        <w:ind w:left="600"/>
        <w:rPr>
          <w:rFonts w:hint="eastAsia" w:ascii="楷体" w:hAnsi="楷体" w:eastAsia="楷体" w:cs="楷体"/>
          <w:sz w:val="32"/>
          <w:szCs w:val="32"/>
          <w:highlight w:val="none"/>
        </w:rPr>
      </w:pPr>
      <w:r>
        <w:rPr>
          <w:rFonts w:hint="eastAsia" w:ascii="楷体" w:hAnsi="楷体" w:eastAsia="楷体" w:cs="楷体"/>
          <w:sz w:val="32"/>
          <w:szCs w:val="32"/>
          <w:highlight w:val="none"/>
        </w:rPr>
        <w:t>（二）认定标准</w:t>
      </w:r>
    </w:p>
    <w:p>
      <w:pPr>
        <w:snapToGrid w:val="0"/>
        <w:spacing w:beforeLines="0" w:afterLines="0" w:line="620" w:lineRule="exact"/>
        <w:ind w:firstLine="648"/>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分类标准（符合其中一项即可）</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620" w:lineRule="exact"/>
        <w:ind w:left="648" w:right="0" w:rightChars="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辖区内处于行业领先的律师事务所；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辖区内处于行业领先的司法鉴定机构；</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辖区内为法治社会建设</w:t>
      </w:r>
      <w:r>
        <w:rPr>
          <w:rFonts w:hint="eastAsia" w:ascii="Times New Roman" w:hAnsi="Times New Roman" w:eastAsia="仿宋_GB2312" w:cs="仿宋_GB2312"/>
          <w:sz w:val="32"/>
          <w:szCs w:val="32"/>
          <w:highlight w:val="none"/>
          <w:lang w:eastAsia="zh-CN"/>
        </w:rPr>
        <w:t>做出</w:t>
      </w:r>
      <w:r>
        <w:rPr>
          <w:rFonts w:hint="eastAsia" w:ascii="Times New Roman" w:hAnsi="Times New Roman" w:eastAsia="仿宋_GB2312" w:cs="仿宋_GB2312"/>
          <w:sz w:val="32"/>
          <w:szCs w:val="32"/>
          <w:highlight w:val="none"/>
        </w:rPr>
        <w:t>突出贡献的社会组织。</w:t>
      </w:r>
    </w:p>
    <w:p>
      <w:pPr>
        <w:snapToGrid w:val="0"/>
        <w:spacing w:beforeLines="0" w:afterLines="0" w:line="620" w:lineRule="exact"/>
        <w:ind w:firstLine="644"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申报资格条件</w:t>
      </w:r>
    </w:p>
    <w:p>
      <w:pPr>
        <w:keepNext w:val="0"/>
        <w:keepLines w:val="0"/>
        <w:pageBreakBefore w:val="0"/>
        <w:widowControl w:val="0"/>
        <w:kinsoku/>
        <w:wordWrap/>
        <w:overflowPunct/>
        <w:topLinePunct w:val="0"/>
        <w:autoSpaceDE/>
        <w:autoSpaceDN/>
        <w:bidi w:val="0"/>
        <w:adjustRightInd/>
        <w:spacing w:line="620" w:lineRule="exact"/>
        <w:ind w:right="0" w:rightChars="0" w:firstLine="645"/>
        <w:textAlignment w:val="auto"/>
        <w:outlineLvl w:val="9"/>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组织机构和税务登记在福田；</w:t>
      </w:r>
    </w:p>
    <w:p>
      <w:pPr>
        <w:keepNext w:val="0"/>
        <w:keepLines w:val="0"/>
        <w:pageBreakBefore w:val="0"/>
        <w:widowControl w:val="0"/>
        <w:kinsoku/>
        <w:wordWrap/>
        <w:overflowPunct/>
        <w:topLinePunct w:val="0"/>
        <w:autoSpaceDE/>
        <w:autoSpaceDN/>
        <w:bidi w:val="0"/>
        <w:adjustRightInd/>
        <w:spacing w:line="620" w:lineRule="exact"/>
        <w:ind w:right="0" w:rightChars="0" w:firstLine="644"/>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必须具备以下条件之一：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①</w:t>
      </w:r>
      <w:r>
        <w:rPr>
          <w:rFonts w:hint="eastAsia" w:ascii="Times New Roman" w:hAnsi="Times New Roman" w:eastAsia="仿宋_GB2312" w:cs="仿宋_GB2312"/>
          <w:sz w:val="32"/>
          <w:szCs w:val="32"/>
          <w:highlight w:val="none"/>
        </w:rPr>
        <w:t>在福田区20</w:t>
      </w:r>
      <w:r>
        <w:rPr>
          <w:rFonts w:hint="eastAsia" w:ascii="Times New Roman" w:hAnsi="Times New Roman" w:eastAsia="仿宋_GB2312" w:cs="仿宋_GB2312"/>
          <w:sz w:val="32"/>
          <w:szCs w:val="32"/>
          <w:highlight w:val="none"/>
          <w:lang w:val="en-US" w:eastAsia="zh-CN"/>
        </w:rPr>
        <w:t>21</w:t>
      </w:r>
      <w:r>
        <w:rPr>
          <w:rFonts w:hint="eastAsia" w:ascii="Times New Roman" w:hAnsi="Times New Roman" w:eastAsia="仿宋_GB2312" w:cs="仿宋_GB2312"/>
          <w:sz w:val="32"/>
          <w:szCs w:val="32"/>
          <w:highlight w:val="none"/>
        </w:rPr>
        <w:t>年度</w:t>
      </w:r>
      <w:r>
        <w:rPr>
          <w:rFonts w:hint="eastAsia" w:ascii="Times New Roman" w:hAnsi="Times New Roman" w:eastAsia="仿宋_GB2312" w:cs="仿宋_GB2312"/>
          <w:sz w:val="32"/>
          <w:szCs w:val="32"/>
          <w:highlight w:val="none"/>
          <w:lang w:eastAsia="zh-CN"/>
        </w:rPr>
        <w:t>营业收入</w:t>
      </w:r>
      <w:r>
        <w:rPr>
          <w:rFonts w:hint="eastAsia" w:ascii="Times New Roman" w:hAnsi="Times New Roman" w:eastAsia="仿宋_GB2312" w:cs="仿宋_GB2312"/>
          <w:sz w:val="32"/>
          <w:szCs w:val="32"/>
          <w:highlight w:val="none"/>
        </w:rPr>
        <w:t>达1</w:t>
      </w:r>
      <w:r>
        <w:rPr>
          <w:rFonts w:hint="eastAsia" w:ascii="Times New Roman" w:hAnsi="Times New Roman" w:eastAsia="仿宋_GB2312" w:cs="仿宋_GB2312"/>
          <w:sz w:val="32"/>
          <w:szCs w:val="32"/>
          <w:highlight w:val="none"/>
          <w:lang w:val="en-US" w:eastAsia="zh-CN"/>
        </w:rPr>
        <w:t>000</w:t>
      </w:r>
      <w:r>
        <w:rPr>
          <w:rFonts w:hint="eastAsia" w:ascii="Times New Roman" w:hAnsi="Times New Roman" w:eastAsia="仿宋_GB2312" w:cs="仿宋_GB2312"/>
          <w:sz w:val="32"/>
          <w:szCs w:val="32"/>
          <w:highlight w:val="none"/>
        </w:rPr>
        <w:t>万元（含）以上的律师事务所；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汉仪书宋二S" w:hAnsi="汉仪书宋二S" w:eastAsia="汉仪书宋二S" w:cs="汉仪书宋二S"/>
          <w:sz w:val="32"/>
          <w:szCs w:val="32"/>
          <w:highlight w:val="none"/>
          <w:lang w:val="en-US" w:eastAsia="zh-CN"/>
        </w:rPr>
        <w:t>②</w:t>
      </w:r>
      <w:r>
        <w:rPr>
          <w:rFonts w:hint="eastAsia" w:ascii="Times New Roman" w:hAnsi="Times New Roman" w:eastAsia="仿宋_GB2312" w:cs="仿宋_GB2312"/>
          <w:sz w:val="32"/>
          <w:szCs w:val="32"/>
          <w:highlight w:val="none"/>
          <w:lang w:val="en-US" w:eastAsia="zh-CN"/>
        </w:rPr>
        <w:t>在福田区</w:t>
      </w:r>
      <w:r>
        <w:rPr>
          <w:rFonts w:hint="eastAsia" w:ascii="Times New Roman" w:hAnsi="Times New Roman" w:eastAsia="仿宋_GB2312" w:cs="仿宋_GB2312"/>
          <w:sz w:val="32"/>
          <w:szCs w:val="32"/>
          <w:highlight w:val="none"/>
        </w:rPr>
        <w:t>20</w:t>
      </w:r>
      <w:r>
        <w:rPr>
          <w:rFonts w:hint="eastAsia" w:ascii="Times New Roman" w:hAnsi="Times New Roman" w:eastAsia="仿宋_GB2312" w:cs="仿宋_GB2312"/>
          <w:sz w:val="32"/>
          <w:szCs w:val="32"/>
          <w:highlight w:val="none"/>
          <w:lang w:val="en-US" w:eastAsia="zh-CN"/>
        </w:rPr>
        <w:t>21</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eastAsia="zh-CN"/>
        </w:rPr>
        <w:t>度</w:t>
      </w:r>
      <w:r>
        <w:rPr>
          <w:rFonts w:hint="eastAsia" w:ascii="Times New Roman" w:hAnsi="Times New Roman" w:eastAsia="仿宋_GB2312" w:cs="仿宋_GB2312"/>
          <w:sz w:val="32"/>
          <w:szCs w:val="32"/>
          <w:highlight w:val="none"/>
        </w:rPr>
        <w:t>律师人均营业收入超过全</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平均水平的律师事务所</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③</w:t>
      </w:r>
      <w:r>
        <w:rPr>
          <w:rFonts w:hint="eastAsia" w:ascii="Times New Roman" w:hAnsi="Times New Roman" w:eastAsia="仿宋_GB2312" w:cs="仿宋_GB2312"/>
          <w:sz w:val="32"/>
          <w:szCs w:val="32"/>
          <w:highlight w:val="none"/>
        </w:rPr>
        <w:t>取得相关奖励和荣誉，如近五年内获评省部级政府部门授予的优秀称号、入选国际权威法律评级机构优秀名单的律师事务所；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④</w:t>
      </w:r>
      <w:r>
        <w:rPr>
          <w:rFonts w:hint="eastAsia" w:ascii="Times New Roman" w:hAnsi="Times New Roman" w:eastAsia="仿宋_GB2312" w:cs="仿宋_GB2312"/>
          <w:sz w:val="32"/>
          <w:szCs w:val="32"/>
          <w:highlight w:val="none"/>
        </w:rPr>
        <w:t>在册专家人数50人以上、近三年平均</w:t>
      </w:r>
      <w:r>
        <w:rPr>
          <w:rFonts w:hint="eastAsia" w:ascii="Times New Roman" w:hAnsi="Times New Roman" w:eastAsia="仿宋_GB2312" w:cs="仿宋_GB2312"/>
          <w:sz w:val="32"/>
          <w:szCs w:val="32"/>
          <w:highlight w:val="none"/>
          <w:lang w:eastAsia="zh-CN"/>
        </w:rPr>
        <w:t>综合贡献</w:t>
      </w:r>
      <w:r>
        <w:rPr>
          <w:rFonts w:hint="eastAsia" w:ascii="Times New Roman" w:hAnsi="Times New Roman" w:eastAsia="仿宋_GB2312" w:cs="仿宋_GB2312"/>
          <w:sz w:val="32"/>
          <w:szCs w:val="32"/>
          <w:highlight w:val="none"/>
        </w:rPr>
        <w:t>在300万元以上且通过国家级资质认定的司法鉴定机构</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⑤</w:t>
      </w:r>
      <w:r>
        <w:rPr>
          <w:rFonts w:hint="eastAsia" w:ascii="Times New Roman" w:hAnsi="Times New Roman" w:eastAsia="仿宋_GB2312" w:cs="仿宋_GB2312"/>
          <w:sz w:val="32"/>
          <w:szCs w:val="32"/>
          <w:highlight w:val="none"/>
        </w:rPr>
        <w:t>在知识产权保护方面做出突出贡献，获得过相关奖励或表彰的律师事务所</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⑥</w:t>
      </w:r>
      <w:r>
        <w:rPr>
          <w:rFonts w:hint="eastAsia" w:ascii="Times New Roman" w:hAnsi="Times New Roman" w:eastAsia="仿宋_GB2312" w:cs="仿宋_GB2312"/>
          <w:sz w:val="32"/>
          <w:szCs w:val="32"/>
          <w:highlight w:val="none"/>
        </w:rPr>
        <w:t>上年度提供公益法律诉讼服务宗数50宗以上的律师事务所或社会组织</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⑦</w:t>
      </w:r>
      <w:r>
        <w:rPr>
          <w:rFonts w:hint="eastAsia" w:ascii="Times New Roman" w:hAnsi="Times New Roman" w:eastAsia="仿宋_GB2312" w:cs="仿宋_GB2312"/>
          <w:i w:val="0"/>
          <w:iCs w:val="0"/>
          <w:sz w:val="32"/>
          <w:szCs w:val="32"/>
          <w:highlight w:val="none"/>
        </w:rPr>
        <w:t>由福田区司法局作为业务主管机关，或在深圳市民政局或广东省民政厅依法成立，且注册地在福田区的获得4A级以上认定的社会组织</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i w:val="0"/>
          <w:iCs w:val="0"/>
          <w:sz w:val="32"/>
          <w:szCs w:val="32"/>
          <w:highlight w:val="none"/>
          <w:lang w:eastAsia="zh-CN"/>
        </w:rPr>
      </w:pPr>
      <w:r>
        <w:rPr>
          <w:rFonts w:hint="eastAsia" w:ascii="汉仪书宋二S" w:hAnsi="汉仪书宋二S" w:eastAsia="汉仪书宋二S" w:cs="汉仪书宋二S"/>
          <w:sz w:val="32"/>
          <w:szCs w:val="32"/>
          <w:highlight w:val="none"/>
          <w:lang w:eastAsia="zh-CN"/>
        </w:rPr>
        <w:t>⑧</w:t>
      </w:r>
      <w:r>
        <w:rPr>
          <w:rFonts w:hint="eastAsia" w:ascii="Times New Roman" w:hAnsi="Times New Roman" w:eastAsia="仿宋_GB2312" w:cs="仿宋_GB2312"/>
          <w:i w:val="0"/>
          <w:iCs w:val="0"/>
          <w:sz w:val="32"/>
          <w:szCs w:val="32"/>
          <w:highlight w:val="none"/>
          <w:lang w:eastAsia="zh-CN"/>
        </w:rPr>
        <w:t>其他符合条件的律师事务所、司法鉴定机构或社会组织。</w:t>
      </w:r>
    </w:p>
    <w:p>
      <w:pPr>
        <w:spacing w:line="620" w:lineRule="exact"/>
        <w:rPr>
          <w:rFonts w:hint="eastAsia" w:ascii="黑体" w:hAnsi="黑体" w:eastAsia="黑体" w:cs="黑体"/>
          <w:sz w:val="32"/>
          <w:szCs w:val="32"/>
          <w:highlight w:val="none"/>
        </w:rPr>
      </w:pPr>
      <w:r>
        <w:rPr>
          <w:rFonts w:hint="eastAsia" w:ascii="黑体" w:hAnsi="黑体" w:eastAsia="黑体"/>
          <w:sz w:val="32"/>
          <w:szCs w:val="32"/>
          <w:highlight w:val="none"/>
        </w:rPr>
        <w:t xml:space="preserve"> </w:t>
      </w: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财政局</w:t>
      </w:r>
    </w:p>
    <w:p>
      <w:pPr>
        <w:keepNext w:val="0"/>
        <w:keepLines w:val="0"/>
        <w:pageBreakBefore w:val="0"/>
        <w:kinsoku/>
        <w:wordWrap/>
        <w:overflowPunct/>
        <w:topLinePunct w:val="0"/>
        <w:autoSpaceDE/>
        <w:autoSpaceDN/>
        <w:bidi w:val="0"/>
        <w:adjustRightInd/>
        <w:snapToGrid w:val="0"/>
        <w:spacing w:beforeLines="0" w:afterLines="0" w:line="620" w:lineRule="exact"/>
        <w:ind w:left="600" w:right="0" w:rightChars="0" w:firstLine="0" w:firstLineChars="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keepNext w:val="0"/>
        <w:keepLines w:val="0"/>
        <w:pageBreakBefore w:val="0"/>
        <w:kinsoku/>
        <w:wordWrap/>
        <w:overflowPunct/>
        <w:topLinePunct w:val="0"/>
        <w:autoSpaceDE/>
        <w:autoSpaceDN/>
        <w:bidi w:val="0"/>
        <w:adjustRightInd/>
        <w:snapToGrid/>
        <w:spacing w:line="620" w:lineRule="exact"/>
        <w:ind w:left="6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会计师事务所、资产评估机构</w:t>
      </w:r>
    </w:p>
    <w:p>
      <w:pPr>
        <w:keepNext w:val="0"/>
        <w:keepLines w:val="0"/>
        <w:pageBreakBefore w:val="0"/>
        <w:kinsoku/>
        <w:wordWrap/>
        <w:overflowPunct/>
        <w:topLinePunct w:val="0"/>
        <w:autoSpaceDE/>
        <w:autoSpaceDN/>
        <w:bidi w:val="0"/>
        <w:adjustRightInd/>
        <w:snapToGrid w:val="0"/>
        <w:spacing w:beforeLines="0" w:afterLines="0" w:line="620" w:lineRule="exact"/>
        <w:ind w:left="600"/>
        <w:textAlignment w:val="auto"/>
        <w:outlineLvl w:val="9"/>
        <w:rPr>
          <w:rFonts w:hint="eastAsia" w:ascii="楷体" w:hAnsi="楷体" w:eastAsia="楷体" w:cs="楷体"/>
          <w:b w:val="0"/>
          <w:bCs w:val="0"/>
          <w:color w:val="000000"/>
          <w:sz w:val="32"/>
          <w:szCs w:val="32"/>
          <w:highlight w:val="none"/>
        </w:rPr>
      </w:pPr>
      <w:r>
        <w:rPr>
          <w:rFonts w:hint="eastAsia" w:ascii="楷体" w:hAnsi="楷体" w:eastAsia="楷体" w:cs="楷体"/>
          <w:b w:val="0"/>
          <w:bCs w:val="0"/>
          <w:sz w:val="32"/>
          <w:szCs w:val="32"/>
          <w:highlight w:val="none"/>
          <w:lang w:eastAsia="zh-CN"/>
        </w:rPr>
        <w:t>（二）</w:t>
      </w:r>
      <w:r>
        <w:rPr>
          <w:rFonts w:hint="eastAsia" w:ascii="楷体" w:hAnsi="楷体" w:eastAsia="楷体" w:cs="楷体"/>
          <w:b w:val="0"/>
          <w:bCs w:val="0"/>
          <w:color w:val="000000"/>
          <w:sz w:val="32"/>
          <w:szCs w:val="32"/>
          <w:highlight w:val="none"/>
        </w:rPr>
        <w:t>认定标准</w:t>
      </w:r>
    </w:p>
    <w:p>
      <w:pPr>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b/>
          <w:bCs w:val="0"/>
          <w:color w:val="000000"/>
          <w:sz w:val="32"/>
          <w:szCs w:val="32"/>
          <w:highlight w:val="none"/>
        </w:rPr>
      </w:pPr>
      <w:r>
        <w:rPr>
          <w:rFonts w:hint="eastAsia" w:ascii="仿宋_GB2312" w:hAnsi="仿宋_GB2312" w:eastAsia="仿宋_GB2312" w:cs="仿宋_GB2312"/>
          <w:b/>
          <w:bCs w:val="0"/>
          <w:color w:val="000000"/>
          <w:sz w:val="32"/>
          <w:szCs w:val="32"/>
          <w:highlight w:val="none"/>
          <w:lang w:val="en-US" w:eastAsia="zh-CN"/>
        </w:rPr>
        <w:t>1.</w:t>
      </w:r>
      <w:r>
        <w:rPr>
          <w:rFonts w:hint="eastAsia" w:ascii="仿宋_GB2312" w:hAnsi="仿宋_GB2312" w:eastAsia="仿宋_GB2312" w:cs="仿宋_GB2312"/>
          <w:b/>
          <w:bCs w:val="0"/>
          <w:color w:val="000000"/>
          <w:sz w:val="32"/>
          <w:szCs w:val="32"/>
          <w:highlight w:val="none"/>
        </w:rPr>
        <w:t xml:space="preserve">分类标准（符合其中一项即可） </w:t>
      </w:r>
    </w:p>
    <w:p>
      <w:pPr>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（1）辖区内处于行业领先的</w:t>
      </w:r>
      <w:r>
        <w:rPr>
          <w:rFonts w:hint="eastAsia" w:ascii="仿宋_GB2312" w:hAnsi="仿宋_GB2312" w:cs="仿宋_GB2312"/>
          <w:sz w:val="32"/>
          <w:szCs w:val="32"/>
          <w:highlight w:val="none"/>
          <w:lang w:eastAsia="zh-CN"/>
        </w:rPr>
        <w:t>会计师</w:t>
      </w:r>
      <w:r>
        <w:rPr>
          <w:rFonts w:hint="eastAsia" w:ascii="仿宋_GB2312" w:hAnsi="仿宋_GB2312" w:eastAsia="仿宋_GB2312" w:cs="仿宋_GB2312"/>
          <w:sz w:val="32"/>
          <w:szCs w:val="32"/>
          <w:highlight w:val="none"/>
        </w:rPr>
        <w:t>事务所；</w:t>
      </w:r>
    </w:p>
    <w:p>
      <w:pPr>
        <w:pStyle w:val="9"/>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sz w:val="32"/>
          <w:szCs w:val="32"/>
          <w:highlight w:val="none"/>
        </w:rPr>
        <w:t>（2）辖区内处于行业领先的</w:t>
      </w:r>
      <w:r>
        <w:rPr>
          <w:rFonts w:hint="eastAsia" w:ascii="仿宋_GB2312" w:hAnsi="仿宋_GB2312" w:eastAsia="仿宋_GB2312" w:cs="仿宋_GB2312"/>
          <w:color w:val="000000"/>
          <w:sz w:val="32"/>
          <w:szCs w:val="32"/>
          <w:highlight w:val="none"/>
          <w:lang w:eastAsia="zh-CN"/>
        </w:rPr>
        <w:t>资产评估</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b/>
          <w:bCs w:val="0"/>
          <w:color w:val="000000"/>
          <w:sz w:val="32"/>
          <w:szCs w:val="32"/>
          <w:highlight w:val="none"/>
        </w:rPr>
        <w:t xml:space="preserve">    </w:t>
      </w:r>
      <w:r>
        <w:rPr>
          <w:rFonts w:hint="eastAsia" w:ascii="仿宋_GB2312" w:hAnsi="仿宋_GB2312" w:eastAsia="仿宋_GB2312" w:cs="仿宋_GB2312"/>
          <w:b w:val="0"/>
          <w:bCs/>
          <w:color w:val="000000"/>
          <w:sz w:val="32"/>
          <w:szCs w:val="32"/>
          <w:highlight w:val="none"/>
        </w:rPr>
        <w:t xml:space="preserve">                                                 </w:t>
      </w:r>
    </w:p>
    <w:p>
      <w:pPr>
        <w:pStyle w:val="9"/>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b/>
          <w:color w:val="000000"/>
          <w:sz w:val="32"/>
          <w:szCs w:val="32"/>
          <w:highlight w:val="none"/>
          <w:lang w:eastAsia="zh-CN"/>
        </w:rPr>
      </w:pP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rPr>
        <w:t>申报资格条件</w:t>
      </w:r>
      <w:r>
        <w:rPr>
          <w:rFonts w:hint="eastAsia" w:ascii="仿宋_GB2312" w:hAnsi="仿宋_GB2312" w:eastAsia="仿宋_GB2312" w:cs="仿宋_GB2312"/>
          <w:b/>
          <w:color w:val="000000"/>
          <w:sz w:val="32"/>
          <w:szCs w:val="32"/>
          <w:highlight w:val="none"/>
          <w:lang w:eastAsia="zh-CN"/>
        </w:rPr>
        <w:t>（</w:t>
      </w:r>
      <w:r>
        <w:rPr>
          <w:rFonts w:hint="eastAsia" w:ascii="仿宋_GB2312" w:hAnsi="仿宋_GB2312" w:eastAsia="仿宋_GB2312" w:cs="仿宋_GB2312"/>
          <w:b/>
          <w:color w:val="000000"/>
          <w:sz w:val="32"/>
          <w:szCs w:val="32"/>
          <w:highlight w:val="none"/>
        </w:rPr>
        <w:t>须同时具备</w:t>
      </w:r>
      <w:r>
        <w:rPr>
          <w:rFonts w:hint="eastAsia" w:ascii="仿宋_GB2312" w:hAnsi="仿宋_GB2312" w:eastAsia="仿宋_GB2312" w:cs="仿宋_GB2312"/>
          <w:b/>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4"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 xml:space="preserve">）工商注册和税务登记均在福田区；    </w:t>
      </w:r>
    </w:p>
    <w:p>
      <w:pPr>
        <w:keepNext w:val="0"/>
        <w:keepLines w:val="0"/>
        <w:pageBreakBefore w:val="0"/>
        <w:numPr>
          <w:ilvl w:val="0"/>
          <w:numId w:val="0"/>
        </w:numPr>
        <w:kinsoku/>
        <w:wordWrap/>
        <w:overflowPunct/>
        <w:topLinePunct w:val="0"/>
        <w:autoSpaceDE/>
        <w:autoSpaceDN/>
        <w:bidi w:val="0"/>
        <w:adjustRightInd/>
        <w:snapToGrid/>
        <w:spacing w:line="620" w:lineRule="exact"/>
        <w:ind w:leftChars="0" w:firstLine="644"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）会计师事务所分所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US" w:eastAsia="zh-CN"/>
        </w:rPr>
        <w:t>年度纳税须达150万（含）以上</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会计师事务所（不含分所）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US" w:eastAsia="zh-CN"/>
        </w:rPr>
        <w:t>年度纳税额度</w:t>
      </w:r>
      <w:r>
        <w:rPr>
          <w:rFonts w:hint="eastAsia" w:ascii="仿宋_GB2312" w:hAnsi="仿宋_GB2312" w:eastAsia="仿宋_GB2312" w:cs="仿宋_GB2312"/>
          <w:color w:val="000000"/>
          <w:sz w:val="32"/>
          <w:szCs w:val="32"/>
          <w:highlight w:val="none"/>
          <w:lang w:eastAsia="zh-CN"/>
        </w:rPr>
        <w:t>须达</w:t>
      </w:r>
      <w:r>
        <w:rPr>
          <w:rFonts w:hint="eastAsia" w:ascii="仿宋_GB2312" w:hAnsi="仿宋_GB2312" w:eastAsia="仿宋_GB2312" w:cs="仿宋_GB2312"/>
          <w:color w:val="000000"/>
          <w:sz w:val="32"/>
          <w:szCs w:val="32"/>
          <w:highlight w:val="none"/>
          <w:lang w:val="en-US" w:eastAsia="zh-CN"/>
        </w:rPr>
        <w:t>25万（含）以上</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资产评估机构</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US" w:eastAsia="zh-CN"/>
        </w:rPr>
        <w:t>年度纳税额度须达25万（含）以上。</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）会计师事务所分所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eastAsia="zh-CN"/>
        </w:rPr>
        <w:t>年末注册会计师人数达1</w:t>
      </w:r>
      <w:r>
        <w:rPr>
          <w:rFonts w:hint="eastAsia" w:ascii="仿宋_GB2312" w:hAnsi="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人（含）以上；会计师事务所（不含分所）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eastAsia="zh-CN"/>
        </w:rPr>
        <w:t>年末注册会计师5人（含）以上</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资产评估机构资产评估师人数达</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人（含）以上</w:t>
      </w:r>
      <w:r>
        <w:rPr>
          <w:rFonts w:hint="eastAsia" w:ascii="仿宋_GB2312" w:hAnsi="仿宋_GB2312" w:cs="仿宋_GB2312"/>
          <w:color w:val="000000"/>
          <w:sz w:val="32"/>
          <w:szCs w:val="32"/>
          <w:highlight w:val="none"/>
          <w:lang w:val="en-US" w:eastAsia="zh-CN"/>
        </w:rPr>
        <w:t>。</w:t>
      </w:r>
    </w:p>
    <w:p>
      <w:pPr>
        <w:snapToGrid/>
        <w:spacing w:beforeLines="0" w:afterLines="0" w:line="620" w:lineRule="exact"/>
        <w:ind w:firstLine="644" w:firstLineChars="200"/>
        <w:rPr>
          <w:rFonts w:hint="eastAsia" w:ascii="仿宋_GB2312" w:hAnsi="仿宋_GB2312" w:eastAsia="仿宋_GB2312" w:cs="仿宋_GB2312"/>
          <w:sz w:val="32"/>
          <w:szCs w:val="32"/>
          <w:highlight w:val="none"/>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福田区卫生和健康</w:t>
      </w:r>
      <w:r>
        <w:rPr>
          <w:rFonts w:hint="eastAsia" w:ascii="黑体" w:hAnsi="黑体" w:eastAsia="黑体" w:cs="黑体"/>
          <w:sz w:val="32"/>
          <w:szCs w:val="32"/>
          <w:highlight w:val="none"/>
        </w:rPr>
        <w:t>局</w:t>
      </w:r>
    </w:p>
    <w:p>
      <w:p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snapToGrid w:val="0"/>
        <w:spacing w:beforeLines="0" w:afterLines="0" w:line="620" w:lineRule="exact"/>
        <w:ind w:left="6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社会医疗机构。</w:t>
      </w:r>
    </w:p>
    <w:p>
      <w:pPr>
        <w:numPr>
          <w:ilvl w:val="0"/>
          <w:numId w:val="0"/>
        </w:num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认定标准</w:t>
      </w:r>
    </w:p>
    <w:p>
      <w:pPr>
        <w:pStyle w:val="9"/>
        <w:pageBreakBefore w:val="0"/>
        <w:widowControl w:val="0"/>
        <w:numPr>
          <w:ilvl w:val="0"/>
          <w:numId w:val="0"/>
        </w:numPr>
        <w:kinsoku/>
        <w:wordWrap/>
        <w:overflowPunct/>
        <w:topLinePunct w:val="0"/>
        <w:autoSpaceDE/>
        <w:autoSpaceDN/>
        <w:bidi w:val="0"/>
        <w:adjustRightInd/>
        <w:snapToGrid w:val="0"/>
        <w:spacing w:beforeLines="0" w:afterLines="0" w:line="620" w:lineRule="exact"/>
        <w:ind w:firstLine="644"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highlight w:val="none"/>
        </w:rPr>
        <w:t>申报资格条件</w:t>
      </w:r>
      <w:r>
        <w:rPr>
          <w:rFonts w:hint="eastAsia" w:ascii="仿宋_GB2312" w:hAnsi="仿宋_GB2312" w:eastAsia="仿宋_GB2312" w:cs="仿宋_GB2312"/>
          <w:b/>
          <w:color w:val="auto"/>
          <w:sz w:val="32"/>
          <w:szCs w:val="32"/>
          <w:highlight w:val="none"/>
        </w:rPr>
        <w:t>（须同时具备）</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620" w:lineRule="exact"/>
        <w:ind w:firstLine="645"/>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（1）2021年营收2000万元以上的规上企业；</w:t>
      </w:r>
    </w:p>
    <w:p>
      <w:pPr>
        <w:pageBreakBefore w:val="0"/>
        <w:widowControl w:val="0"/>
        <w:kinsoku/>
        <w:wordWrap/>
        <w:overflowPunct/>
        <w:topLinePunct w:val="0"/>
        <w:autoSpaceDE/>
        <w:autoSpaceDN/>
        <w:bidi w:val="0"/>
        <w:adjustRightInd/>
        <w:snapToGrid/>
        <w:spacing w:line="620" w:lineRule="exact"/>
        <w:ind w:firstLine="645"/>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（2）3年内无罚款以上行政处罚；</w:t>
      </w:r>
    </w:p>
    <w:p>
      <w:pPr>
        <w:pageBreakBefore w:val="0"/>
        <w:widowControl w:val="0"/>
        <w:kinsoku/>
        <w:wordWrap/>
        <w:overflowPunct/>
        <w:topLinePunct w:val="0"/>
        <w:autoSpaceDE/>
        <w:autoSpaceDN/>
        <w:bidi w:val="0"/>
        <w:adjustRightInd/>
        <w:snapToGrid/>
        <w:spacing w:line="620" w:lineRule="exact"/>
        <w:ind w:firstLine="645"/>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（3）工商注册、税务登记和统计关系均在福田。</w:t>
      </w:r>
    </w:p>
    <w:p>
      <w:pPr>
        <w:snapToGrid w:val="0"/>
        <w:spacing w:beforeLines="0" w:afterLines="0" w:line="620" w:lineRule="exact"/>
        <w:ind w:firstLine="644" w:firstLineChars="200"/>
        <w:jc w:val="left"/>
        <w:rPr>
          <w:rFonts w:hint="eastAsia" w:ascii="黑体" w:hAnsi="黑体" w:eastAsia="黑体" w:cs="黑体"/>
          <w:sz w:val="32"/>
          <w:szCs w:val="32"/>
          <w:highlight w:val="none"/>
        </w:rPr>
      </w:pPr>
    </w:p>
    <w:p>
      <w:pPr>
        <w:snapToGrid w:val="0"/>
        <w:spacing w:beforeLines="0" w:afterLines="0" w:line="62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企</w:t>
      </w:r>
      <w:r>
        <w:rPr>
          <w:rFonts w:hint="eastAsia" w:ascii="黑体" w:hAnsi="黑体" w:eastAsia="黑体" w:cs="黑体"/>
          <w:sz w:val="32"/>
          <w:szCs w:val="32"/>
          <w:highlight w:val="none"/>
          <w:lang w:eastAsia="zh-CN"/>
        </w:rPr>
        <w:t>业发展服务中心</w:t>
      </w:r>
    </w:p>
    <w:p>
      <w:p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（一）服务范围</w:t>
      </w:r>
    </w:p>
    <w:p>
      <w:pPr>
        <w:pageBreakBefore w:val="0"/>
        <w:widowControl w:val="0"/>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社会组织（经济产业类行业协会）及高校校友会、地方商会、非盈利产业发展研究机构、经区政府批准支持的其它行业协会商会等社会组织。</w:t>
      </w:r>
    </w:p>
    <w:p>
      <w:pPr>
        <w:numPr>
          <w:ilvl w:val="0"/>
          <w:numId w:val="0"/>
        </w:num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认定标准</w:t>
      </w:r>
    </w:p>
    <w:p>
      <w:pPr>
        <w:pageBreakBefore w:val="0"/>
        <w:widowControl w:val="0"/>
        <w:numPr>
          <w:ilvl w:val="0"/>
          <w:numId w:val="0"/>
        </w:numPr>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分类标准（符合其中一项即可）</w:t>
      </w:r>
    </w:p>
    <w:p>
      <w:pPr>
        <w:pageBreakBefore w:val="0"/>
        <w:widowControl w:val="0"/>
        <w:numPr>
          <w:ilvl w:val="0"/>
          <w:numId w:val="0"/>
        </w:numPr>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2020年福田辖区商协会活力评估排名前86名；</w:t>
      </w:r>
    </w:p>
    <w:p>
      <w:pPr>
        <w:pageBreakBefore w:val="0"/>
        <w:widowControl w:val="0"/>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（2）2020年以来获得福田区商协会产业资金支持；</w:t>
      </w:r>
    </w:p>
    <w:p>
      <w:pPr>
        <w:snapToGrid w:val="0"/>
        <w:spacing w:beforeLines="0" w:afterLines="0" w:line="620" w:lineRule="exact"/>
        <w:ind w:firstLine="644" w:firstLineChars="200"/>
        <w:rPr>
          <w:highlight w:val="none"/>
        </w:rPr>
      </w:pPr>
      <w:r>
        <w:rPr>
          <w:rFonts w:hint="eastAsia" w:ascii="仿宋_GB2312" w:hAnsi="仿宋_GB2312" w:eastAsia="仿宋_GB2312" w:cs="仿宋_GB2312"/>
          <w:sz w:val="32"/>
          <w:szCs w:val="32"/>
          <w:highlight w:val="none"/>
          <w:lang w:val="en-US" w:eastAsia="zh-CN"/>
        </w:rPr>
        <w:t>（3）2020年1月1日后新迁入或新注册成立，且符合福田区产业发展方向的商协会。</w:t>
      </w:r>
    </w:p>
    <w:sectPr>
      <w:pgSz w:w="11906" w:h="16838"/>
      <w:pgMar w:top="1701" w:right="1474" w:bottom="1247" w:left="1474" w:header="851" w:footer="680" w:gutter="0"/>
      <w:pgBorders>
        <w:top w:val="none" w:sz="0" w:space="0"/>
        <w:left w:val="none" w:sz="0" w:space="0"/>
        <w:bottom w:val="none" w:sz="0" w:space="0"/>
        <w:right w:val="none" w:sz="0" w:space="0"/>
      </w:pgBorders>
      <w:pgNumType w:fmt="numberInDash"/>
      <w:cols w:space="720" w:num="1"/>
      <w:rtlGutter w:val="0"/>
      <w:docGrid w:type="linesAndChars" w:linePitch="317"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书宋二S">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8523"/>
    <w:multiLevelType w:val="singleLevel"/>
    <w:tmpl w:val="FFBE85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05406"/>
    <w:rsid w:val="01FE1ADB"/>
    <w:rsid w:val="04141DD8"/>
    <w:rsid w:val="043E7375"/>
    <w:rsid w:val="05B54B02"/>
    <w:rsid w:val="05BB0093"/>
    <w:rsid w:val="06005122"/>
    <w:rsid w:val="09A4772F"/>
    <w:rsid w:val="09DB5E10"/>
    <w:rsid w:val="09F70B0E"/>
    <w:rsid w:val="0ADB74DE"/>
    <w:rsid w:val="0E9919CE"/>
    <w:rsid w:val="0EE74412"/>
    <w:rsid w:val="0F945742"/>
    <w:rsid w:val="157E4DC7"/>
    <w:rsid w:val="1A740635"/>
    <w:rsid w:val="1FFE3615"/>
    <w:rsid w:val="21DE33B3"/>
    <w:rsid w:val="22375107"/>
    <w:rsid w:val="27805406"/>
    <w:rsid w:val="2BBB0D31"/>
    <w:rsid w:val="2EE21680"/>
    <w:rsid w:val="33FB79FF"/>
    <w:rsid w:val="36C03F37"/>
    <w:rsid w:val="39216152"/>
    <w:rsid w:val="3DF844D3"/>
    <w:rsid w:val="3F252786"/>
    <w:rsid w:val="3F3A263F"/>
    <w:rsid w:val="3FC87FFF"/>
    <w:rsid w:val="3FFE21A8"/>
    <w:rsid w:val="40B160A5"/>
    <w:rsid w:val="45336CA3"/>
    <w:rsid w:val="47C100B6"/>
    <w:rsid w:val="53FFC3CA"/>
    <w:rsid w:val="560F11E5"/>
    <w:rsid w:val="5A8C0ED7"/>
    <w:rsid w:val="5BBE1A83"/>
    <w:rsid w:val="5CFF50AF"/>
    <w:rsid w:val="5FBA455C"/>
    <w:rsid w:val="5FCFDB33"/>
    <w:rsid w:val="63CE5E61"/>
    <w:rsid w:val="66B15671"/>
    <w:rsid w:val="68BA05D5"/>
    <w:rsid w:val="6C0D4153"/>
    <w:rsid w:val="6DBE3D2D"/>
    <w:rsid w:val="6E3B7FE9"/>
    <w:rsid w:val="6FFDA089"/>
    <w:rsid w:val="72FD2BEB"/>
    <w:rsid w:val="73D2080D"/>
    <w:rsid w:val="75B75C5A"/>
    <w:rsid w:val="77B33859"/>
    <w:rsid w:val="79756C9E"/>
    <w:rsid w:val="7B5BAA3B"/>
    <w:rsid w:val="7B7FD574"/>
    <w:rsid w:val="7BCE7052"/>
    <w:rsid w:val="7BFFE8E0"/>
    <w:rsid w:val="7EF9D373"/>
    <w:rsid w:val="7F59474D"/>
    <w:rsid w:val="7F5F69B3"/>
    <w:rsid w:val="7F7AAB25"/>
    <w:rsid w:val="7FF9215C"/>
    <w:rsid w:val="9DF73DDB"/>
    <w:rsid w:val="A7DF4154"/>
    <w:rsid w:val="B0FFB1FD"/>
    <w:rsid w:val="BFFF197E"/>
    <w:rsid w:val="C9EEAE4D"/>
    <w:rsid w:val="CFF5223D"/>
    <w:rsid w:val="D7776DEF"/>
    <w:rsid w:val="DFBACCEE"/>
    <w:rsid w:val="E77FB643"/>
    <w:rsid w:val="EDFF77C9"/>
    <w:rsid w:val="F6FF8755"/>
    <w:rsid w:val="FB6D5DA5"/>
    <w:rsid w:val="FEF355A1"/>
    <w:rsid w:val="FEF5E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center"/>
    </w:pPr>
    <w:rPr>
      <w:rFonts w:ascii="宋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Times New Roman" w:hAnsi="Times New Roman"/>
      <w:kern w:val="0"/>
      <w:sz w:val="24"/>
      <w:szCs w:val="20"/>
    </w:rPr>
  </w:style>
  <w:style w:type="paragraph" w:customStyle="1" w:styleId="8">
    <w:name w:val="Normal (Web)"/>
    <w:basedOn w:val="1"/>
    <w:qFormat/>
    <w:uiPriority w:val="0"/>
    <w:pPr>
      <w:jc w:val="left"/>
    </w:pPr>
    <w:rPr>
      <w:rFonts w:ascii="Times New Roman" w:hAnsi="Times New Roman"/>
      <w:kern w:val="0"/>
      <w:sz w:val="24"/>
      <w:szCs w:val="20"/>
    </w:rPr>
  </w:style>
  <w:style w:type="paragraph" w:customStyle="1" w:styleId="9">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2019-10-16T06:45:00Z</dcterms:created>
  <dc:creator>屈燕群</dc:creator>
  <cp:lastModifiedBy>chenweijian</cp:lastModifiedBy>
  <cp:lastPrinted>2022-06-03T01:32:00Z</cp:lastPrinted>
  <dcterms:modified xsi:type="dcterms:W3CDTF">2022-06-14T15:24:46Z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AD106068B25E459B9BE8370853BDBC58</vt:lpwstr>
  </property>
</Properties>
</file>