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613" w:rsidRDefault="00607613" w:rsidP="00607613">
      <w:pPr>
        <w:spacing w:line="579" w:lineRule="exact"/>
        <w:ind w:rightChars="200" w:right="420"/>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河套深港科技创新合作区2021年工作亮点</w:t>
      </w:r>
    </w:p>
    <w:bookmarkEnd w:id="0"/>
    <w:p w:rsidR="00607613" w:rsidRDefault="00607613" w:rsidP="00607613">
      <w:pPr>
        <w:spacing w:line="579" w:lineRule="exact"/>
        <w:ind w:firstLineChars="200" w:firstLine="640"/>
        <w:jc w:val="center"/>
        <w:rPr>
          <w:rFonts w:ascii="黑体" w:eastAsia="黑体" w:hAnsi="黑体" w:cs="黑体" w:hint="eastAsia"/>
          <w:sz w:val="32"/>
          <w:szCs w:val="32"/>
        </w:rPr>
      </w:pPr>
    </w:p>
    <w:p w:rsidR="00607613" w:rsidRDefault="00607613" w:rsidP="00607613">
      <w:pPr>
        <w:pStyle w:val="1"/>
        <w:keepNext w:val="0"/>
        <w:keepLines w:val="0"/>
        <w:spacing w:before="0" w:after="0" w:line="579" w:lineRule="exact"/>
        <w:ind w:firstLineChars="200" w:firstLine="643"/>
        <w:rPr>
          <w:rFonts w:hint="default"/>
          <w:b w:val="0"/>
          <w:sz w:val="32"/>
          <w:szCs w:val="32"/>
        </w:rPr>
      </w:pPr>
      <w:r>
        <w:rPr>
          <w:bCs/>
          <w:sz w:val="32"/>
          <w:szCs w:val="32"/>
        </w:rPr>
        <w:t>“建、购、租、改”</w:t>
      </w:r>
      <w:proofErr w:type="gramStart"/>
      <w:r>
        <w:rPr>
          <w:bCs/>
          <w:sz w:val="32"/>
          <w:szCs w:val="32"/>
        </w:rPr>
        <w:t>四策并用</w:t>
      </w:r>
      <w:proofErr w:type="gramEnd"/>
      <w:r>
        <w:rPr>
          <w:bCs/>
          <w:sz w:val="32"/>
          <w:szCs w:val="32"/>
        </w:rPr>
        <w:t>，科研空间快速筹集。</w:t>
      </w:r>
      <w:r>
        <w:rPr>
          <w:rFonts w:hAnsi="仿宋_GB2312" w:cs="仿宋_GB2312"/>
          <w:b w:val="0"/>
          <w:kern w:val="2"/>
          <w:sz w:val="32"/>
          <w:szCs w:val="32"/>
          <w:lang w:bidi="ar"/>
        </w:rPr>
        <w:t>国资国企产业创新中心、国际生物医药产业园二期开放运营，香港科学园深圳分园、“湾区芯谷”集成电路产业</w:t>
      </w:r>
      <w:proofErr w:type="gramStart"/>
      <w:r>
        <w:rPr>
          <w:rFonts w:hAnsi="仿宋_GB2312" w:cs="仿宋_GB2312"/>
          <w:b w:val="0"/>
          <w:kern w:val="2"/>
          <w:sz w:val="32"/>
          <w:szCs w:val="32"/>
          <w:lang w:bidi="ar"/>
        </w:rPr>
        <w:t>园核心启动楼启动</w:t>
      </w:r>
      <w:proofErr w:type="gramEnd"/>
      <w:r>
        <w:rPr>
          <w:rFonts w:hAnsi="仿宋_GB2312" w:cs="仿宋_GB2312"/>
          <w:b w:val="0"/>
          <w:kern w:val="2"/>
          <w:sz w:val="32"/>
          <w:szCs w:val="32"/>
          <w:lang w:bidi="ar"/>
        </w:rPr>
        <w:t>改造，新增15万平米科研新空间。</w:t>
      </w:r>
    </w:p>
    <w:p w:rsidR="00607613" w:rsidRDefault="00607613" w:rsidP="00607613">
      <w:pPr>
        <w:spacing w:line="579" w:lineRule="exact"/>
        <w:ind w:firstLineChars="200" w:firstLine="643"/>
        <w:rPr>
          <w:rFonts w:ascii="黑体" w:eastAsia="仿宋_GB2312" w:hAnsi="黑体" w:cs="黑体" w:hint="eastAsia"/>
          <w:sz w:val="32"/>
          <w:szCs w:val="32"/>
        </w:rPr>
      </w:pPr>
      <w:r>
        <w:rPr>
          <w:rFonts w:ascii="仿宋_GB2312" w:eastAsia="仿宋_GB2312" w:hint="eastAsia"/>
          <w:b/>
          <w:bCs/>
          <w:sz w:val="32"/>
          <w:szCs w:val="32"/>
        </w:rPr>
        <w:t>落户和推进优质科研项目超过140个，以项目集聚牵引香港及国际化团队和人才落地。</w:t>
      </w:r>
      <w:r>
        <w:rPr>
          <w:rFonts w:ascii="仿宋_GB2312" w:eastAsia="仿宋_GB2312" w:hint="eastAsia"/>
          <w:sz w:val="32"/>
          <w:szCs w:val="32"/>
        </w:rPr>
        <w:t>5所“全球百强”香港高校优质科研项目入驻进展顺利。国家药监局药品和器械大湾区分中心对外开展业务，未来网络试验设施国家重大科技基础设施建设进展顺利。金砖国家未来网络研究院中国分院、西门子能源深圳创新中心等国际组织和国际化科技研发中心运作良好。引入未来机器人、</w:t>
      </w:r>
      <w:proofErr w:type="gramStart"/>
      <w:r>
        <w:rPr>
          <w:rFonts w:ascii="仿宋_GB2312" w:eastAsia="仿宋_GB2312" w:hint="eastAsia"/>
          <w:sz w:val="32"/>
          <w:szCs w:val="32"/>
        </w:rPr>
        <w:t>晶泰科技</w:t>
      </w:r>
      <w:proofErr w:type="gramEnd"/>
      <w:r>
        <w:rPr>
          <w:rFonts w:ascii="仿宋_GB2312" w:eastAsia="仿宋_GB2312" w:hint="eastAsia"/>
          <w:sz w:val="32"/>
          <w:szCs w:val="32"/>
        </w:rPr>
        <w:t>等一批由香港及海</w:t>
      </w:r>
      <w:proofErr w:type="gramStart"/>
      <w:r>
        <w:rPr>
          <w:rFonts w:ascii="仿宋_GB2312" w:eastAsia="仿宋_GB2312" w:hint="eastAsia"/>
          <w:sz w:val="32"/>
          <w:szCs w:val="32"/>
        </w:rPr>
        <w:t>归创业</w:t>
      </w:r>
      <w:proofErr w:type="gramEnd"/>
      <w:r>
        <w:rPr>
          <w:rFonts w:ascii="仿宋_GB2312" w:eastAsia="仿宋_GB2312" w:hint="eastAsia"/>
          <w:sz w:val="32"/>
          <w:szCs w:val="32"/>
        </w:rPr>
        <w:t>团队创办的企业，发展势头良好。</w:t>
      </w:r>
    </w:p>
    <w:p w:rsidR="00607613" w:rsidRDefault="00607613" w:rsidP="00607613">
      <w:pPr>
        <w:spacing w:line="579" w:lineRule="exact"/>
        <w:ind w:firstLineChars="200" w:firstLine="643"/>
        <w:rPr>
          <w:rFonts w:ascii="仿宋_GB2312" w:eastAsia="仿宋_GB2312" w:hAnsi="仿宋_GB2312" w:cs="仿宋_GB2312" w:hint="eastAsia"/>
          <w:sz w:val="32"/>
          <w:szCs w:val="40"/>
        </w:rPr>
      </w:pPr>
      <w:r>
        <w:rPr>
          <w:rFonts w:ascii="仿宋_GB2312" w:eastAsia="仿宋_GB2312" w:hint="eastAsia"/>
          <w:b/>
          <w:bCs/>
          <w:sz w:val="32"/>
          <w:szCs w:val="32"/>
        </w:rPr>
        <w:t>跨境基础设施建设取得突破。</w:t>
      </w:r>
      <w:r>
        <w:rPr>
          <w:rFonts w:ascii="仿宋_GB2312" w:eastAsia="仿宋_GB2312" w:hAnsi="仿宋_GB2312" w:cs="仿宋_GB2312" w:hint="eastAsia"/>
          <w:sz w:val="32"/>
          <w:szCs w:val="32"/>
        </w:rPr>
        <w:t>仅用一年时间，皇岗口岸改造即实现临时</w:t>
      </w:r>
      <w:proofErr w:type="gramStart"/>
      <w:r>
        <w:rPr>
          <w:rFonts w:ascii="仿宋_GB2312" w:eastAsia="仿宋_GB2312" w:hAnsi="仿宋_GB2312" w:cs="仿宋_GB2312" w:hint="eastAsia"/>
          <w:sz w:val="32"/>
          <w:szCs w:val="32"/>
        </w:rPr>
        <w:t>旅检厅建设</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旧口岸</w:t>
      </w:r>
      <w:proofErr w:type="gramEnd"/>
      <w:r>
        <w:rPr>
          <w:rFonts w:ascii="仿宋_GB2312" w:eastAsia="仿宋_GB2312" w:hAnsi="仿宋_GB2312" w:cs="仿宋_GB2312" w:hint="eastAsia"/>
          <w:sz w:val="32"/>
          <w:szCs w:val="32"/>
        </w:rPr>
        <w:t>拆除、口岸综合楼及新口岸联检楼开建。</w:t>
      </w:r>
    </w:p>
    <w:p w:rsidR="00607613" w:rsidRDefault="00607613" w:rsidP="00607613">
      <w:pPr>
        <w:spacing w:line="579" w:lineRule="exact"/>
        <w:ind w:firstLineChars="200" w:firstLine="643"/>
        <w:rPr>
          <w:rFonts w:ascii="仿宋_GB2312" w:eastAsia="仿宋_GB2312" w:hint="eastAsia"/>
          <w:sz w:val="32"/>
          <w:szCs w:val="32"/>
        </w:rPr>
      </w:pPr>
      <w:r>
        <w:rPr>
          <w:rFonts w:ascii="仿宋_GB2312" w:eastAsia="仿宋_GB2312" w:hint="eastAsia"/>
          <w:b/>
          <w:bCs/>
          <w:sz w:val="32"/>
          <w:szCs w:val="32"/>
        </w:rPr>
        <w:t>配套服务不断完善。</w:t>
      </w:r>
      <w:r>
        <w:rPr>
          <w:rFonts w:ascii="仿宋_GB2312" w:eastAsia="仿宋_GB2312" w:hint="eastAsia"/>
          <w:sz w:val="32"/>
          <w:szCs w:val="32"/>
        </w:rPr>
        <w:t>“e站通”综合服务中心正式投入使用。</w:t>
      </w:r>
      <w:r>
        <w:rPr>
          <w:rFonts w:ascii="仿宋_GB2312" w:eastAsia="仿宋_GB2312" w:hAnsi="仿宋_GB2312" w:cs="仿宋_GB2312" w:hint="eastAsia"/>
          <w:sz w:val="32"/>
          <w:szCs w:val="32"/>
        </w:rPr>
        <w:t>深港国际科技园会议中心、长富大厦2号</w:t>
      </w:r>
      <w:proofErr w:type="gramStart"/>
      <w:r>
        <w:rPr>
          <w:rFonts w:ascii="仿宋_GB2312" w:eastAsia="仿宋_GB2312" w:hAnsi="仿宋_GB2312" w:cs="仿宋_GB2312" w:hint="eastAsia"/>
          <w:sz w:val="32"/>
          <w:szCs w:val="32"/>
        </w:rPr>
        <w:t>楼科研</w:t>
      </w:r>
      <w:proofErr w:type="gramEnd"/>
      <w:r>
        <w:rPr>
          <w:rFonts w:ascii="仿宋_GB2312" w:eastAsia="仿宋_GB2312" w:hAnsi="仿宋_GB2312" w:cs="仿宋_GB2312" w:hint="eastAsia"/>
          <w:sz w:val="32"/>
          <w:szCs w:val="32"/>
        </w:rPr>
        <w:t>服务中心、黄大年</w:t>
      </w:r>
      <w:proofErr w:type="gramStart"/>
      <w:r>
        <w:rPr>
          <w:rFonts w:ascii="仿宋_GB2312" w:eastAsia="仿宋_GB2312" w:hAnsi="仿宋_GB2312" w:cs="仿宋_GB2312" w:hint="eastAsia"/>
          <w:sz w:val="32"/>
          <w:szCs w:val="32"/>
        </w:rPr>
        <w:t>茶思屋</w:t>
      </w:r>
      <w:proofErr w:type="gramEnd"/>
      <w:r>
        <w:rPr>
          <w:rFonts w:ascii="仿宋_GB2312" w:eastAsia="仿宋_GB2312" w:hAnsi="仿宋_GB2312" w:cs="仿宋_GB2312" w:hint="eastAsia"/>
          <w:sz w:val="32"/>
          <w:szCs w:val="32"/>
        </w:rPr>
        <w:t>等配套服务项目建设正加快推进。</w:t>
      </w:r>
    </w:p>
    <w:p w:rsidR="00607613" w:rsidRDefault="00607613" w:rsidP="00607613">
      <w:pPr>
        <w:spacing w:line="579" w:lineRule="exact"/>
        <w:ind w:firstLineChars="200" w:firstLine="643"/>
        <w:rPr>
          <w:rFonts w:ascii="黑体" w:eastAsia="黑体" w:hAnsi="黑体" w:cs="黑体" w:hint="eastAsia"/>
          <w:sz w:val="32"/>
          <w:szCs w:val="32"/>
        </w:rPr>
        <w:sectPr w:rsidR="00607613">
          <w:footerReference w:type="default" r:id="rId4"/>
          <w:pgSz w:w="11906" w:h="16838"/>
          <w:pgMar w:top="2098" w:right="1474" w:bottom="1984" w:left="1587" w:header="851" w:footer="992" w:gutter="0"/>
          <w:cols w:space="720"/>
          <w:docGrid w:type="lines" w:linePitch="318"/>
        </w:sectPr>
      </w:pPr>
      <w:r>
        <w:rPr>
          <w:rFonts w:ascii="仿宋_GB2312" w:eastAsia="仿宋_GB2312" w:hint="eastAsia"/>
          <w:b/>
          <w:bCs/>
          <w:sz w:val="32"/>
          <w:szCs w:val="32"/>
        </w:rPr>
        <w:t>深港合作的共识得到进一步深化。</w:t>
      </w:r>
      <w:r>
        <w:rPr>
          <w:rFonts w:ascii="仿宋_GB2312" w:eastAsia="仿宋_GB2312" w:hint="eastAsia"/>
          <w:sz w:val="32"/>
          <w:szCs w:val="32"/>
        </w:rPr>
        <w:t>深港高层会晤暨合作会议签约及合作项目启动仪式，“一区两园”合作安排、首个深港“联合政策包”、深港两个园区运营公司协议、深</w:t>
      </w:r>
      <w:proofErr w:type="gramStart"/>
      <w:r>
        <w:rPr>
          <w:rFonts w:ascii="仿宋_GB2312" w:eastAsia="仿宋_GB2312" w:hint="eastAsia"/>
          <w:sz w:val="32"/>
          <w:szCs w:val="32"/>
        </w:rPr>
        <w:t>港仲裁</w:t>
      </w:r>
      <w:proofErr w:type="gramEnd"/>
      <w:r>
        <w:rPr>
          <w:rFonts w:ascii="仿宋_GB2312" w:eastAsia="仿宋_GB2312" w:hint="eastAsia"/>
          <w:sz w:val="32"/>
          <w:szCs w:val="32"/>
        </w:rPr>
        <w:t>合作备忘录</w:t>
      </w:r>
      <w:r>
        <w:rPr>
          <w:rFonts w:ascii="仿宋_GB2312" w:eastAsia="仿宋_GB2312" w:hint="eastAsia"/>
          <w:sz w:val="32"/>
          <w:szCs w:val="32"/>
        </w:rPr>
        <w:lastRenderedPageBreak/>
        <w:t>签署发布。此外，香港科学园深圳分园落地河套，首个深港双方联合办公场所正式启用，合作区协同开发进入新阶段。</w:t>
      </w:r>
    </w:p>
    <w:p w:rsidR="00607613" w:rsidRPr="00607613" w:rsidRDefault="00607613"/>
    <w:sectPr w:rsidR="00607613" w:rsidRPr="00607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0761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07613">
                          <w:pPr>
                            <w:pStyle w:val="a3"/>
                            <w:rPr>
                              <w:rFonts w:ascii="仿宋_GB2312" w:eastAsia="仿宋_GB2312" w:hAnsi="仿宋_GB2312" w:cs="仿宋_GB2312" w:hint="eastAsia"/>
                              <w:sz w:val="28"/>
                              <w:szCs w:val="44"/>
                            </w:rPr>
                          </w:pPr>
                          <w:r>
                            <w:rPr>
                              <w:rFonts w:ascii="仿宋_GB2312" w:eastAsia="仿宋_GB2312" w:hAnsi="仿宋_GB2312" w:cs="仿宋_GB2312" w:hint="eastAsia"/>
                              <w:sz w:val="28"/>
                              <w:szCs w:val="44"/>
                            </w:rPr>
                            <w:t>—</w:t>
                          </w:r>
                          <w:r>
                            <w:rPr>
                              <w:rFonts w:ascii="仿宋_GB2312" w:eastAsia="仿宋_GB2312" w:hAnsi="仿宋_GB2312" w:cs="仿宋_GB2312" w:hint="eastAsia"/>
                              <w:sz w:val="28"/>
                              <w:szCs w:val="44"/>
                            </w:rPr>
                            <w:t xml:space="preserve"> </w:t>
                          </w:r>
                          <w:r>
                            <w:rPr>
                              <w:rFonts w:ascii="仿宋_GB2312" w:eastAsia="仿宋_GB2312" w:hAnsi="仿宋_GB2312" w:cs="仿宋_GB2312" w:hint="eastAsia"/>
                              <w:sz w:val="28"/>
                              <w:szCs w:val="44"/>
                            </w:rPr>
                            <w:fldChar w:fldCharType="begin"/>
                          </w:r>
                          <w:r>
                            <w:rPr>
                              <w:rFonts w:ascii="仿宋_GB2312" w:eastAsia="仿宋_GB2312" w:hAnsi="仿宋_GB2312" w:cs="仿宋_GB2312" w:hint="eastAsia"/>
                              <w:sz w:val="28"/>
                              <w:szCs w:val="44"/>
                            </w:rPr>
                            <w:instrText xml:space="preserve"> PAGE  \* MERGEFORMAT </w:instrText>
                          </w:r>
                          <w:r>
                            <w:rPr>
                              <w:rFonts w:ascii="仿宋_GB2312" w:eastAsia="仿宋_GB2312" w:hAnsi="仿宋_GB2312" w:cs="仿宋_GB2312" w:hint="eastAsia"/>
                              <w:sz w:val="28"/>
                              <w:szCs w:val="44"/>
                            </w:rPr>
                            <w:fldChar w:fldCharType="separate"/>
                          </w:r>
                          <w:r>
                            <w:rPr>
                              <w:rFonts w:ascii="仿宋_GB2312" w:eastAsia="仿宋_GB2312" w:hAnsi="仿宋_GB2312" w:cs="仿宋_GB2312" w:hint="eastAsia"/>
                              <w:sz w:val="28"/>
                              <w:szCs w:val="44"/>
                            </w:rPr>
                            <w:t>1</w:t>
                          </w:r>
                          <w:r>
                            <w:rPr>
                              <w:rFonts w:ascii="仿宋_GB2312" w:eastAsia="仿宋_GB2312" w:hAnsi="仿宋_GB2312" w:cs="仿宋_GB2312" w:hint="eastAsia"/>
                              <w:sz w:val="28"/>
                              <w:szCs w:val="44"/>
                            </w:rPr>
                            <w:fldChar w:fldCharType="end"/>
                          </w:r>
                          <w:r>
                            <w:rPr>
                              <w:rFonts w:ascii="仿宋_GB2312" w:eastAsia="仿宋_GB2312" w:hAnsi="仿宋_GB2312" w:cs="仿宋_GB2312" w:hint="eastAsia"/>
                              <w:sz w:val="28"/>
                              <w:szCs w:val="44"/>
                            </w:rPr>
                            <w:t xml:space="preserve"> </w:t>
                          </w:r>
                          <w:r>
                            <w:rPr>
                              <w:rFonts w:ascii="仿宋_GB2312" w:eastAsia="仿宋_GB2312" w:hAnsi="仿宋_GB2312" w:cs="仿宋_GB2312" w:hint="eastAsia"/>
                              <w:sz w:val="28"/>
                              <w:szCs w:val="4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5pt;margin-top:0;width:4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" filled="f" stroked="f">
              <v:textbox style="mso-fit-shape-to-text:t" inset="0,0,0,0">
                <w:txbxContent>
                  <w:p w:rsidR="00000000" w:rsidRDefault="00607613">
                    <w:pPr>
                      <w:pStyle w:val="a3"/>
                      <w:rPr>
                        <w:rFonts w:ascii="仿宋_GB2312" w:eastAsia="仿宋_GB2312" w:hAnsi="仿宋_GB2312" w:cs="仿宋_GB2312" w:hint="eastAsia"/>
                        <w:sz w:val="28"/>
                        <w:szCs w:val="44"/>
                      </w:rPr>
                    </w:pPr>
                    <w:r>
                      <w:rPr>
                        <w:rFonts w:ascii="仿宋_GB2312" w:eastAsia="仿宋_GB2312" w:hAnsi="仿宋_GB2312" w:cs="仿宋_GB2312" w:hint="eastAsia"/>
                        <w:sz w:val="28"/>
                        <w:szCs w:val="44"/>
                      </w:rPr>
                      <w:t>—</w:t>
                    </w:r>
                    <w:r>
                      <w:rPr>
                        <w:rFonts w:ascii="仿宋_GB2312" w:eastAsia="仿宋_GB2312" w:hAnsi="仿宋_GB2312" w:cs="仿宋_GB2312" w:hint="eastAsia"/>
                        <w:sz w:val="28"/>
                        <w:szCs w:val="44"/>
                      </w:rPr>
                      <w:t xml:space="preserve"> </w:t>
                    </w:r>
                    <w:r>
                      <w:rPr>
                        <w:rFonts w:ascii="仿宋_GB2312" w:eastAsia="仿宋_GB2312" w:hAnsi="仿宋_GB2312" w:cs="仿宋_GB2312" w:hint="eastAsia"/>
                        <w:sz w:val="28"/>
                        <w:szCs w:val="44"/>
                      </w:rPr>
                      <w:fldChar w:fldCharType="begin"/>
                    </w:r>
                    <w:r>
                      <w:rPr>
                        <w:rFonts w:ascii="仿宋_GB2312" w:eastAsia="仿宋_GB2312" w:hAnsi="仿宋_GB2312" w:cs="仿宋_GB2312" w:hint="eastAsia"/>
                        <w:sz w:val="28"/>
                        <w:szCs w:val="44"/>
                      </w:rPr>
                      <w:instrText xml:space="preserve"> PAGE  \* MERGEFORMAT </w:instrText>
                    </w:r>
                    <w:r>
                      <w:rPr>
                        <w:rFonts w:ascii="仿宋_GB2312" w:eastAsia="仿宋_GB2312" w:hAnsi="仿宋_GB2312" w:cs="仿宋_GB2312" w:hint="eastAsia"/>
                        <w:sz w:val="28"/>
                        <w:szCs w:val="44"/>
                      </w:rPr>
                      <w:fldChar w:fldCharType="separate"/>
                    </w:r>
                    <w:r>
                      <w:rPr>
                        <w:rFonts w:ascii="仿宋_GB2312" w:eastAsia="仿宋_GB2312" w:hAnsi="仿宋_GB2312" w:cs="仿宋_GB2312" w:hint="eastAsia"/>
                        <w:sz w:val="28"/>
                        <w:szCs w:val="44"/>
                      </w:rPr>
                      <w:t>1</w:t>
                    </w:r>
                    <w:r>
                      <w:rPr>
                        <w:rFonts w:ascii="仿宋_GB2312" w:eastAsia="仿宋_GB2312" w:hAnsi="仿宋_GB2312" w:cs="仿宋_GB2312" w:hint="eastAsia"/>
                        <w:sz w:val="28"/>
                        <w:szCs w:val="44"/>
                      </w:rPr>
                      <w:fldChar w:fldCharType="end"/>
                    </w:r>
                    <w:r>
                      <w:rPr>
                        <w:rFonts w:ascii="仿宋_GB2312" w:eastAsia="仿宋_GB2312" w:hAnsi="仿宋_GB2312" w:cs="仿宋_GB2312" w:hint="eastAsia"/>
                        <w:sz w:val="28"/>
                        <w:szCs w:val="44"/>
                      </w:rPr>
                      <w:t xml:space="preserve"> </w:t>
                    </w:r>
                    <w:r>
                      <w:rPr>
                        <w:rFonts w:ascii="仿宋_GB2312" w:eastAsia="仿宋_GB2312" w:hAnsi="仿宋_GB2312" w:cs="仿宋_GB2312" w:hint="eastAsia"/>
                        <w:sz w:val="28"/>
                        <w:szCs w:val="44"/>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13"/>
    <w:rsid w:val="0060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8830F"/>
  <w15:chartTrackingRefBased/>
  <w15:docId w15:val="{6132DAAE-E0EC-456A-AC2B-BAD741A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607613"/>
    <w:pPr>
      <w:widowControl w:val="0"/>
      <w:jc w:val="both"/>
    </w:pPr>
    <w:rPr>
      <w:rFonts w:ascii="Calibri" w:eastAsia="宋体" w:hAnsi="Calibri" w:cs="Times New Roman"/>
      <w:szCs w:val="24"/>
    </w:rPr>
  </w:style>
  <w:style w:type="paragraph" w:styleId="1">
    <w:name w:val="heading 1"/>
    <w:basedOn w:val="a"/>
    <w:next w:val="a"/>
    <w:link w:val="10"/>
    <w:uiPriority w:val="9"/>
    <w:qFormat/>
    <w:rsid w:val="00607613"/>
    <w:pPr>
      <w:keepNext/>
      <w:keepLines/>
      <w:spacing w:before="340" w:after="330" w:line="576" w:lineRule="auto"/>
      <w:outlineLvl w:val="0"/>
    </w:pPr>
    <w:rPr>
      <w:rFonts w:ascii="仿宋_GB2312" w:eastAsia="仿宋_GB2312" w:hAnsi="Times New Roman"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613"/>
    <w:rPr>
      <w:rFonts w:ascii="仿宋_GB2312" w:eastAsia="仿宋_GB2312" w:hAnsi="Times New Roman" w:cs="Times New Roman"/>
      <w:b/>
      <w:kern w:val="44"/>
      <w:sz w:val="44"/>
      <w:szCs w:val="44"/>
    </w:rPr>
  </w:style>
  <w:style w:type="paragraph" w:styleId="a3">
    <w:name w:val="footer"/>
    <w:basedOn w:val="a"/>
    <w:link w:val="a4"/>
    <w:rsid w:val="00607613"/>
    <w:pPr>
      <w:tabs>
        <w:tab w:val="center" w:pos="4153"/>
        <w:tab w:val="right" w:pos="8306"/>
      </w:tabs>
      <w:snapToGrid w:val="0"/>
      <w:jc w:val="left"/>
    </w:pPr>
    <w:rPr>
      <w:sz w:val="18"/>
    </w:rPr>
  </w:style>
  <w:style w:type="character" w:customStyle="1" w:styleId="a4">
    <w:name w:val="页脚 字符"/>
    <w:basedOn w:val="a0"/>
    <w:link w:val="a3"/>
    <w:rsid w:val="00607613"/>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觉觉猪了 我想</dc:creator>
  <cp:keywords/>
  <dc:description/>
  <cp:lastModifiedBy>觉觉猪了 我想</cp:lastModifiedBy>
  <cp:revision>1</cp:revision>
  <dcterms:created xsi:type="dcterms:W3CDTF">2022-06-20T07:58:00Z</dcterms:created>
  <dcterms:modified xsi:type="dcterms:W3CDTF">2022-06-20T07:59:00Z</dcterms:modified>
</cp:coreProperties>
</file>