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Times New Roman"/>
          <w:b/>
          <w:color w:val="auto"/>
          <w:kern w:val="2"/>
          <w:sz w:val="32"/>
          <w:szCs w:val="32"/>
          <w:highlight w:val="none"/>
          <w:u w:val="none"/>
          <w:lang w:val="en-US" w:eastAsia="zh-CN" w:bidi="ar-SA"/>
        </w:rPr>
      </w:pPr>
      <w:bookmarkStart w:id="0" w:name="_GoBack"/>
      <w:bookmarkEnd w:id="0"/>
      <w:r>
        <w:rPr>
          <w:rFonts w:hint="eastAsia" w:ascii="仿宋" w:hAnsi="仿宋" w:eastAsia="仿宋" w:cs="Times New Roman"/>
          <w:b/>
          <w:color w:val="auto"/>
          <w:kern w:val="2"/>
          <w:sz w:val="32"/>
          <w:szCs w:val="32"/>
          <w:highlight w:val="none"/>
          <w:u w:val="none"/>
          <w:lang w:val="en-US" w:eastAsia="zh-CN" w:bidi="ar-SA"/>
        </w:rPr>
        <w:t>附件：</w:t>
      </w:r>
    </w:p>
    <w:p>
      <w:pPr>
        <w:pStyle w:val="11"/>
        <w:adjustRightInd w:val="0"/>
        <w:snapToGrid w:val="0"/>
        <w:spacing w:before="0" w:after="0" w:line="619" w:lineRule="exact"/>
        <w:outlineLvl w:val="9"/>
        <w:rPr>
          <w:rFonts w:hint="eastAsia" w:ascii="方正小标宋_GBK" w:hAnsi="宋体" w:eastAsia="方正小标宋_GBK" w:cs="宋体"/>
          <w:b w:val="0"/>
          <w:color w:val="auto"/>
          <w:kern w:val="44"/>
          <w:sz w:val="44"/>
          <w:szCs w:val="44"/>
          <w:highlight w:val="none"/>
          <w:u w:val="none"/>
        </w:rPr>
      </w:pPr>
    </w:p>
    <w:p>
      <w:pPr>
        <w:pStyle w:val="11"/>
        <w:adjustRightInd w:val="0"/>
        <w:snapToGrid w:val="0"/>
        <w:spacing w:before="0" w:after="0" w:line="619" w:lineRule="exact"/>
        <w:outlineLvl w:val="9"/>
        <w:rPr>
          <w:rFonts w:hint="eastAsia" w:ascii="方正小标宋_GBK" w:hAnsi="宋体" w:eastAsia="方正小标宋_GBK" w:cs="宋体"/>
          <w:b w:val="0"/>
          <w:color w:val="auto"/>
          <w:kern w:val="44"/>
          <w:sz w:val="44"/>
          <w:szCs w:val="44"/>
          <w:highlight w:val="none"/>
          <w:u w:val="none"/>
        </w:rPr>
      </w:pPr>
      <w:r>
        <w:rPr>
          <w:rFonts w:hint="eastAsia" w:ascii="方正小标宋_GBK" w:hAnsi="宋体" w:eastAsia="方正小标宋_GBK" w:cs="宋体"/>
          <w:b w:val="0"/>
          <w:color w:val="auto"/>
          <w:kern w:val="44"/>
          <w:sz w:val="44"/>
          <w:szCs w:val="44"/>
          <w:highlight w:val="none"/>
          <w:u w:val="none"/>
        </w:rPr>
        <w:t>采购</w:t>
      </w:r>
      <w:r>
        <w:rPr>
          <w:rFonts w:hint="eastAsia" w:ascii="方正小标宋_GBK" w:hAnsi="宋体" w:eastAsia="方正小标宋_GBK" w:cs="宋体"/>
          <w:b w:val="0"/>
          <w:color w:val="auto"/>
          <w:kern w:val="44"/>
          <w:sz w:val="44"/>
          <w:szCs w:val="44"/>
          <w:highlight w:val="none"/>
          <w:u w:val="none"/>
          <w:lang w:eastAsia="zh-CN"/>
        </w:rPr>
        <w:t>需求</w:t>
      </w:r>
      <w:r>
        <w:rPr>
          <w:rFonts w:hint="eastAsia" w:ascii="方正小标宋_GBK" w:hAnsi="宋体" w:eastAsia="方正小标宋_GBK" w:cs="宋体"/>
          <w:b w:val="0"/>
          <w:color w:val="auto"/>
          <w:kern w:val="44"/>
          <w:sz w:val="44"/>
          <w:szCs w:val="44"/>
          <w:highlight w:val="none"/>
          <w:u w:val="none"/>
        </w:rPr>
        <w:t>书</w:t>
      </w:r>
    </w:p>
    <w:p>
      <w:pPr>
        <w:pStyle w:val="6"/>
        <w:widowControl/>
        <w:adjustRightInd w:val="0"/>
        <w:snapToGrid w:val="0"/>
        <w:spacing w:before="78" w:beforeLines="25" w:after="78" w:afterLines="25" w:line="400" w:lineRule="exact"/>
        <w:ind w:firstLine="640" w:firstLineChars="200"/>
        <w:rPr>
          <w:rFonts w:hint="eastAsia" w:ascii="仿宋_GB2312" w:hAnsi="黑体" w:eastAsia="仿宋_GB2312" w:cs="黑体"/>
          <w:bCs/>
          <w:color w:val="auto"/>
          <w:sz w:val="32"/>
          <w:szCs w:val="32"/>
          <w:highlight w:val="none"/>
          <w:u w:val="none"/>
        </w:rPr>
      </w:pP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一、采购项目概况</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福田区双创示范基地建设相关服务，包括以下内容：</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（1）完成创业带动就业专项行动开展成效与调度考核总结等资料汇总整理，包括中期汇报、示范项目指标数据、典型案例、推荐项目、媒体宣传报道材料、年度评估材料等；</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t>（2）完成福田区双创建设情况总结，包括半年和年度总结、国务院督查激励申报、建设经验交流汇报等系列材料。</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二、项目管理和服务要求</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响应人根据采购需求，安排得力的</w:t>
      </w:r>
      <w:r>
        <w:rPr>
          <w:rFonts w:hint="eastAsia" w:ascii="仿宋_GB2312" w:hAnsi="仿宋" w:eastAsia="仿宋_GB2312"/>
          <w:color w:val="auto"/>
          <w:sz w:val="32"/>
          <w:szCs w:val="32"/>
          <w:highlight w:val="none"/>
          <w:u w:val="none"/>
          <w:lang w:eastAsia="zh-CN"/>
        </w:rPr>
        <w:t>专业</w:t>
      </w:r>
      <w:r>
        <w:rPr>
          <w:rFonts w:hint="eastAsia" w:ascii="仿宋_GB2312" w:hAnsi="仿宋" w:eastAsia="仿宋_GB2312"/>
          <w:color w:val="auto"/>
          <w:sz w:val="32"/>
          <w:szCs w:val="32"/>
          <w:highlight w:val="none"/>
          <w:u w:val="none"/>
        </w:rPr>
        <w:t>团队、充足时间，精心组织，负责</w:t>
      </w:r>
      <w:r>
        <w:rPr>
          <w:rFonts w:hint="eastAsia" w:ascii="仿宋_GB2312" w:hAnsi="仿宋" w:eastAsia="仿宋_GB2312"/>
          <w:color w:val="auto"/>
          <w:sz w:val="32"/>
          <w:szCs w:val="32"/>
          <w:highlight w:val="none"/>
          <w:u w:val="none"/>
          <w:lang w:eastAsia="zh-CN"/>
        </w:rPr>
        <w:t>提供</w:t>
      </w:r>
      <w:r>
        <w:rPr>
          <w:rFonts w:hint="eastAsia" w:ascii="仿宋_GB2312" w:hAnsi="仿宋_GB2312" w:eastAsia="仿宋_GB2312" w:cs="仿宋_GB2312"/>
          <w:color w:val="auto"/>
          <w:kern w:val="2"/>
          <w:sz w:val="32"/>
          <w:szCs w:val="32"/>
          <w:highlight w:val="none"/>
          <w:u w:val="none"/>
          <w:lang w:val="en-US" w:eastAsia="zh-CN" w:bidi="ar-SA"/>
        </w:rPr>
        <w:t>福田区双创示范基地建设相关服务</w:t>
      </w:r>
      <w:r>
        <w:rPr>
          <w:rFonts w:hint="eastAsia" w:ascii="仿宋_GB2312" w:hAnsi="仿宋" w:eastAsia="仿宋_GB2312"/>
          <w:color w:val="auto"/>
          <w:sz w:val="32"/>
          <w:szCs w:val="32"/>
          <w:highlight w:val="none"/>
          <w:u w:val="none"/>
        </w:rPr>
        <w:t>，包括</w:t>
      </w:r>
      <w:r>
        <w:rPr>
          <w:rFonts w:hint="eastAsia" w:ascii="仿宋_GB2312" w:hAnsi="仿宋" w:eastAsia="仿宋_GB2312"/>
          <w:color w:val="auto"/>
          <w:sz w:val="32"/>
          <w:szCs w:val="32"/>
          <w:highlight w:val="none"/>
          <w:u w:val="none"/>
          <w:lang w:eastAsia="zh-CN"/>
        </w:rPr>
        <w:t>研究政策、</w:t>
      </w:r>
      <w:r>
        <w:rPr>
          <w:rFonts w:hint="eastAsia" w:ascii="仿宋_GB2312" w:hAnsi="仿宋" w:eastAsia="仿宋_GB2312"/>
          <w:color w:val="auto"/>
          <w:sz w:val="32"/>
          <w:szCs w:val="32"/>
          <w:highlight w:val="none"/>
          <w:u w:val="none"/>
        </w:rPr>
        <w:t>收集资料</w:t>
      </w:r>
      <w:r>
        <w:rPr>
          <w:rFonts w:hint="eastAsia" w:ascii="仿宋_GB2312" w:hAnsi="仿宋" w:eastAsia="仿宋_GB2312"/>
          <w:color w:val="auto"/>
          <w:sz w:val="32"/>
          <w:szCs w:val="32"/>
          <w:highlight w:val="none"/>
          <w:u w:val="none"/>
          <w:lang w:eastAsia="zh-CN"/>
        </w:rPr>
        <w:t>、</w:t>
      </w:r>
      <w:r>
        <w:rPr>
          <w:rFonts w:hint="eastAsia" w:ascii="仿宋_GB2312" w:hAnsi="仿宋" w:eastAsia="仿宋_GB2312"/>
          <w:color w:val="auto"/>
          <w:sz w:val="32"/>
          <w:szCs w:val="32"/>
          <w:highlight w:val="none"/>
          <w:u w:val="none"/>
        </w:rPr>
        <w:t>撰写</w:t>
      </w:r>
      <w:r>
        <w:rPr>
          <w:rFonts w:hint="eastAsia" w:ascii="仿宋_GB2312" w:hAnsi="仿宋" w:eastAsia="仿宋_GB2312"/>
          <w:color w:val="auto"/>
          <w:sz w:val="32"/>
          <w:szCs w:val="32"/>
          <w:highlight w:val="none"/>
          <w:u w:val="none"/>
          <w:lang w:eastAsia="zh-CN"/>
        </w:rPr>
        <w:t>总结、撰写汇报材料</w:t>
      </w:r>
      <w:r>
        <w:rPr>
          <w:rFonts w:hint="eastAsia" w:ascii="仿宋_GB2312" w:hAnsi="仿宋" w:eastAsia="仿宋_GB2312"/>
          <w:color w:val="auto"/>
          <w:sz w:val="32"/>
          <w:szCs w:val="32"/>
          <w:highlight w:val="none"/>
          <w:u w:val="none"/>
          <w:lang w:val="en-US" w:eastAsia="zh-CN"/>
        </w:rPr>
        <w:t>ppt、协助完成评估、推动政策落实等</w:t>
      </w:r>
      <w:r>
        <w:rPr>
          <w:rFonts w:hint="eastAsia" w:ascii="仿宋_GB2312" w:hAnsi="仿宋" w:eastAsia="仿宋_GB2312"/>
          <w:color w:val="auto"/>
          <w:sz w:val="32"/>
          <w:szCs w:val="32"/>
          <w:highlight w:val="none"/>
          <w:u w:val="none"/>
        </w:rPr>
        <w:t>。</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黑体" w:hAnsi="黑体" w:eastAsia="黑体" w:cs="黑体"/>
          <w:bCs/>
          <w:color w:val="auto"/>
          <w:sz w:val="32"/>
          <w:szCs w:val="32"/>
          <w:highlight w:val="none"/>
          <w:u w:val="none"/>
        </w:rPr>
      </w:pPr>
      <w:r>
        <w:rPr>
          <w:rFonts w:hint="eastAsia" w:ascii="黑体" w:hAnsi="黑体" w:eastAsia="黑体" w:cs="黑体"/>
          <w:bCs/>
          <w:color w:val="auto"/>
          <w:sz w:val="32"/>
          <w:szCs w:val="32"/>
          <w:highlight w:val="none"/>
          <w:u w:val="none"/>
        </w:rPr>
        <w:t>三、商务需求</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1、服务期：202</w:t>
      </w:r>
      <w:r>
        <w:rPr>
          <w:rFonts w:hint="eastAsia" w:ascii="仿宋_GB2312" w:hAnsi="仿宋" w:eastAsia="仿宋_GB2312"/>
          <w:color w:val="auto"/>
          <w:sz w:val="32"/>
          <w:szCs w:val="32"/>
          <w:highlight w:val="none"/>
          <w:u w:val="none"/>
          <w:lang w:val="en-US" w:eastAsia="zh-CN"/>
        </w:rPr>
        <w:t>2</w:t>
      </w:r>
      <w:r>
        <w:rPr>
          <w:rFonts w:hint="eastAsia" w:ascii="仿宋_GB2312" w:hAnsi="仿宋" w:eastAsia="仿宋_GB2312"/>
          <w:color w:val="auto"/>
          <w:sz w:val="32"/>
          <w:szCs w:val="32"/>
          <w:highlight w:val="none"/>
          <w:u w:val="none"/>
        </w:rPr>
        <w:t>年</w:t>
      </w:r>
      <w:r>
        <w:rPr>
          <w:rFonts w:hint="eastAsia" w:ascii="仿宋_GB2312" w:hAnsi="仿宋" w:eastAsia="仿宋_GB2312"/>
          <w:color w:val="auto"/>
          <w:sz w:val="32"/>
          <w:szCs w:val="32"/>
          <w:highlight w:val="none"/>
          <w:u w:val="none"/>
          <w:lang w:val="en-US" w:eastAsia="zh-CN"/>
        </w:rPr>
        <w:t>8</w:t>
      </w:r>
      <w:r>
        <w:rPr>
          <w:rFonts w:hint="eastAsia" w:ascii="仿宋_GB2312" w:hAnsi="仿宋" w:eastAsia="仿宋_GB2312"/>
          <w:color w:val="auto"/>
          <w:sz w:val="32"/>
          <w:szCs w:val="32"/>
          <w:highlight w:val="none"/>
          <w:u w:val="none"/>
        </w:rPr>
        <w:t>月-</w:t>
      </w:r>
      <w:r>
        <w:rPr>
          <w:rFonts w:hint="eastAsia" w:ascii="仿宋_GB2312" w:hAnsi="仿宋" w:eastAsia="仿宋_GB2312"/>
          <w:i w:val="0"/>
          <w:iCs w:val="0"/>
          <w:color w:val="auto"/>
          <w:sz w:val="32"/>
          <w:szCs w:val="32"/>
          <w:highlight w:val="none"/>
          <w:u w:val="none"/>
        </w:rPr>
        <w:t>202</w:t>
      </w:r>
      <w:r>
        <w:rPr>
          <w:rFonts w:hint="eastAsia" w:ascii="仿宋_GB2312" w:hAnsi="仿宋" w:eastAsia="仿宋_GB2312"/>
          <w:i w:val="0"/>
          <w:iCs w:val="0"/>
          <w:color w:val="auto"/>
          <w:sz w:val="32"/>
          <w:szCs w:val="32"/>
          <w:highlight w:val="none"/>
          <w:u w:val="none"/>
          <w:lang w:val="en-US" w:eastAsia="zh-CN"/>
        </w:rPr>
        <w:t>3</w:t>
      </w:r>
      <w:r>
        <w:rPr>
          <w:rFonts w:hint="eastAsia" w:ascii="仿宋_GB2312" w:hAnsi="仿宋" w:eastAsia="仿宋_GB2312"/>
          <w:i w:val="0"/>
          <w:iCs w:val="0"/>
          <w:color w:val="auto"/>
          <w:sz w:val="32"/>
          <w:szCs w:val="32"/>
          <w:highlight w:val="none"/>
          <w:u w:val="none"/>
        </w:rPr>
        <w:t>年</w:t>
      </w:r>
      <w:r>
        <w:rPr>
          <w:rFonts w:hint="eastAsia" w:ascii="仿宋_GB2312" w:hAnsi="仿宋" w:eastAsia="仿宋_GB2312"/>
          <w:i w:val="0"/>
          <w:iCs w:val="0"/>
          <w:color w:val="auto"/>
          <w:sz w:val="32"/>
          <w:szCs w:val="32"/>
          <w:highlight w:val="none"/>
          <w:u w:val="none"/>
          <w:lang w:val="en-US" w:eastAsia="zh-CN"/>
        </w:rPr>
        <w:t>4</w:t>
      </w:r>
      <w:r>
        <w:rPr>
          <w:rFonts w:hint="eastAsia" w:ascii="仿宋_GB2312" w:hAnsi="仿宋" w:eastAsia="仿宋_GB2312"/>
          <w:i w:val="0"/>
          <w:iCs w:val="0"/>
          <w:color w:val="auto"/>
          <w:sz w:val="32"/>
          <w:szCs w:val="32"/>
          <w:highlight w:val="none"/>
          <w:u w:val="none"/>
        </w:rPr>
        <w:t>月,</w:t>
      </w:r>
      <w:r>
        <w:rPr>
          <w:rFonts w:hint="eastAsia" w:ascii="仿宋_GB2312" w:hAnsi="仿宋" w:eastAsia="仿宋_GB2312"/>
          <w:color w:val="auto"/>
          <w:sz w:val="32"/>
          <w:szCs w:val="32"/>
          <w:highlight w:val="none"/>
          <w:u w:val="none"/>
        </w:rPr>
        <w:t>响应人需于202</w:t>
      </w:r>
      <w:r>
        <w:rPr>
          <w:rFonts w:hint="eastAsia" w:ascii="仿宋_GB2312" w:hAnsi="仿宋" w:eastAsia="仿宋_GB2312"/>
          <w:color w:val="auto"/>
          <w:sz w:val="32"/>
          <w:szCs w:val="32"/>
          <w:highlight w:val="none"/>
          <w:u w:val="none"/>
          <w:lang w:val="en-US" w:eastAsia="zh-CN"/>
        </w:rPr>
        <w:t>3</w:t>
      </w:r>
      <w:r>
        <w:rPr>
          <w:rFonts w:hint="eastAsia" w:ascii="仿宋_GB2312" w:hAnsi="仿宋" w:eastAsia="仿宋_GB2312"/>
          <w:color w:val="auto"/>
          <w:sz w:val="32"/>
          <w:szCs w:val="32"/>
          <w:highlight w:val="none"/>
          <w:u w:val="none"/>
        </w:rPr>
        <w:t>年</w:t>
      </w:r>
      <w:r>
        <w:rPr>
          <w:rFonts w:hint="eastAsia" w:ascii="仿宋_GB2312" w:hAnsi="仿宋" w:eastAsia="仿宋_GB2312"/>
          <w:color w:val="auto"/>
          <w:sz w:val="32"/>
          <w:szCs w:val="32"/>
          <w:highlight w:val="none"/>
          <w:u w:val="none"/>
          <w:lang w:val="en-US" w:eastAsia="zh-CN"/>
        </w:rPr>
        <w:t>5</w:t>
      </w:r>
      <w:r>
        <w:rPr>
          <w:rFonts w:hint="eastAsia" w:ascii="仿宋_GB2312" w:hAnsi="仿宋" w:eastAsia="仿宋_GB2312"/>
          <w:color w:val="auto"/>
          <w:sz w:val="32"/>
          <w:szCs w:val="32"/>
          <w:highlight w:val="none"/>
          <w:u w:val="none"/>
        </w:rPr>
        <w:t>月1日前</w:t>
      </w:r>
      <w:r>
        <w:rPr>
          <w:rFonts w:hint="eastAsia" w:ascii="仿宋_GB2312" w:hAnsi="仿宋" w:eastAsia="仿宋_GB2312"/>
          <w:color w:val="auto"/>
          <w:sz w:val="32"/>
          <w:szCs w:val="32"/>
          <w:highlight w:val="none"/>
          <w:u w:val="none"/>
          <w:lang w:eastAsia="zh-CN"/>
        </w:rPr>
        <w:t>完成所有服务内容</w:t>
      </w:r>
      <w:r>
        <w:rPr>
          <w:rFonts w:hint="eastAsia" w:ascii="仿宋_GB2312" w:hAnsi="仿宋" w:eastAsia="仿宋_GB2312"/>
          <w:color w:val="auto"/>
          <w:sz w:val="32"/>
          <w:szCs w:val="32"/>
          <w:highlight w:val="none"/>
          <w:u w:val="none"/>
        </w:rPr>
        <w:t>。</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2、服务地点：福田区。</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3、报价要求：</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（1）本项目服务费采用包干制，总费用不得超过</w:t>
      </w:r>
      <w:r>
        <w:rPr>
          <w:rFonts w:hint="eastAsia" w:ascii="仿宋_GB2312" w:hAnsi="仿宋" w:eastAsia="仿宋_GB2312"/>
          <w:color w:val="auto"/>
          <w:sz w:val="32"/>
          <w:szCs w:val="32"/>
          <w:highlight w:val="none"/>
          <w:u w:val="none"/>
          <w:lang w:val="en-US" w:eastAsia="zh-CN"/>
        </w:rPr>
        <w:t>25</w:t>
      </w:r>
      <w:r>
        <w:rPr>
          <w:rFonts w:hint="eastAsia" w:ascii="仿宋_GB2312" w:hAnsi="仿宋" w:eastAsia="仿宋_GB2312"/>
          <w:color w:val="auto"/>
          <w:sz w:val="32"/>
          <w:szCs w:val="32"/>
          <w:highlight w:val="none"/>
          <w:u w:val="none"/>
        </w:rPr>
        <w:t>万元,应包括服务成本、法定税费和企业的利润。由企业根据采购文件所提供的资料自行测算报价；一经中选，报价总价作为中选单位与采购人签定的合同金额，合同期限内不做调整；</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（2）响应人应根据本企业的成本自行决定报价，但不得以低于其企业成本的报价；</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（3）响应人的报价不得超过财政预算限额；</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（4）响应人的报价，应是本项目采购范围和采购文件及合同条款上所列的各项内容中所述的全部，不得以任何理由予以重复，并以响应人最终提出的总价为依据；</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（6）响应人应先到项目地点调研以充分了解项目相关情况，任何因忽视或误解项目情况而导致的索赔或服务期限延长申请将不获批准；</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（7）响应人不得期望通过索赔等方式获取补偿，否则，除可能遭到拒绝外，还可能将被作为不良行为记录在案，并可能影响其以后参加政府采购。各响应人在报价时，应充分考虑报价的风险。</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（8）递交响应文件截止时间：</w:t>
      </w:r>
      <w:r>
        <w:rPr>
          <w:rFonts w:hint="eastAsia" w:ascii="仿宋_GB2312" w:hAnsi="仿宋" w:eastAsia="仿宋_GB2312"/>
          <w:color w:val="auto"/>
          <w:sz w:val="32"/>
          <w:szCs w:val="32"/>
          <w:highlight w:val="none"/>
          <w:u w:val="none"/>
          <w:lang w:eastAsia="zh-CN"/>
        </w:rPr>
        <w:t>根据相关征集通知要求确定</w:t>
      </w:r>
      <w:r>
        <w:rPr>
          <w:rFonts w:hint="eastAsia" w:ascii="仿宋_GB2312" w:hAnsi="仿宋" w:eastAsia="仿宋_GB2312"/>
          <w:color w:val="auto"/>
          <w:sz w:val="32"/>
          <w:szCs w:val="32"/>
          <w:highlight w:val="none"/>
          <w:u w:val="none"/>
        </w:rPr>
        <w:t>。</w:t>
      </w:r>
    </w:p>
    <w:p>
      <w:pPr>
        <w:keepNext w:val="0"/>
        <w:keepLines w:val="0"/>
        <w:pageBreakBefore w:val="0"/>
        <w:widowControl/>
        <w:suppressLineNumbers w:val="0"/>
        <w:kinsoku/>
        <w:wordWrap/>
        <w:overflowPunct/>
        <w:topLinePunct w:val="0"/>
        <w:autoSpaceDE/>
        <w:autoSpaceDN/>
        <w:bidi w:val="0"/>
        <w:snapToGrid w:val="0"/>
        <w:spacing w:line="570" w:lineRule="atLeast"/>
        <w:ind w:firstLine="640" w:firstLineChars="200"/>
        <w:jc w:val="left"/>
        <w:textAlignment w:val="auto"/>
        <w:rPr>
          <w:rFonts w:hint="eastAsia" w:ascii="仿宋_GB2312" w:hAnsi="仿宋" w:eastAsia="仿宋_GB2312" w:cs="Times New Roman"/>
          <w:color w:val="auto"/>
          <w:kern w:val="2"/>
          <w:sz w:val="32"/>
          <w:szCs w:val="32"/>
          <w:highlight w:val="none"/>
          <w:u w:val="none"/>
          <w:lang w:val="en-US" w:eastAsia="zh-CN" w:bidi="ar-SA"/>
        </w:rPr>
      </w:pPr>
      <w:r>
        <w:rPr>
          <w:rFonts w:hint="eastAsia" w:ascii="仿宋_GB2312" w:hAnsi="仿宋" w:eastAsia="仿宋_GB2312"/>
          <w:color w:val="auto"/>
          <w:sz w:val="32"/>
          <w:szCs w:val="32"/>
          <w:highlight w:val="none"/>
          <w:u w:val="none"/>
        </w:rPr>
        <w:t>（9）响</w:t>
      </w:r>
      <w:r>
        <w:rPr>
          <w:rFonts w:hint="eastAsia" w:ascii="仿宋_GB2312" w:hAnsi="仿宋" w:eastAsia="仿宋_GB2312" w:cs="Times New Roman"/>
          <w:color w:val="auto"/>
          <w:kern w:val="2"/>
          <w:sz w:val="32"/>
          <w:szCs w:val="32"/>
          <w:highlight w:val="none"/>
          <w:u w:val="none"/>
          <w:lang w:val="en-US" w:eastAsia="zh-CN" w:bidi="ar-SA"/>
        </w:rPr>
        <w:t>应人需为咨询公司，具有良好的信用记录，不得有违法失信等负面记录。</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4、付款方式：按照完成服务工作进度和工作量制定分期付款方式。</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 w:eastAsia="仿宋_GB2312"/>
          <w:color w:val="auto"/>
          <w:sz w:val="32"/>
          <w:szCs w:val="32"/>
          <w:highlight w:val="none"/>
          <w:u w:val="none"/>
        </w:rPr>
      </w:pPr>
      <w:r>
        <w:rPr>
          <w:rFonts w:hint="eastAsia" w:ascii="仿宋_GB2312" w:hAnsi="仿宋" w:eastAsia="仿宋_GB2312"/>
          <w:color w:val="auto"/>
          <w:sz w:val="32"/>
          <w:szCs w:val="32"/>
          <w:highlight w:val="none"/>
          <w:u w:val="none"/>
        </w:rPr>
        <w:t>5、履约担保金：由双方在合同中约定。</w:t>
      </w:r>
    </w:p>
    <w:p>
      <w:pPr>
        <w:pStyle w:val="6"/>
        <w:keepNext w:val="0"/>
        <w:keepLines w:val="0"/>
        <w:pageBreakBefore w:val="0"/>
        <w:widowControl/>
        <w:kinsoku/>
        <w:wordWrap/>
        <w:overflowPunct/>
        <w:topLinePunct w:val="0"/>
        <w:autoSpaceDE/>
        <w:autoSpaceDN/>
        <w:bidi w:val="0"/>
        <w:adjustRightInd w:val="0"/>
        <w:snapToGrid w:val="0"/>
        <w:spacing w:before="78" w:beforeLines="25" w:after="78" w:afterLines="25" w:line="570" w:lineRule="atLeas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 w:eastAsia="仿宋_GB2312"/>
          <w:color w:val="auto"/>
          <w:sz w:val="32"/>
          <w:szCs w:val="32"/>
          <w:highlight w:val="none"/>
          <w:u w:val="none"/>
        </w:rPr>
        <w:t>6、违约责任：由双方在合同中约定。</w:t>
      </w:r>
    </w:p>
    <w:sectPr>
      <w:headerReference r:id="rId3" w:type="default"/>
      <w:footerReference r:id="rId4" w:type="default"/>
      <w:pgSz w:w="11906" w:h="16838"/>
      <w:pgMar w:top="1701"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0000000" w:usb3="00000000" w:csb0="2000019F" w:csb1="00000000"/>
  </w:font>
  <w:font w:name="Tahoma">
    <w:altName w:val="Droid Sans"/>
    <w:panose1 w:val="020B0604030504040204"/>
    <w:charset w:val="00"/>
    <w:family w:val="swiss"/>
    <w:pitch w:val="default"/>
    <w:sig w:usb0="00000000" w:usb1="00000000" w:usb2="00000029" w:usb3="00000000" w:csb0="000101F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false">
                      <a:spAutoFit/>
                    </wps:bodyPr>
                  </wps:wsp>
                </a:graphicData>
              </a:graphic>
            </wp:anchor>
          </w:drawing>
        </mc:Choice>
        <mc:Fallback>
          <w:pict>
            <v:shape id="Quad Arrow 307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CTrRXtqgEAAFYDAAAOAAAAAAAAAAEAIAAAADQBAABkcnMvZTJvRG9jLnhtbFBLBQYA&#10;AAAABgAGAFkBAABQBQAAAAA=&#10;">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BE5839"/>
    <w:rsid w:val="0C6A07FE"/>
    <w:rsid w:val="0E5D2AB4"/>
    <w:rsid w:val="14C65A8D"/>
    <w:rsid w:val="1A5C29F1"/>
    <w:rsid w:val="1FCB2702"/>
    <w:rsid w:val="236810B4"/>
    <w:rsid w:val="2735620D"/>
    <w:rsid w:val="2D4877C9"/>
    <w:rsid w:val="2E5E1B66"/>
    <w:rsid w:val="2F3B3488"/>
    <w:rsid w:val="2FC442AC"/>
    <w:rsid w:val="33CC3B66"/>
    <w:rsid w:val="34637DC3"/>
    <w:rsid w:val="35FB74A9"/>
    <w:rsid w:val="3640112C"/>
    <w:rsid w:val="3FCE6A84"/>
    <w:rsid w:val="46AD3A1D"/>
    <w:rsid w:val="4E4121C2"/>
    <w:rsid w:val="4F6BF2F9"/>
    <w:rsid w:val="4F7D6733"/>
    <w:rsid w:val="51C01D2A"/>
    <w:rsid w:val="60A10DD9"/>
    <w:rsid w:val="66463E58"/>
    <w:rsid w:val="72FA68B3"/>
    <w:rsid w:val="74A76A1A"/>
    <w:rsid w:val="767FE6BD"/>
    <w:rsid w:val="76FBDA24"/>
    <w:rsid w:val="77FD6885"/>
    <w:rsid w:val="79E80B5E"/>
    <w:rsid w:val="7EE7E57F"/>
    <w:rsid w:val="7F73BE41"/>
    <w:rsid w:val="7F778941"/>
    <w:rsid w:val="7FDBD84F"/>
    <w:rsid w:val="9AEB260B"/>
    <w:rsid w:val="A7F7A56D"/>
    <w:rsid w:val="AEB1719C"/>
    <w:rsid w:val="B7BFA758"/>
    <w:rsid w:val="BFBB411D"/>
    <w:rsid w:val="C73B42A0"/>
    <w:rsid w:val="CBAF6090"/>
    <w:rsid w:val="D4DE2508"/>
    <w:rsid w:val="DFFB10C5"/>
    <w:rsid w:val="EAF6ECAA"/>
    <w:rsid w:val="EFBF15A4"/>
    <w:rsid w:val="F39E141F"/>
    <w:rsid w:val="F5FEB54C"/>
    <w:rsid w:val="F7FD2776"/>
    <w:rsid w:val="FA7BFA07"/>
    <w:rsid w:val="FBB3F681"/>
    <w:rsid w:val="FD781B16"/>
    <w:rsid w:val="FDB57406"/>
    <w:rsid w:val="FDFC72BC"/>
    <w:rsid w:val="FEF86EBD"/>
    <w:rsid w:val="FF7FFE73"/>
    <w:rsid w:val="FFBDE824"/>
    <w:rsid w:val="FFEFA6F1"/>
    <w:rsid w:val="FFF31769"/>
    <w:rsid w:val="FFF9CBBE"/>
    <w:rsid w:val="FFFF3C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4"/>
    <w:next w:val="5"/>
    <w:unhideWhenUsed/>
    <w:qFormat/>
    <w:uiPriority w:val="0"/>
    <w:pPr>
      <w:adjustRightInd w:val="0"/>
      <w:spacing w:before="260" w:after="260"/>
      <w:jc w:val="center"/>
      <w:outlineLvl w:val="1"/>
    </w:pPr>
    <w:rPr>
      <w:rFonts w:hint="eastAsia" w:ascii="宋体" w:hAnsi="宋体" w:eastAsia="宋体" w:cs="Times New Roman"/>
      <w:kern w:val="0"/>
      <w:sz w:val="24"/>
      <w:szCs w:val="20"/>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unhideWhenUsed/>
    <w:qFormat/>
    <w:uiPriority w:val="0"/>
    <w:pPr>
      <w:keepNext/>
      <w:keepLines/>
      <w:spacing w:before="280" w:after="290" w:line="374" w:lineRule="auto"/>
      <w:outlineLvl w:val="3"/>
    </w:pPr>
    <w:rPr>
      <w:rFonts w:ascii="Arial" w:hAnsi="Arial" w:eastAsia="黑体" w:cs="Times New Roman"/>
      <w:b/>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7">
    <w:name w:val="Body Text"/>
    <w:basedOn w:val="1"/>
    <w:unhideWhenUsed/>
    <w:qFormat/>
    <w:uiPriority w:val="0"/>
    <w:pPr>
      <w:jc w:val="center"/>
    </w:pPr>
    <w:rPr>
      <w:rFonts w:ascii="宋体"/>
      <w:sz w:val="44"/>
    </w:rPr>
  </w:style>
  <w:style w:type="paragraph" w:styleId="8">
    <w:name w:val="Body Text Indent"/>
    <w:basedOn w:val="1"/>
    <w:unhideWhenUsed/>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5"/>
    <w:qFormat/>
    <w:uiPriority w:val="0"/>
    <w:pPr>
      <w:spacing w:before="240" w:after="60"/>
      <w:jc w:val="center"/>
      <w:outlineLvl w:val="0"/>
    </w:pPr>
    <w:rPr>
      <w:rFonts w:ascii="Cambria" w:hAnsi="Cambria" w:eastAsia="宋体" w:cs="黑体"/>
      <w:b/>
      <w:bCs/>
      <w:sz w:val="32"/>
      <w:szCs w:val="32"/>
    </w:rPr>
  </w:style>
  <w:style w:type="paragraph" w:styleId="12">
    <w:name w:val="Body Text First Indent 2"/>
    <w:basedOn w:val="8"/>
    <w:qFormat/>
    <w:uiPriority w:val="0"/>
    <w:pPr>
      <w:ind w:firstLine="420" w:firstLineChars="200"/>
    </w:pPr>
    <w:rPr>
      <w:rFonts w:ascii="Tahoma" w:hAnsi="Tahoma"/>
      <w:szCs w:val="20"/>
    </w:rPr>
  </w:style>
  <w:style w:type="character" w:customStyle="1" w:styleId="15">
    <w:name w:val="标题 Char"/>
    <w:basedOn w:val="14"/>
    <w:link w:val="11"/>
    <w:qFormat/>
    <w:uiPriority w:val="0"/>
    <w:rPr>
      <w:rFonts w:ascii="Cambria" w:hAnsi="Cambria" w:cs="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HUI</dc:creator>
  <cp:lastModifiedBy>zhoushihua</cp:lastModifiedBy>
  <cp:lastPrinted>2022-06-30T02:38:00Z</cp:lastPrinted>
  <dcterms:modified xsi:type="dcterms:W3CDTF">2022-06-30T13:56:58Z</dcterms:modified>
  <dc:title>关于《福田区社会物业资源整合与科创利用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