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福田区工商联（总商会）关于对福田区人大代表建议第</w:t>
      </w:r>
      <w:r>
        <w:rPr>
          <w:rFonts w:hint="eastAsia" w:ascii="方正小标宋简体" w:hAnsi="方正小标宋简体" w:eastAsia="方正小标宋简体" w:cs="方正小标宋简体"/>
          <w:sz w:val="44"/>
          <w:szCs w:val="44"/>
          <w:lang w:val="en-US" w:eastAsia="zh-CN"/>
        </w:rPr>
        <w:t>20190118</w:t>
      </w:r>
      <w:r>
        <w:rPr>
          <w:rFonts w:hint="eastAsia" w:ascii="方正小标宋简体" w:hAnsi="方正小标宋简体" w:eastAsia="方正小标宋简体" w:cs="方正小标宋简体"/>
          <w:sz w:val="44"/>
          <w:szCs w:val="44"/>
          <w:lang w:eastAsia="zh-CN"/>
        </w:rPr>
        <w:t>号的答复</w:t>
      </w: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区企服中心：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top"/>
        <w:outlineLvl w:val="9"/>
        <w:rPr>
          <w:rFonts w:hint="eastAsia" w:ascii="仿宋_GB2312" w:hAnsi="Courier New" w:eastAsia="仿宋_GB2312" w:cs="Courier New"/>
          <w:color w:val="000000"/>
          <w:sz w:val="32"/>
          <w:szCs w:val="32"/>
          <w:lang w:val="en-US" w:eastAsia="zh-CN"/>
        </w:rPr>
      </w:pPr>
      <w:r>
        <w:rPr>
          <w:rFonts w:hint="eastAsia" w:ascii="仿宋_GB2312" w:hAnsi="Courier New" w:eastAsia="仿宋_GB2312" w:cs="Courier New"/>
          <w:color w:val="000000"/>
          <w:sz w:val="32"/>
          <w:szCs w:val="32"/>
          <w:lang w:val="en-US" w:eastAsia="zh-CN"/>
        </w:rPr>
        <w:t xml:space="preserve"> 对于陈婷、伍吟红等</w:t>
      </w:r>
      <w:r>
        <w:rPr>
          <w:rFonts w:hint="eastAsia" w:ascii="仿宋" w:hAnsi="仿宋" w:eastAsia="仿宋" w:cs="仿宋"/>
          <w:sz w:val="32"/>
          <w:szCs w:val="32"/>
          <w:lang w:val="en-US" w:eastAsia="zh-CN"/>
        </w:rPr>
        <w:t>10位人大代表</w:t>
      </w:r>
      <w:r>
        <w:rPr>
          <w:rFonts w:hint="eastAsia" w:ascii="仿宋_GB2312" w:hAnsi="Courier New" w:eastAsia="仿宋_GB2312" w:cs="Courier New"/>
          <w:color w:val="000000"/>
          <w:sz w:val="32"/>
          <w:szCs w:val="32"/>
          <w:lang w:val="en-US" w:eastAsia="zh-CN"/>
        </w:rPr>
        <w:t>提出的“关于扶持辖区民营企业发展的建议”已收悉。在建议中，代表们指出当前辖区民营企业发展存在的问题，提出扶持当前民营企业发展的若干建议，结合我会工作职能和开展情况，对照建议中的相关内容，现答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0"/>
          <w:sz w:val="32"/>
          <w:szCs w:val="32"/>
          <w:shd w:val="clear" w:color="auto" w:fill="FFFFFF"/>
          <w:lang w:val="en-US" w:eastAsia="zh-CN" w:bidi="ar-SA"/>
        </w:rPr>
      </w:pPr>
      <w:r>
        <w:rPr>
          <w:rFonts w:hint="eastAsia" w:ascii="楷体" w:hAnsi="楷体" w:eastAsia="楷体" w:cs="楷体"/>
          <w:kern w:val="0"/>
          <w:sz w:val="32"/>
          <w:szCs w:val="32"/>
          <w:shd w:val="clear" w:color="auto" w:fill="FFFFFF"/>
          <w:lang w:val="en-US" w:eastAsia="zh-CN" w:bidi="ar-SA"/>
        </w:rPr>
        <w:t>一是大力宣传产业扶持政策。</w:t>
      </w:r>
      <w:r>
        <w:rPr>
          <w:rFonts w:hint="eastAsia" w:ascii="仿宋" w:hAnsi="仿宋" w:eastAsia="仿宋" w:cs="仿宋"/>
          <w:kern w:val="0"/>
          <w:sz w:val="32"/>
          <w:szCs w:val="32"/>
          <w:shd w:val="clear" w:color="auto" w:fill="FFFFFF"/>
          <w:lang w:val="en-US" w:eastAsia="zh-CN" w:bidi="ar-SA"/>
        </w:rPr>
        <w:t>近年来，为加强区产业发展专项资金系列政策的宣传，我会专门制作政策宣传小视频，在楼宇、地铁、公交、社区播放，提高政策的晓知度和落实力；定期邀请专家召开政策主题宣传活动，主动下企业送政策，增强政策与企业需求之间的适配性，打通政策宣传“最后一公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0"/>
          <w:sz w:val="32"/>
          <w:szCs w:val="32"/>
          <w:shd w:val="clear" w:color="auto" w:fill="FFFFFF"/>
          <w:lang w:val="en-US" w:eastAsia="zh-CN" w:bidi="ar-SA"/>
        </w:rPr>
      </w:pPr>
      <w:r>
        <w:rPr>
          <w:rFonts w:hint="eastAsia" w:ascii="楷体" w:hAnsi="楷体" w:eastAsia="楷体" w:cs="楷体"/>
          <w:kern w:val="0"/>
          <w:sz w:val="32"/>
          <w:szCs w:val="32"/>
          <w:shd w:val="clear" w:color="auto" w:fill="FFFFFF"/>
          <w:lang w:val="en-US" w:eastAsia="zh-CN" w:bidi="ar-SA"/>
        </w:rPr>
        <w:t>二是积极推进智慧政务服务。</w:t>
      </w:r>
      <w:r>
        <w:rPr>
          <w:rFonts w:hint="eastAsia" w:ascii="仿宋" w:hAnsi="仿宋" w:eastAsia="仿宋" w:cs="仿宋"/>
          <w:kern w:val="0"/>
          <w:sz w:val="32"/>
          <w:szCs w:val="32"/>
          <w:shd w:val="clear" w:color="auto" w:fill="FFFFFF"/>
          <w:lang w:val="en-US" w:eastAsia="zh-CN" w:bidi="ar-SA"/>
        </w:rPr>
        <w:t>主动与区政务服务数据管理局沟通，在“智慧福田”“一中心五平台百系统”建设中完善工商联政务APP，在对外交流、项目投资、科技创新、绿色金融、法律服务、政策法规等方面，提供政务智慧服务；积极引导企业利用大数据、互联网，实现政务服务“秒批”、“不见面审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top"/>
        <w:outlineLvl w:val="9"/>
        <w:rPr>
          <w:rFonts w:hint="eastAsia" w:ascii="仿宋" w:hAnsi="仿宋" w:eastAsia="仿宋" w:cs="仿宋"/>
          <w:kern w:val="0"/>
          <w:sz w:val="32"/>
          <w:szCs w:val="32"/>
          <w:shd w:val="clear" w:color="auto" w:fill="FFFFFF"/>
          <w:lang w:val="en-US" w:eastAsia="zh-CN" w:bidi="ar-SA"/>
        </w:rPr>
      </w:pPr>
      <w:r>
        <w:rPr>
          <w:rFonts w:hint="eastAsia" w:ascii="楷体" w:hAnsi="楷体" w:eastAsia="楷体" w:cs="楷体"/>
          <w:kern w:val="0"/>
          <w:sz w:val="32"/>
          <w:szCs w:val="32"/>
          <w:shd w:val="clear" w:color="auto" w:fill="FFFFFF"/>
          <w:lang w:val="en-US" w:eastAsia="zh-CN" w:bidi="ar-SA"/>
        </w:rPr>
        <w:t>三是搭建政企沟通交流平台。</w:t>
      </w:r>
      <w:r>
        <w:rPr>
          <w:rFonts w:hint="eastAsia" w:ascii="仿宋" w:hAnsi="仿宋" w:eastAsia="仿宋" w:cs="仿宋"/>
          <w:b w:val="0"/>
          <w:bCs w:val="0"/>
          <w:snapToGrid w:val="0"/>
          <w:kern w:val="0"/>
          <w:sz w:val="32"/>
          <w:szCs w:val="32"/>
          <w:lang w:val="en-US" w:eastAsia="zh-CN"/>
        </w:rPr>
        <w:t>每年</w:t>
      </w:r>
      <w:r>
        <w:rPr>
          <w:rFonts w:hint="eastAsia" w:ascii="仿宋" w:hAnsi="仿宋" w:eastAsia="仿宋" w:cs="仿宋"/>
          <w:kern w:val="0"/>
          <w:sz w:val="32"/>
          <w:szCs w:val="32"/>
          <w:shd w:val="clear" w:color="auto" w:fill="FFFFFF"/>
          <w:lang w:val="en-US" w:eastAsia="zh-CN" w:bidi="ar-SA"/>
        </w:rPr>
        <w:t>组织政企面对面座谈会、民营企业座谈会，加强与</w:t>
      </w:r>
      <w:r>
        <w:rPr>
          <w:rFonts w:hint="eastAsia" w:ascii="仿宋" w:hAnsi="仿宋" w:eastAsia="仿宋" w:cs="仿宋"/>
          <w:b w:val="0"/>
          <w:bCs w:val="0"/>
          <w:snapToGrid w:val="0"/>
          <w:kern w:val="0"/>
          <w:sz w:val="32"/>
          <w:szCs w:val="32"/>
          <w:lang w:eastAsia="zh-CN"/>
        </w:rPr>
        <w:t>经促局、科创局、财政局、文产办、企服中心、投资推广署等职能部门</w:t>
      </w:r>
      <w:r>
        <w:rPr>
          <w:rFonts w:hint="eastAsia" w:ascii="仿宋" w:hAnsi="仿宋" w:eastAsia="仿宋" w:cs="仿宋"/>
          <w:kern w:val="0"/>
          <w:sz w:val="32"/>
          <w:szCs w:val="32"/>
          <w:shd w:val="clear" w:color="auto" w:fill="FFFFFF"/>
          <w:lang w:val="en-US" w:eastAsia="zh-CN" w:bidi="ar-SA"/>
        </w:rPr>
        <w:t>的沟通对接，</w:t>
      </w:r>
      <w:r>
        <w:rPr>
          <w:rFonts w:hint="eastAsia" w:ascii="仿宋" w:hAnsi="仿宋" w:eastAsia="仿宋" w:cs="仿宋"/>
          <w:sz w:val="32"/>
          <w:szCs w:val="32"/>
          <w:lang w:eastAsia="zh-CN"/>
        </w:rPr>
        <w:t>形成服务非公有制经济发展的合力，</w:t>
      </w:r>
      <w:r>
        <w:rPr>
          <w:rFonts w:hint="eastAsia" w:ascii="仿宋" w:hAnsi="仿宋" w:eastAsia="仿宋" w:cs="仿宋"/>
          <w:kern w:val="0"/>
          <w:sz w:val="32"/>
          <w:szCs w:val="32"/>
          <w:shd w:val="clear" w:color="auto" w:fill="FFFFFF"/>
          <w:lang w:val="en-US" w:eastAsia="zh-CN" w:bidi="ar-SA"/>
        </w:rPr>
        <w:t>邀请相关职能部门共同对民营实体企业、金融控股集团和民营金融机构开展调研，及时了解企业实际情况和困难，帮助民营企业防范化解风险。</w:t>
      </w:r>
      <w:r>
        <w:rPr>
          <w:rFonts w:hint="eastAsia" w:ascii="仿宋" w:hAnsi="仿宋" w:eastAsia="仿宋" w:cs="仿宋"/>
          <w:sz w:val="32"/>
          <w:szCs w:val="32"/>
          <w:lang w:eastAsia="zh-CN"/>
        </w:rPr>
        <w:t>开展专题调研，形成《</w:t>
      </w:r>
      <w:r>
        <w:rPr>
          <w:rFonts w:hint="eastAsia" w:ascii="仿宋" w:hAnsi="仿宋" w:eastAsia="仿宋" w:cs="仿宋"/>
          <w:sz w:val="32"/>
          <w:szCs w:val="32"/>
          <w:lang w:val="en-US" w:eastAsia="zh-CN"/>
        </w:rPr>
        <w:t>关于福田区产业扶持政策落实情况汇报》，得到区委区政府相关领导的肯定和批示。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top"/>
        <w:outlineLvl w:val="9"/>
        <w:rPr>
          <w:rFonts w:hint="eastAsia" w:ascii="仿宋" w:hAnsi="仿宋" w:eastAsia="仿宋" w:cs="仿宋"/>
          <w:kern w:val="0"/>
          <w:sz w:val="32"/>
          <w:szCs w:val="32"/>
          <w:shd w:val="clear" w:color="auto" w:fill="FFFFFF"/>
          <w:lang w:val="en-US" w:eastAsia="zh-CN" w:bidi="ar-SA"/>
        </w:rPr>
      </w:pPr>
      <w:r>
        <w:rPr>
          <w:rFonts w:hint="eastAsia" w:ascii="楷体" w:hAnsi="楷体" w:eastAsia="楷体" w:cs="楷体"/>
          <w:sz w:val="32"/>
          <w:szCs w:val="32"/>
          <w:lang w:val="en-US" w:eastAsia="zh-CN"/>
        </w:rPr>
        <w:t>四是构建</w:t>
      </w:r>
      <w:r>
        <w:rPr>
          <w:rFonts w:hint="eastAsia" w:ascii="楷体" w:hAnsi="楷体" w:eastAsia="楷体" w:cs="楷体"/>
          <w:kern w:val="0"/>
          <w:sz w:val="32"/>
          <w:szCs w:val="32"/>
          <w:shd w:val="clear" w:color="auto" w:fill="FFFFFF"/>
          <w:lang w:val="en-US" w:eastAsia="zh-CN" w:bidi="ar-SA"/>
        </w:rPr>
        <w:t>司法服务保障体系。</w:t>
      </w:r>
      <w:r>
        <w:rPr>
          <w:rFonts w:hint="eastAsia" w:ascii="仿宋_GB2312" w:hAnsi="仿宋_GB2312" w:eastAsia="仿宋_GB2312" w:cs="仿宋_GB2312"/>
          <w:b w:val="0"/>
          <w:i w:val="0"/>
          <w:color w:val="000000"/>
          <w:sz w:val="32"/>
          <w:szCs w:val="32"/>
          <w:lang w:val="en-US" w:eastAsia="zh-CN"/>
        </w:rPr>
        <w:t>与区公安分局、检察院、法院等部门联合出台或签订《保障和促进非公有制经济健康发展十五条措施》《依法保障和促进非公有制经济健康发</w:t>
      </w:r>
      <w:r>
        <w:rPr>
          <w:rFonts w:hint="eastAsia" w:ascii="仿宋_GB2312" w:hAnsi="仿宋_GB2312" w:eastAsia="仿宋_GB2312" w:cs="仿宋_GB2312"/>
          <w:b w:val="0"/>
          <w:i w:val="0"/>
          <w:color w:val="000000"/>
          <w:spacing w:val="-2"/>
          <w:sz w:val="32"/>
          <w:szCs w:val="32"/>
          <w:lang w:val="en-US" w:eastAsia="zh-CN"/>
        </w:rPr>
        <w:t>展的工作方案》《关于建立依法保障和促进非公有制经济健康发展机制的备忘录》，构建司法服务体系，帮助企业协调解决司法维权、经济纠纷、法律诉讼等方面的问题，保护企业家人身、财产安全，维护企业正常经营秩序和合法权益；</w:t>
      </w:r>
      <w:r>
        <w:rPr>
          <w:rFonts w:hint="eastAsia" w:ascii="仿宋_GB2312" w:hAnsi="黑体" w:eastAsia="仿宋_GB2312" w:cs="黑体"/>
          <w:snapToGrid w:val="0"/>
          <w:kern w:val="0"/>
          <w:sz w:val="32"/>
          <w:szCs w:val="32"/>
          <w:lang w:val="en-US" w:eastAsia="zh-CN"/>
        </w:rPr>
        <w:t>推动法治体检模块与公共法律服务平台的融合贯通，为民营企业涉及司法的问题，提供全方位、全链条的服务</w:t>
      </w:r>
      <w:r>
        <w:rPr>
          <w:rFonts w:hint="eastAsia" w:ascii="仿宋" w:hAnsi="仿宋" w:eastAsia="仿宋" w:cs="仿宋"/>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top"/>
        <w:outlineLvl w:val="9"/>
        <w:rPr>
          <w:rFonts w:hint="eastAsia" w:ascii="仿宋" w:hAnsi="仿宋" w:eastAsia="仿宋" w:cs="仿宋"/>
          <w:color w:val="auto"/>
          <w:sz w:val="32"/>
          <w:szCs w:val="32"/>
          <w:lang w:val="en-US" w:eastAsia="zh-CN"/>
        </w:rPr>
      </w:pPr>
      <w:r>
        <w:rPr>
          <w:rFonts w:hint="eastAsia" w:ascii="楷体" w:hAnsi="楷体" w:eastAsia="楷体" w:cs="楷体"/>
          <w:kern w:val="0"/>
          <w:sz w:val="32"/>
          <w:szCs w:val="32"/>
          <w:shd w:val="clear" w:color="auto" w:fill="FFFFFF"/>
          <w:lang w:val="en-US" w:eastAsia="zh-CN" w:bidi="ar-SA"/>
        </w:rPr>
        <w:t>五是着力拓展融资渠道。</w:t>
      </w:r>
      <w:r>
        <w:rPr>
          <w:rFonts w:hint="eastAsia" w:ascii="仿宋" w:hAnsi="仿宋" w:eastAsia="仿宋" w:cs="仿宋"/>
          <w:kern w:val="0"/>
          <w:sz w:val="32"/>
          <w:szCs w:val="32"/>
          <w:shd w:val="clear" w:color="auto" w:fill="FFFFFF"/>
          <w:lang w:val="en-US" w:eastAsia="zh-CN" w:bidi="ar-SA"/>
        </w:rPr>
        <w:t>联合企业与证券、银行、基金、保险等金融机构建立常态化联系，着力解决好银行与中小微企业之间互动较少、信息不对称，评估、信贷、融资针对性不强，金融政策实施难等问题，促进银企合作常态化、精准化；协助金融机构加快推广民营企业债券融资支持工具，加大资金配置倾斜力度，着力</w:t>
      </w:r>
      <w:r>
        <w:rPr>
          <w:rFonts w:hint="eastAsia" w:ascii="仿宋" w:hAnsi="仿宋" w:eastAsia="仿宋" w:cs="仿宋"/>
          <w:sz w:val="32"/>
          <w:szCs w:val="32"/>
          <w:lang w:val="en-US" w:eastAsia="zh-CN"/>
        </w:rPr>
        <w:t>解决企业融资难问题。近年来，我会</w:t>
      </w:r>
      <w:r>
        <w:rPr>
          <w:rFonts w:hint="eastAsia" w:ascii="仿宋" w:hAnsi="仿宋" w:eastAsia="仿宋" w:cs="仿宋"/>
          <w:color w:val="auto"/>
          <w:sz w:val="32"/>
          <w:szCs w:val="32"/>
          <w:lang w:val="en-US" w:eastAsia="zh-CN"/>
        </w:rPr>
        <w:t>分别与中国工商银行、宝生村镇银行以及与会企业代表共同签订银企合作框架协议，打造聚合式“金融超市”；今年多次走访调研招商银行和交通银行，就如何帮助解决福田中小微企融资难题达成共识。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lang w:val="en-US" w:eastAsia="zh-CN"/>
        </w:rPr>
      </w:pPr>
      <w:r>
        <w:rPr>
          <w:rFonts w:hint="eastAsia" w:ascii="楷体" w:hAnsi="楷体" w:eastAsia="楷体" w:cs="楷体"/>
          <w:b w:val="0"/>
          <w:bCs/>
          <w:i w:val="0"/>
          <w:color w:val="000000"/>
          <w:kern w:val="0"/>
          <w:sz w:val="32"/>
          <w:szCs w:val="32"/>
          <w:u w:val="none"/>
          <w:lang w:val="en-US" w:eastAsia="zh-CN" w:bidi="ar"/>
        </w:rPr>
        <w:t>六是加强交流合作。</w:t>
      </w:r>
      <w:r>
        <w:rPr>
          <w:rFonts w:hint="eastAsia" w:ascii="仿宋_GB2312" w:hAnsi="仿宋_GB2312" w:eastAsia="仿宋_GB2312" w:cs="仿宋_GB2312"/>
          <w:b w:val="0"/>
          <w:bCs w:val="0"/>
          <w:sz w:val="32"/>
          <w:szCs w:val="32"/>
          <w:lang w:val="en-US" w:eastAsia="zh-CN"/>
        </w:rPr>
        <w:t>围绕我区“四个中心”、“七大行动”的发展要求，鼓励民营企业参与粤港澳大湾区、深港科技创新合作区建设</w:t>
      </w:r>
      <w:r>
        <w:rPr>
          <w:rFonts w:hint="eastAsia" w:ascii="仿宋_GB2312" w:hAnsi="仿宋" w:eastAsia="仿宋_GB2312"/>
          <w:color w:val="000000"/>
          <w:sz w:val="32"/>
          <w:szCs w:val="32"/>
          <w:highlight w:val="none"/>
          <w:lang w:val="en-US" w:eastAsia="zh-CN"/>
        </w:rPr>
        <w:t>；组织会员企业、商（协）会参加2019年湖南-粤港澳大湾区投资贸易洽谈周</w:t>
      </w:r>
      <w:bookmarkStart w:id="0" w:name="_GoBack"/>
      <w:bookmarkEnd w:id="0"/>
      <w:r>
        <w:rPr>
          <w:rFonts w:hint="eastAsia" w:ascii="仿宋_GB2312" w:hAnsi="仿宋" w:eastAsia="仿宋_GB2312"/>
          <w:color w:val="000000"/>
          <w:sz w:val="32"/>
          <w:szCs w:val="32"/>
          <w:highlight w:val="none"/>
          <w:lang w:val="en-US" w:eastAsia="zh-CN"/>
        </w:rPr>
        <w:t>；</w:t>
      </w:r>
      <w:r>
        <w:rPr>
          <w:rFonts w:hint="eastAsia" w:ascii="仿宋" w:hAnsi="仿宋" w:eastAsia="仿宋" w:cs="仿宋"/>
          <w:sz w:val="32"/>
          <w:szCs w:val="32"/>
        </w:rPr>
        <w:t>组织企业赴澳门出席</w:t>
      </w:r>
      <w:r>
        <w:rPr>
          <w:rFonts w:hint="eastAsia" w:ascii="仿宋" w:hAnsi="仿宋" w:eastAsia="仿宋" w:cs="仿宋"/>
          <w:sz w:val="32"/>
          <w:szCs w:val="32"/>
          <w:lang w:val="en-US" w:eastAsia="zh-CN"/>
        </w:rPr>
        <w:t>2019年澳门国际环保合作发展论坛及展</w:t>
      </w:r>
      <w:r>
        <w:rPr>
          <w:rFonts w:hint="eastAsia" w:ascii="仿宋" w:hAnsi="仿宋" w:eastAsia="仿宋" w:cs="仿宋"/>
          <w:sz w:val="32"/>
          <w:szCs w:val="32"/>
          <w:highlight w:val="none"/>
          <w:lang w:val="en-US" w:eastAsia="zh-CN"/>
        </w:rPr>
        <w:t>览（MIECF）</w:t>
      </w:r>
      <w:r>
        <w:rPr>
          <w:rFonts w:hint="eastAsia" w:ascii="仿宋_GB2312" w:eastAsia="仿宋_GB2312"/>
          <w:sz w:val="32"/>
          <w:szCs w:val="32"/>
          <w:highlight w:val="none"/>
          <w:lang w:eastAsia="zh-CN"/>
        </w:rPr>
        <w:t>，</w:t>
      </w:r>
      <w:r>
        <w:rPr>
          <w:rFonts w:hint="eastAsia" w:ascii="仿宋" w:hAnsi="仿宋" w:eastAsia="仿宋" w:cs="仿宋"/>
          <w:sz w:val="32"/>
          <w:szCs w:val="32"/>
          <w:highlight w:val="none"/>
        </w:rPr>
        <w:t>加强深澳经济文化交流</w:t>
      </w:r>
      <w:r>
        <w:rPr>
          <w:rFonts w:hint="eastAsia" w:ascii="仿宋" w:hAnsi="仿宋" w:eastAsia="仿宋" w:cs="仿宋"/>
          <w:sz w:val="32"/>
          <w:szCs w:val="32"/>
          <w:highlight w:val="none"/>
          <w:lang w:eastAsia="zh-CN"/>
        </w:rPr>
        <w:t>；</w:t>
      </w:r>
      <w:r>
        <w:rPr>
          <w:rFonts w:hint="eastAsia" w:ascii="仿宋_GB2312" w:hAnsi="仿宋" w:eastAsia="仿宋_GB2312"/>
          <w:color w:val="000000"/>
          <w:sz w:val="32"/>
          <w:szCs w:val="32"/>
          <w:highlight w:val="none"/>
          <w:lang w:val="en-US" w:eastAsia="zh-CN"/>
        </w:rPr>
        <w:t>组织会员企业参加首届福田“百博行”活动，深入对接港澳台高层次人才资源；举办港澳台青年企业家与高校科研对接参与深港创新合作区建设项目合作交流会，促进科研项目对接，推动经贸交流、科技创新、动能转化、技术攻关。</w:t>
      </w:r>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Courier New" w:eastAsia="仿宋_GB2312" w:cs="Courier New"/>
          <w:color w:val="000000"/>
          <w:sz w:val="32"/>
          <w:szCs w:val="32"/>
          <w:lang w:val="en-US" w:eastAsia="zh-CN"/>
        </w:rPr>
      </w:pPr>
      <w:r>
        <w:rPr>
          <w:rFonts w:hint="eastAsia" w:ascii="仿宋_GB2312" w:hAnsi="仿宋_GB2312" w:eastAsia="仿宋_GB2312" w:cs="仿宋_GB2312"/>
          <w:b w:val="0"/>
          <w:i w:val="0"/>
          <w:color w:val="000000"/>
          <w:spacing w:val="-2"/>
          <w:sz w:val="32"/>
          <w:szCs w:val="32"/>
          <w:lang w:val="en-US" w:eastAsia="zh-CN"/>
        </w:rPr>
        <w:t>今后，我会将继续根据人大代表们的建议积极开展工作，发挥职能作用，不断促进非公有制经济健康发展和非公有制经济人士健康成长。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Courier New" w:eastAsia="仿宋_GB2312" w:cs="Courier New"/>
          <w:color w:val="000000"/>
          <w:sz w:val="32"/>
          <w:szCs w:val="32"/>
        </w:rPr>
      </w:pPr>
      <w:r>
        <w:rPr>
          <w:rFonts w:hint="eastAsia" w:ascii="仿宋_GB2312" w:hAnsi="Courier New" w:eastAsia="仿宋_GB2312" w:cs="Courier New"/>
          <w:color w:val="000000"/>
          <w:sz w:val="32"/>
          <w:szCs w:val="32"/>
          <w:lang w:eastAsia="zh-CN"/>
        </w:rPr>
        <w:t>特此回复</w:t>
      </w:r>
      <w:r>
        <w:rPr>
          <w:rFonts w:hint="eastAsia" w:ascii="仿宋_GB2312" w:hAnsi="Courier New" w:eastAsia="仿宋_GB2312" w:cs="Courier New"/>
          <w:color w:val="000000"/>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Courier New" w:eastAsia="仿宋_GB2312" w:cs="Courier New"/>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Courier New" w:eastAsia="仿宋_GB2312" w:cs="Courier New"/>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jc w:val="left"/>
      </w:pPr>
      <w:r>
        <w:rPr>
          <w:rFonts w:hint="eastAsia"/>
          <w:lang w:val="en-US" w:eastAsia="zh-CN"/>
        </w:rPr>
        <w:t xml:space="preserve">                                             </w:t>
      </w:r>
      <w:r>
        <w:rPr>
          <w:rFonts w:hint="eastAsia" w:ascii="仿宋_GB2312" w:hAnsi="Courier New" w:eastAsia="仿宋_GB2312" w:cs="Courier New"/>
          <w:color w:val="000000"/>
          <w:sz w:val="32"/>
          <w:szCs w:val="32"/>
          <w:lang w:val="en-US" w:eastAsia="zh-CN"/>
        </w:rPr>
        <w:t>2019年7月23日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YjdlNzU3NGZmZGMwMzVjYzk4MmUyMGVmNjM4MjAifQ=="/>
  </w:docVars>
  <w:rsids>
    <w:rsidRoot w:val="38AA1A87"/>
    <w:rsid w:val="0AEC6420"/>
    <w:rsid w:val="14B25EAC"/>
    <w:rsid w:val="219A71EC"/>
    <w:rsid w:val="2E4E5F7A"/>
    <w:rsid w:val="38AA1A87"/>
    <w:rsid w:val="3B742B89"/>
    <w:rsid w:val="4FA14AE4"/>
    <w:rsid w:val="514B06B6"/>
    <w:rsid w:val="7A6766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cs="Times New Roman"/>
      <w:sz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1409</Words>
  <Characters>1433</Characters>
  <Lines>0</Lines>
  <Paragraphs>0</Paragraphs>
  <TotalTime>39</TotalTime>
  <ScaleCrop>false</ScaleCrop>
  <LinksUpToDate>false</LinksUpToDate>
  <CharactersWithSpaces>1479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2019-07-24T03:47:00Z</dcterms:created>
  <dc:creator>cfn</dc:creator>
  <cp:lastModifiedBy>-Jus</cp:lastModifiedBy>
  <cp:lastPrinted>2019-07-25T09:19:00Z</cp:lastPrinted>
  <dcterms:modified xsi:type="dcterms:W3CDTF">2022-08-05T07:17:14Z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66086D4B894B437091F94EE354E51A9C</vt:lpwstr>
  </property>
</Properties>
</file>