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ageBreakBefore w:val="0"/>
        <w:kinsoku/>
        <w:overflowPunct/>
        <w:topLinePunct w:val="0"/>
        <w:bidi w:val="0"/>
        <w:spacing w:before="156" w:line="560" w:lineRule="exact"/>
        <w:textAlignment w:val="auto"/>
        <w:rPr>
          <w:rFonts w:hint="eastAsia" w:ascii="仿宋_GB2312" w:hAnsi="仿宋_GB2312" w:eastAsia="仿宋_GB2312" w:cs="仿宋_GB2312"/>
          <w:b w:val="0"/>
          <w:color w:val="auto"/>
          <w:kern w:val="0"/>
          <w:sz w:val="32"/>
          <w:szCs w:val="32"/>
          <w:lang w:val="en-US" w:eastAsia="zh-CN" w:bidi="ar-SA"/>
        </w:rPr>
      </w:pPr>
    </w:p>
    <w:p>
      <w:pPr>
        <w:pageBreakBefore w:val="0"/>
        <w:kinsoku/>
        <w:overflowPunct/>
        <w:topLinePunct w:val="0"/>
        <w:bidi w:val="0"/>
        <w:spacing w:line="560" w:lineRule="exact"/>
        <w:textAlignment w:val="auto"/>
        <w:rPr>
          <w:rFonts w:hint="eastAsia" w:ascii="仿宋_GB2312" w:hAnsi="仿宋_GB2312" w:eastAsia="仿宋_GB2312" w:cs="仿宋_GB2312"/>
          <w:b w:val="0"/>
          <w:color w:val="auto"/>
          <w:kern w:val="0"/>
          <w:sz w:val="32"/>
          <w:szCs w:val="32"/>
          <w:lang w:val="en-US" w:eastAsia="zh-CN" w:bidi="ar-SA"/>
        </w:rPr>
      </w:pPr>
    </w:p>
    <w:p>
      <w:pPr>
        <w:pageBreakBefore w:val="0"/>
        <w:kinsoku/>
        <w:overflowPunct/>
        <w:topLinePunct w:val="0"/>
        <w:bidi w:val="0"/>
        <w:spacing w:line="560" w:lineRule="exact"/>
        <w:textAlignment w:val="auto"/>
        <w:rPr>
          <w:rFonts w:hint="eastAsia" w:ascii="仿宋_GB2312" w:hAnsi="仿宋_GB2312" w:eastAsia="仿宋_GB2312" w:cs="仿宋_GB2312"/>
          <w:b w:val="0"/>
          <w:color w:val="auto"/>
          <w:kern w:val="0"/>
          <w:sz w:val="32"/>
          <w:szCs w:val="32"/>
          <w:lang w:val="en-US" w:eastAsia="zh-CN" w:bidi="ar-SA"/>
        </w:rPr>
      </w:pPr>
    </w:p>
    <w:p>
      <w:pPr>
        <w:pageBreakBefore w:val="0"/>
        <w:kinsoku/>
        <w:overflowPunct/>
        <w:topLinePunct w:val="0"/>
        <w:bidi w:val="0"/>
        <w:spacing w:line="560" w:lineRule="exact"/>
        <w:textAlignment w:val="auto"/>
        <w:rPr>
          <w:rFonts w:hint="eastAsia" w:ascii="仿宋_GB2312" w:hAnsi="仿宋_GB2312" w:eastAsia="仿宋_GB2312" w:cs="仿宋_GB2312"/>
          <w:b w:val="0"/>
          <w:color w:val="auto"/>
          <w:kern w:val="0"/>
          <w:sz w:val="32"/>
          <w:szCs w:val="32"/>
          <w:lang w:val="en-US" w:eastAsia="zh-CN" w:bidi="ar-SA"/>
        </w:rPr>
      </w:pPr>
    </w:p>
    <w:p>
      <w:pPr>
        <w:keepNext w:val="0"/>
        <w:keepLines w:val="0"/>
        <w:pageBreakBefore w:val="0"/>
        <w:widowControl/>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bCs/>
          <w:color w:val="auto"/>
          <w:kern w:val="0"/>
          <w:sz w:val="44"/>
          <w:szCs w:val="44"/>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bCs/>
          <w:color w:val="auto"/>
          <w:kern w:val="0"/>
          <w:sz w:val="44"/>
          <w:szCs w:val="44"/>
          <w:lang w:val="en-US" w:eastAsia="zh-CN"/>
        </w:rPr>
      </w:pPr>
      <w:r>
        <w:rPr>
          <w:rFonts w:hint="eastAsia" w:ascii="方正小标宋_GBK" w:hAnsi="方正小标宋_GBK" w:eastAsia="方正小标宋_GBK" w:cs="方正小标宋_GBK"/>
          <w:b/>
          <w:bCs/>
          <w:color w:val="auto"/>
          <w:kern w:val="0"/>
          <w:sz w:val="44"/>
          <w:szCs w:val="44"/>
          <w:lang w:val="en-US" w:eastAsia="zh-CN"/>
        </w:rPr>
        <w:t>福田区区域卫生规划（2016-2020年）</w:t>
      </w:r>
    </w:p>
    <w:p>
      <w:pPr>
        <w:pageBreakBefore w:val="0"/>
        <w:kinsoku/>
        <w:overflowPunct/>
        <w:topLinePunct w:val="0"/>
        <w:bidi w:val="0"/>
        <w:spacing w:line="560" w:lineRule="exact"/>
        <w:jc w:val="center"/>
        <w:textAlignment w:val="auto"/>
        <w:rPr>
          <w:rFonts w:hint="eastAsia" w:ascii="黑体" w:hAnsi="黑体" w:eastAsia="黑体" w:cs="黑体"/>
          <w:b w:val="0"/>
          <w:color w:val="auto"/>
          <w:kern w:val="0"/>
          <w:sz w:val="44"/>
          <w:szCs w:val="44"/>
          <w:lang w:val="en-US" w:eastAsia="zh-CN" w:bidi="ar-SA"/>
        </w:rPr>
      </w:pPr>
      <w:r>
        <w:rPr>
          <w:rFonts w:hint="eastAsia" w:ascii="黑体" w:hAnsi="黑体" w:eastAsia="黑体" w:cs="黑体"/>
          <w:b w:val="0"/>
          <w:color w:val="auto"/>
          <w:kern w:val="0"/>
          <w:sz w:val="44"/>
          <w:szCs w:val="44"/>
          <w:lang w:val="en-US" w:eastAsia="zh-CN" w:bidi="ar-SA"/>
        </w:rPr>
        <w:t>（征求意见稿）</w:t>
      </w:r>
    </w:p>
    <w:p>
      <w:pPr>
        <w:pageBreakBefore w:val="0"/>
        <w:kinsoku/>
        <w:overflowPunct/>
        <w:topLinePunct w:val="0"/>
        <w:bidi w:val="0"/>
        <w:spacing w:line="560" w:lineRule="exact"/>
        <w:textAlignment w:val="auto"/>
        <w:rPr>
          <w:rFonts w:hint="eastAsia" w:ascii="仿宋_GB2312" w:hAnsi="仿宋_GB2312" w:eastAsia="仿宋_GB2312" w:cs="仿宋_GB2312"/>
          <w:b w:val="0"/>
          <w:color w:val="auto"/>
          <w:kern w:val="0"/>
          <w:sz w:val="32"/>
          <w:szCs w:val="32"/>
          <w:lang w:val="en-US" w:eastAsia="zh-CN" w:bidi="ar-SA"/>
        </w:rPr>
      </w:pPr>
    </w:p>
    <w:p>
      <w:pPr>
        <w:pageBreakBefore w:val="0"/>
        <w:kinsoku/>
        <w:overflowPunct/>
        <w:topLinePunct w:val="0"/>
        <w:bidi w:val="0"/>
        <w:spacing w:line="560" w:lineRule="exact"/>
        <w:textAlignment w:val="auto"/>
        <w:rPr>
          <w:rFonts w:hint="eastAsia" w:ascii="仿宋_GB2312" w:hAnsi="仿宋_GB2312" w:eastAsia="仿宋_GB2312" w:cs="仿宋_GB2312"/>
          <w:b w:val="0"/>
          <w:color w:val="auto"/>
          <w:kern w:val="0"/>
          <w:sz w:val="32"/>
          <w:szCs w:val="32"/>
          <w:lang w:val="en-US" w:eastAsia="zh-CN" w:bidi="ar-SA"/>
        </w:rPr>
      </w:pPr>
    </w:p>
    <w:p>
      <w:pPr>
        <w:pageBreakBefore w:val="0"/>
        <w:kinsoku/>
        <w:overflowPunct/>
        <w:topLinePunct w:val="0"/>
        <w:bidi w:val="0"/>
        <w:spacing w:line="560" w:lineRule="exact"/>
        <w:textAlignment w:val="auto"/>
        <w:rPr>
          <w:rFonts w:hint="eastAsia" w:ascii="仿宋_GB2312" w:hAnsi="仿宋_GB2312" w:eastAsia="仿宋_GB2312" w:cs="仿宋_GB2312"/>
          <w:b w:val="0"/>
          <w:color w:val="auto"/>
          <w:kern w:val="0"/>
          <w:sz w:val="32"/>
          <w:szCs w:val="32"/>
          <w:lang w:val="en-US" w:eastAsia="zh-CN" w:bidi="ar-SA"/>
        </w:rPr>
      </w:pPr>
    </w:p>
    <w:p>
      <w:pPr>
        <w:pageBreakBefore w:val="0"/>
        <w:kinsoku/>
        <w:overflowPunct/>
        <w:topLinePunct w:val="0"/>
        <w:bidi w:val="0"/>
        <w:spacing w:line="560" w:lineRule="exact"/>
        <w:textAlignment w:val="auto"/>
        <w:rPr>
          <w:rFonts w:hint="eastAsia" w:ascii="仿宋_GB2312" w:hAnsi="仿宋_GB2312" w:eastAsia="仿宋_GB2312" w:cs="仿宋_GB2312"/>
          <w:b w:val="0"/>
          <w:color w:val="auto"/>
          <w:kern w:val="0"/>
          <w:sz w:val="32"/>
          <w:szCs w:val="32"/>
          <w:lang w:val="en-US" w:eastAsia="zh-CN" w:bidi="ar-SA"/>
        </w:rPr>
      </w:pPr>
    </w:p>
    <w:p>
      <w:pPr>
        <w:pageBreakBefore w:val="0"/>
        <w:kinsoku/>
        <w:overflowPunct/>
        <w:topLinePunct w:val="0"/>
        <w:bidi w:val="0"/>
        <w:spacing w:line="560" w:lineRule="exact"/>
        <w:textAlignment w:val="auto"/>
        <w:rPr>
          <w:rFonts w:hint="eastAsia" w:ascii="仿宋_GB2312" w:hAnsi="仿宋_GB2312" w:eastAsia="仿宋_GB2312" w:cs="仿宋_GB2312"/>
          <w:b w:val="0"/>
          <w:color w:val="auto"/>
          <w:kern w:val="0"/>
          <w:sz w:val="32"/>
          <w:szCs w:val="32"/>
          <w:lang w:val="en-US" w:eastAsia="zh-CN" w:bidi="ar-SA"/>
        </w:rPr>
      </w:pPr>
    </w:p>
    <w:p>
      <w:pPr>
        <w:pageBreakBefore w:val="0"/>
        <w:kinsoku/>
        <w:overflowPunct/>
        <w:topLinePunct w:val="0"/>
        <w:bidi w:val="0"/>
        <w:spacing w:line="560" w:lineRule="exact"/>
        <w:textAlignment w:val="auto"/>
        <w:rPr>
          <w:rFonts w:hint="eastAsia" w:ascii="仿宋_GB2312" w:hAnsi="仿宋_GB2312" w:eastAsia="仿宋_GB2312" w:cs="仿宋_GB2312"/>
          <w:b w:val="0"/>
          <w:color w:val="auto"/>
          <w:kern w:val="0"/>
          <w:sz w:val="32"/>
          <w:szCs w:val="32"/>
          <w:lang w:val="en-US" w:eastAsia="zh-CN" w:bidi="ar-SA"/>
        </w:rPr>
      </w:pPr>
    </w:p>
    <w:p>
      <w:pPr>
        <w:pageBreakBefore w:val="0"/>
        <w:kinsoku/>
        <w:overflowPunct/>
        <w:topLinePunct w:val="0"/>
        <w:bidi w:val="0"/>
        <w:spacing w:line="560" w:lineRule="exact"/>
        <w:textAlignment w:val="auto"/>
        <w:rPr>
          <w:rFonts w:hint="eastAsia" w:ascii="仿宋_GB2312" w:hAnsi="仿宋_GB2312" w:eastAsia="仿宋_GB2312" w:cs="仿宋_GB2312"/>
          <w:b w:val="0"/>
          <w:color w:val="auto"/>
          <w:kern w:val="0"/>
          <w:sz w:val="32"/>
          <w:szCs w:val="32"/>
          <w:lang w:val="en-US" w:eastAsia="zh-CN" w:bidi="ar-SA"/>
        </w:rPr>
      </w:pPr>
    </w:p>
    <w:p>
      <w:pPr>
        <w:pageBreakBefore w:val="0"/>
        <w:kinsoku/>
        <w:overflowPunct/>
        <w:topLinePunct w:val="0"/>
        <w:bidi w:val="0"/>
        <w:spacing w:line="560" w:lineRule="exact"/>
        <w:textAlignment w:val="auto"/>
        <w:rPr>
          <w:rFonts w:hint="eastAsia" w:ascii="仿宋_GB2312" w:hAnsi="仿宋_GB2312" w:eastAsia="仿宋_GB2312" w:cs="仿宋_GB2312"/>
          <w:b w:val="0"/>
          <w:color w:val="auto"/>
          <w:kern w:val="0"/>
          <w:sz w:val="32"/>
          <w:szCs w:val="32"/>
          <w:lang w:val="en-US" w:eastAsia="zh-CN" w:bidi="ar-SA"/>
        </w:rPr>
      </w:pPr>
    </w:p>
    <w:p>
      <w:pPr>
        <w:pageBreakBefore w:val="0"/>
        <w:kinsoku/>
        <w:overflowPunct/>
        <w:topLinePunct w:val="0"/>
        <w:bidi w:val="0"/>
        <w:spacing w:line="560" w:lineRule="exact"/>
        <w:textAlignment w:val="auto"/>
        <w:rPr>
          <w:rFonts w:hint="eastAsia" w:ascii="仿宋_GB2312" w:hAnsi="仿宋_GB2312" w:eastAsia="仿宋_GB2312" w:cs="仿宋_GB2312"/>
          <w:b w:val="0"/>
          <w:color w:val="auto"/>
          <w:kern w:val="0"/>
          <w:sz w:val="32"/>
          <w:szCs w:val="32"/>
          <w:lang w:val="en-US" w:eastAsia="zh-CN" w:bidi="ar-SA"/>
        </w:rPr>
      </w:pPr>
    </w:p>
    <w:p>
      <w:pPr>
        <w:pageBreakBefore w:val="0"/>
        <w:kinsoku/>
        <w:overflowPunct/>
        <w:topLinePunct w:val="0"/>
        <w:bidi w:val="0"/>
        <w:spacing w:line="560" w:lineRule="exact"/>
        <w:textAlignment w:val="auto"/>
        <w:rPr>
          <w:rFonts w:hint="eastAsia" w:ascii="仿宋_GB2312" w:hAnsi="仿宋_GB2312" w:eastAsia="仿宋_GB2312" w:cs="仿宋_GB2312"/>
          <w:b w:val="0"/>
          <w:color w:val="auto"/>
          <w:kern w:val="0"/>
          <w:sz w:val="32"/>
          <w:szCs w:val="32"/>
          <w:lang w:val="en-US" w:eastAsia="zh-CN" w:bidi="ar-SA"/>
        </w:rPr>
      </w:pPr>
    </w:p>
    <w:p>
      <w:pPr>
        <w:pageBreakBefore w:val="0"/>
        <w:kinsoku/>
        <w:overflowPunct/>
        <w:topLinePunct w:val="0"/>
        <w:bidi w:val="0"/>
        <w:spacing w:line="560" w:lineRule="exact"/>
        <w:textAlignment w:val="auto"/>
        <w:rPr>
          <w:rFonts w:hint="eastAsia" w:ascii="仿宋_GB2312" w:hAnsi="仿宋_GB2312" w:eastAsia="仿宋_GB2312" w:cs="仿宋_GB2312"/>
          <w:b w:val="0"/>
          <w:color w:val="auto"/>
          <w:kern w:val="0"/>
          <w:sz w:val="32"/>
          <w:szCs w:val="32"/>
          <w:lang w:val="en-US" w:eastAsia="zh-CN" w:bidi="ar-SA"/>
        </w:rPr>
      </w:pPr>
    </w:p>
    <w:p>
      <w:pPr>
        <w:pageBreakBefore w:val="0"/>
        <w:kinsoku/>
        <w:overflowPunct/>
        <w:topLinePunct w:val="0"/>
        <w:bidi w:val="0"/>
        <w:spacing w:line="560" w:lineRule="exact"/>
        <w:textAlignment w:val="auto"/>
        <w:rPr>
          <w:rFonts w:hint="eastAsia" w:ascii="仿宋_GB2312" w:hAnsi="仿宋_GB2312" w:eastAsia="仿宋_GB2312" w:cs="仿宋_GB2312"/>
          <w:b w:val="0"/>
          <w:color w:val="auto"/>
          <w:kern w:val="0"/>
          <w:sz w:val="32"/>
          <w:szCs w:val="32"/>
          <w:lang w:val="en-US" w:eastAsia="zh-CN" w:bidi="ar-SA"/>
        </w:rPr>
      </w:pPr>
    </w:p>
    <w:p>
      <w:pPr>
        <w:pageBreakBefore w:val="0"/>
        <w:kinsoku/>
        <w:overflowPunct/>
        <w:topLinePunct w:val="0"/>
        <w:bidi w:val="0"/>
        <w:spacing w:line="560" w:lineRule="exact"/>
        <w:textAlignment w:val="auto"/>
        <w:rPr>
          <w:rFonts w:hint="eastAsia" w:ascii="仿宋_GB2312" w:hAnsi="仿宋_GB2312" w:eastAsia="仿宋_GB2312" w:cs="仿宋_GB2312"/>
          <w:b w:val="0"/>
          <w:color w:val="auto"/>
          <w:kern w:val="0"/>
          <w:sz w:val="32"/>
          <w:szCs w:val="32"/>
          <w:lang w:val="en-US" w:eastAsia="zh-CN" w:bidi="ar-SA"/>
        </w:rPr>
      </w:pPr>
    </w:p>
    <w:p>
      <w:pPr>
        <w:pageBreakBefore w:val="0"/>
        <w:kinsoku/>
        <w:overflowPunct/>
        <w:topLinePunct w:val="0"/>
        <w:bidi w:val="0"/>
        <w:spacing w:line="560" w:lineRule="exact"/>
        <w:textAlignment w:val="auto"/>
        <w:rPr>
          <w:rFonts w:hint="eastAsia" w:ascii="仿宋_GB2312" w:hAnsi="仿宋_GB2312" w:eastAsia="仿宋_GB2312" w:cs="仿宋_GB2312"/>
          <w:b w:val="0"/>
          <w:color w:val="auto"/>
          <w:kern w:val="0"/>
          <w:sz w:val="32"/>
          <w:szCs w:val="32"/>
          <w:lang w:val="en-US" w:eastAsia="zh-CN" w:bidi="ar-SA"/>
        </w:rPr>
      </w:pPr>
    </w:p>
    <w:p>
      <w:pPr>
        <w:pageBreakBefore w:val="0"/>
        <w:kinsoku/>
        <w:overflowPunct/>
        <w:topLinePunct w:val="0"/>
        <w:bidi w:val="0"/>
        <w:spacing w:line="560" w:lineRule="exact"/>
        <w:textAlignment w:val="auto"/>
        <w:rPr>
          <w:rFonts w:hint="eastAsia" w:ascii="仿宋_GB2312" w:hAnsi="仿宋_GB2312" w:eastAsia="仿宋_GB2312" w:cs="仿宋_GB2312"/>
          <w:b w:val="0"/>
          <w:color w:val="auto"/>
          <w:kern w:val="0"/>
          <w:sz w:val="32"/>
          <w:szCs w:val="32"/>
          <w:lang w:val="en-US" w:eastAsia="zh-CN" w:bidi="ar-SA"/>
        </w:rPr>
      </w:pPr>
    </w:p>
    <w:p>
      <w:pPr>
        <w:pageBreakBefore w:val="0"/>
        <w:kinsoku/>
        <w:overflowPunct/>
        <w:topLinePunct w:val="0"/>
        <w:bidi w:val="0"/>
        <w:spacing w:line="560" w:lineRule="exact"/>
        <w:textAlignment w:val="auto"/>
        <w:rPr>
          <w:rFonts w:hint="eastAsia" w:ascii="仿宋_GB2312" w:hAnsi="仿宋_GB2312" w:eastAsia="仿宋_GB2312" w:cs="仿宋_GB2312"/>
          <w:b w:val="0"/>
          <w:color w:val="auto"/>
          <w:kern w:val="0"/>
          <w:sz w:val="32"/>
          <w:szCs w:val="32"/>
          <w:lang w:val="en-US" w:eastAsia="zh-CN" w:bidi="ar-SA"/>
        </w:rPr>
      </w:pPr>
    </w:p>
    <w:p>
      <w:pPr>
        <w:pStyle w:val="2"/>
        <w:pageBreakBefore w:val="0"/>
        <w:kinsoku/>
        <w:overflowPunct/>
        <w:topLinePunct w:val="0"/>
        <w:bidi w:val="0"/>
        <w:spacing w:line="560" w:lineRule="exact"/>
        <w:jc w:val="center"/>
        <w:textAlignment w:val="auto"/>
        <w:rPr>
          <w:rFonts w:hint="eastAsia" w:ascii="黑体" w:hAnsi="黑体" w:eastAsia="黑体" w:cs="黑体"/>
          <w:b w:val="0"/>
          <w:color w:val="auto"/>
          <w:kern w:val="0"/>
          <w:sz w:val="32"/>
          <w:szCs w:val="32"/>
          <w:lang w:val="en-US" w:eastAsia="zh-CN" w:bidi="ar-SA"/>
        </w:rPr>
      </w:pPr>
      <w:bookmarkStart w:id="0" w:name="_Toc433626957"/>
      <w:bookmarkStart w:id="1" w:name="_Toc432964843"/>
      <w:r>
        <w:rPr>
          <w:rFonts w:hint="eastAsia" w:ascii="黑体" w:hAnsi="黑体" w:eastAsia="黑体" w:cs="黑体"/>
          <w:b w:val="0"/>
          <w:color w:val="auto"/>
          <w:kern w:val="0"/>
          <w:sz w:val="32"/>
          <w:szCs w:val="32"/>
          <w:lang w:val="en-US" w:eastAsia="zh-CN" w:bidi="ar-SA"/>
        </w:rPr>
        <w:t>第一章</w:t>
      </w:r>
      <w:bookmarkEnd w:id="0"/>
      <w:bookmarkEnd w:id="1"/>
      <w:r>
        <w:rPr>
          <w:rFonts w:hint="eastAsia" w:ascii="黑体" w:hAnsi="黑体" w:eastAsia="黑体" w:cs="黑体"/>
          <w:b w:val="0"/>
          <w:color w:val="auto"/>
          <w:kern w:val="0"/>
          <w:sz w:val="32"/>
          <w:szCs w:val="32"/>
          <w:lang w:val="en-US" w:eastAsia="zh-CN" w:bidi="ar-SA"/>
        </w:rPr>
        <w:t xml:space="preserve">  规划背景</w:t>
      </w:r>
    </w:p>
    <w:p>
      <w:pPr>
        <w:pStyle w:val="3"/>
        <w:pageBreakBefore w:val="0"/>
        <w:widowControl/>
        <w:kinsoku/>
        <w:overflowPunct/>
        <w:topLinePunct w:val="0"/>
        <w:bidi w:val="0"/>
        <w:spacing w:before="0" w:after="0" w:line="560" w:lineRule="exact"/>
        <w:ind w:left="0"/>
        <w:jc w:val="left"/>
        <w:textAlignment w:val="auto"/>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val="0"/>
          <w:color w:val="auto"/>
          <w:kern w:val="0"/>
          <w:sz w:val="32"/>
          <w:szCs w:val="32"/>
          <w:lang w:val="en-US" w:eastAsia="zh-CN" w:bidi="ar-SA"/>
        </w:rPr>
        <w:t xml:space="preserve">    为进一步优化我区医疗卫生资源配置，完善我区医疗卫生服务体系建设，提升医疗卫生综合服务可及性和能力，根据全国卫生与健康大会精神、《健康中国2030规划纲要》的战略部署、《广东省医疗卫生服务体系规划（2016-2020年）》、《深圳市区域卫生规划（2016-2020年）》、《深圳市福田区卫生和计划生育事业发展“十三五”规划（2016-2020年）》的要求，结合我区实际，制定本规划。</w:t>
      </w:r>
    </w:p>
    <w:p>
      <w:pPr>
        <w:pStyle w:val="3"/>
        <w:pageBreakBefore w:val="0"/>
        <w:widowControl/>
        <w:kinsoku/>
        <w:overflowPunct/>
        <w:topLinePunct w:val="0"/>
        <w:bidi w:val="0"/>
        <w:spacing w:before="0" w:after="0" w:line="560" w:lineRule="exact"/>
        <w:ind w:left="0"/>
        <w:jc w:val="left"/>
        <w:textAlignment w:val="auto"/>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val="0"/>
          <w:color w:val="auto"/>
          <w:kern w:val="0"/>
          <w:sz w:val="32"/>
          <w:szCs w:val="32"/>
          <w:lang w:val="en-US" w:eastAsia="zh-CN" w:bidi="ar-SA"/>
        </w:rPr>
        <w:t xml:space="preserve">    </w:t>
      </w:r>
      <w:r>
        <w:rPr>
          <w:rFonts w:hint="eastAsia" w:ascii="黑体" w:hAnsi="黑体" w:eastAsia="黑体" w:cs="黑体"/>
          <w:b w:val="0"/>
          <w:color w:val="auto"/>
          <w:kern w:val="0"/>
          <w:sz w:val="32"/>
          <w:szCs w:val="32"/>
          <w:lang w:val="en-US" w:eastAsia="zh-CN" w:bidi="ar-SA"/>
        </w:rPr>
        <w:t>一、发展现状</w:t>
      </w:r>
    </w:p>
    <w:p>
      <w:pPr>
        <w:keepNext w:val="0"/>
        <w:keepLines w:val="0"/>
        <w:pageBreakBefore w:val="0"/>
        <w:widowControl/>
        <w:kinsoku/>
        <w:wordWrap w:val="0"/>
        <w:overflowPunct/>
        <w:topLinePunct w:val="0"/>
        <w:autoSpaceDE/>
        <w:autoSpaceDN/>
        <w:bidi w:val="0"/>
        <w:adjustRightInd/>
        <w:snapToGrid/>
        <w:spacing w:beforeAutospacing="0" w:afterAutospacing="0" w:line="560" w:lineRule="exact"/>
        <w:ind w:left="0" w:leftChars="0" w:right="0" w:rightChars="0" w:firstLine="640" w:firstLineChars="0"/>
        <w:jc w:val="left"/>
        <w:textAlignment w:val="auto"/>
        <w:outlineLvl w:val="9"/>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val="0"/>
          <w:color w:val="auto"/>
          <w:kern w:val="0"/>
          <w:sz w:val="32"/>
          <w:szCs w:val="32"/>
          <w:lang w:val="en-US" w:eastAsia="zh-CN" w:bidi="ar-SA"/>
        </w:rPr>
        <w:t>福田区位于深圳经济特区中部，是深圳市中心城区，下辖有10个街道办事处，全区面积78.04平方公里。2015年全区人口144.1万人，其中户籍人口89.01万人。经多年发展，我区医疗卫生资源总量和服务量稳步提升，医疗卫生服务体系不断健全完善，基本公共卫生服务持续提升。</w:t>
      </w:r>
    </w:p>
    <w:p>
      <w:pPr>
        <w:keepNext w:val="0"/>
        <w:keepLines w:val="0"/>
        <w:pageBreakBefore w:val="0"/>
        <w:widowControl/>
        <w:kinsoku/>
        <w:wordWrap w:val="0"/>
        <w:overflowPunct/>
        <w:topLinePunct w:val="0"/>
        <w:autoSpaceDE/>
        <w:autoSpaceDN/>
        <w:bidi w:val="0"/>
        <w:adjustRightInd/>
        <w:snapToGrid/>
        <w:spacing w:beforeAutospacing="0" w:afterAutospacing="0" w:line="560" w:lineRule="exact"/>
        <w:ind w:left="0" w:leftChars="0" w:right="0" w:rightChars="0" w:firstLine="640" w:firstLineChars="0"/>
        <w:jc w:val="left"/>
        <w:textAlignment w:val="auto"/>
        <w:outlineLvl w:val="9"/>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（一）医疗卫生资源状况。</w:t>
      </w:r>
      <w:r>
        <w:rPr>
          <w:rFonts w:hint="eastAsia" w:ascii="仿宋_GB2312" w:hAnsi="仿宋_GB2312" w:eastAsia="仿宋_GB2312" w:cs="仿宋_GB2312"/>
          <w:b w:val="0"/>
          <w:color w:val="auto"/>
          <w:kern w:val="0"/>
          <w:sz w:val="32"/>
          <w:szCs w:val="32"/>
          <w:lang w:val="en-US" w:eastAsia="zh-CN" w:bidi="ar-SA"/>
        </w:rPr>
        <w:t>2015年全区医疗卫生机构522个，其中医院24个、基层医疗卫生机构491个、</w:t>
      </w:r>
      <w:r>
        <w:rPr>
          <w:rFonts w:hint="eastAsia" w:ascii="仿宋_GB2312" w:hAnsi="仿宋_GB2312" w:eastAsia="仿宋_GB2312" w:cs="仿宋_GB2312"/>
          <w:b w:val="0"/>
          <w:color w:val="auto"/>
          <w:kern w:val="0"/>
          <w:sz w:val="32"/>
          <w:szCs w:val="32"/>
          <w:u w:val="none"/>
          <w:lang w:val="en-US" w:eastAsia="zh-CN" w:bidi="ar-SA"/>
        </w:rPr>
        <w:t>其它</w:t>
      </w:r>
      <w:r>
        <w:rPr>
          <w:rFonts w:hint="eastAsia" w:ascii="仿宋_GB2312" w:hAnsi="仿宋_GB2312" w:eastAsia="仿宋_GB2312" w:cs="仿宋_GB2312"/>
          <w:b w:val="0"/>
          <w:color w:val="auto"/>
          <w:kern w:val="0"/>
          <w:sz w:val="32"/>
          <w:szCs w:val="32"/>
          <w:lang w:val="en-US" w:eastAsia="zh-CN" w:bidi="ar-SA"/>
        </w:rPr>
        <w:t>卫生机构</w:t>
      </w:r>
      <w:r>
        <w:rPr>
          <w:rFonts w:hint="eastAsia" w:ascii="仿宋_GB2312" w:hAnsi="仿宋_GB2312" w:eastAsia="仿宋_GB2312" w:cs="仿宋_GB2312"/>
          <w:b w:val="0"/>
          <w:color w:val="auto"/>
          <w:kern w:val="0"/>
          <w:sz w:val="32"/>
          <w:szCs w:val="32"/>
          <w:u w:val="none"/>
          <w:lang w:val="en-US" w:eastAsia="zh-CN" w:bidi="ar-SA"/>
        </w:rPr>
        <w:t>7</w:t>
      </w:r>
      <w:r>
        <w:rPr>
          <w:rFonts w:hint="eastAsia" w:ascii="仿宋_GB2312" w:hAnsi="仿宋_GB2312" w:eastAsia="仿宋_GB2312" w:cs="仿宋_GB2312"/>
          <w:b w:val="0"/>
          <w:color w:val="auto"/>
          <w:kern w:val="0"/>
          <w:sz w:val="32"/>
          <w:szCs w:val="32"/>
          <w:lang w:val="en-US" w:eastAsia="zh-CN" w:bidi="ar-SA"/>
        </w:rPr>
        <w:t>个。卫生技术人员17009人，其中执业（助理）医师6336人、注册护士7593人。区属公立医院现有病床编制总数1392张。</w:t>
      </w:r>
    </w:p>
    <w:p>
      <w:pPr>
        <w:keepNext w:val="0"/>
        <w:keepLines w:val="0"/>
        <w:pageBreakBefore w:val="0"/>
        <w:widowControl/>
        <w:kinsoku/>
        <w:wordWrap w:val="0"/>
        <w:overflowPunct/>
        <w:topLinePunct w:val="0"/>
        <w:autoSpaceDE/>
        <w:autoSpaceDN/>
        <w:bidi w:val="0"/>
        <w:adjustRightInd/>
        <w:snapToGrid/>
        <w:spacing w:beforeAutospacing="0" w:afterAutospacing="0" w:line="560" w:lineRule="exact"/>
        <w:ind w:left="0" w:leftChars="0" w:right="0" w:rightChars="0" w:firstLine="640" w:firstLineChars="0"/>
        <w:jc w:val="left"/>
        <w:textAlignment w:val="auto"/>
        <w:outlineLvl w:val="9"/>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（二）服务利用和需求状况。</w:t>
      </w:r>
      <w:r>
        <w:rPr>
          <w:rFonts w:hint="eastAsia" w:ascii="仿宋_GB2312" w:hAnsi="仿宋_GB2312" w:eastAsia="仿宋_GB2312" w:cs="仿宋_GB2312"/>
          <w:b w:val="0"/>
          <w:color w:val="auto"/>
          <w:kern w:val="0"/>
          <w:sz w:val="32"/>
          <w:szCs w:val="32"/>
          <w:lang w:val="en-US" w:eastAsia="zh-CN" w:bidi="ar-SA"/>
        </w:rPr>
        <w:t>2015年区属医疗卫生机构总诊疗人次达461.88万人次，其中医院255.68万人次、基层医疗卫生机构206.2万人次。出院人次达5.37 万人次。区属医院病床使用率96.12%，出院者平均住院日8.1天。　</w:t>
      </w:r>
    </w:p>
    <w:p>
      <w:pPr>
        <w:keepNext w:val="0"/>
        <w:keepLines w:val="0"/>
        <w:pageBreakBefore w:val="0"/>
        <w:widowControl/>
        <w:kinsoku/>
        <w:wordWrap w:val="0"/>
        <w:overflowPunct/>
        <w:topLinePunct w:val="0"/>
        <w:autoSpaceDE/>
        <w:autoSpaceDN/>
        <w:bidi w:val="0"/>
        <w:adjustRightInd/>
        <w:snapToGrid/>
        <w:spacing w:beforeAutospacing="0" w:afterAutospacing="0" w:line="560" w:lineRule="exact"/>
        <w:ind w:left="0" w:leftChars="0" w:right="0" w:rightChars="0" w:firstLine="640" w:firstLineChars="0"/>
        <w:jc w:val="left"/>
        <w:textAlignment w:val="auto"/>
        <w:outlineLvl w:val="9"/>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（三）居民健康状况。</w:t>
      </w:r>
      <w:r>
        <w:rPr>
          <w:rFonts w:hint="eastAsia" w:ascii="仿宋_GB2312" w:hAnsi="仿宋_GB2312" w:eastAsia="仿宋_GB2312" w:cs="仿宋_GB2312"/>
          <w:b w:val="0"/>
          <w:color w:val="auto"/>
          <w:kern w:val="0"/>
          <w:sz w:val="32"/>
          <w:szCs w:val="32"/>
          <w:lang w:val="en-US" w:eastAsia="zh-CN" w:bidi="ar-SA"/>
        </w:rPr>
        <w:t>2015年孕产妇死亡率下降至0/10万，婴儿死亡率下降到1.50‰，5岁以下儿童死亡率下降到2.15‰，主要健康指标位于我国主要城市前列。</w:t>
      </w:r>
    </w:p>
    <w:p>
      <w:pPr>
        <w:pStyle w:val="3"/>
        <w:pageBreakBefore w:val="0"/>
        <w:widowControl/>
        <w:kinsoku/>
        <w:overflowPunct/>
        <w:topLinePunct w:val="0"/>
        <w:bidi w:val="0"/>
        <w:spacing w:before="0" w:after="0" w:line="560" w:lineRule="exact"/>
        <w:ind w:left="0"/>
        <w:jc w:val="left"/>
        <w:textAlignment w:val="auto"/>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val="0"/>
          <w:color w:val="auto"/>
          <w:kern w:val="0"/>
          <w:sz w:val="32"/>
          <w:szCs w:val="32"/>
          <w:lang w:val="en-US" w:eastAsia="zh-CN" w:bidi="ar-SA"/>
        </w:rPr>
        <w:t xml:space="preserve">    </w:t>
      </w:r>
      <w:r>
        <w:rPr>
          <w:rFonts w:hint="eastAsia" w:ascii="黑体" w:hAnsi="黑体" w:eastAsia="黑体" w:cs="黑体"/>
          <w:b w:val="0"/>
          <w:color w:val="auto"/>
          <w:kern w:val="0"/>
          <w:sz w:val="32"/>
          <w:szCs w:val="32"/>
          <w:lang w:val="en-US" w:eastAsia="zh-CN" w:bidi="ar-SA"/>
        </w:rPr>
        <w:t>二、主要问题</w:t>
      </w:r>
    </w:p>
    <w:p>
      <w:pPr>
        <w:keepNext w:val="0"/>
        <w:keepLines w:val="0"/>
        <w:pageBreakBefore w:val="0"/>
        <w:widowControl/>
        <w:kinsoku/>
        <w:wordWrap w:val="0"/>
        <w:overflowPunct/>
        <w:topLinePunct w:val="0"/>
        <w:autoSpaceDE/>
        <w:autoSpaceDN/>
        <w:bidi w:val="0"/>
        <w:adjustRightInd/>
        <w:snapToGrid/>
        <w:spacing w:beforeAutospacing="0" w:afterAutospacing="0" w:line="560" w:lineRule="exact"/>
        <w:ind w:left="0" w:leftChars="0" w:right="0" w:rightChars="0" w:firstLine="640" w:firstLineChars="0"/>
        <w:jc w:val="left"/>
        <w:textAlignment w:val="auto"/>
        <w:outlineLvl w:val="9"/>
        <w:rPr>
          <w:rFonts w:hint="eastAsia" w:ascii="仿宋_GB2312" w:hAnsi="仿宋_GB2312" w:eastAsia="仿宋_GB2312" w:cs="仿宋_GB2312"/>
          <w:b w:val="0"/>
          <w:color w:val="auto"/>
          <w:kern w:val="0"/>
          <w:sz w:val="32"/>
          <w:szCs w:val="32"/>
          <w:lang w:val="en-US" w:eastAsia="zh-CN" w:bidi="ar-SA"/>
        </w:rPr>
      </w:pPr>
      <w:bookmarkStart w:id="2" w:name="_Toc454270979"/>
      <w:r>
        <w:rPr>
          <w:rFonts w:hint="eastAsia" w:ascii="仿宋_GB2312" w:hAnsi="仿宋_GB2312" w:eastAsia="仿宋_GB2312" w:cs="仿宋_GB2312"/>
          <w:b/>
          <w:bCs/>
          <w:color w:val="auto"/>
          <w:kern w:val="0"/>
          <w:sz w:val="32"/>
          <w:szCs w:val="32"/>
          <w:lang w:val="en-US" w:eastAsia="zh-CN" w:bidi="ar-SA"/>
        </w:rPr>
        <w:t>（一）医疗卫生服务体系基础薄弱。</w:t>
      </w:r>
      <w:bookmarkEnd w:id="2"/>
      <w:r>
        <w:rPr>
          <w:rFonts w:hint="eastAsia" w:ascii="仿宋_GB2312" w:hAnsi="仿宋_GB2312" w:eastAsia="仿宋_GB2312" w:cs="仿宋_GB2312"/>
          <w:b w:val="0"/>
          <w:bCs w:val="0"/>
          <w:color w:val="auto"/>
          <w:kern w:val="0"/>
          <w:sz w:val="32"/>
          <w:szCs w:val="32"/>
          <w:lang w:val="en-US" w:eastAsia="zh-CN" w:bidi="ar-SA"/>
        </w:rPr>
        <w:t>辖区市级高端医疗资源集中，个别区级医疗卫生机构定位尚未清晰，发展方向不清</w:t>
      </w:r>
      <w:r>
        <w:rPr>
          <w:rFonts w:hint="eastAsia" w:ascii="仿宋_GB2312" w:hAnsi="仿宋_GB2312" w:eastAsia="仿宋_GB2312" w:cs="仿宋_GB2312"/>
          <w:b w:val="0"/>
          <w:color w:val="auto"/>
          <w:kern w:val="0"/>
          <w:sz w:val="32"/>
          <w:szCs w:val="32"/>
          <w:lang w:val="en-US" w:eastAsia="zh-CN" w:bidi="ar-SA"/>
        </w:rPr>
        <w:t>，预防、康复、护理性质的医疗卫生机构较少，不能充分满足居民多层次、多元化的健康需求。分级诊疗制度不完善，病人自由择医，集中在大医院求医，就医无序。</w:t>
      </w:r>
      <w:r>
        <w:rPr>
          <w:rFonts w:hint="eastAsia" w:ascii="仿宋_GB2312" w:hAnsi="仿宋_GB2312" w:eastAsia="仿宋_GB2312" w:cs="仿宋_GB2312"/>
          <w:bCs/>
          <w:color w:val="auto"/>
          <w:kern w:val="0"/>
          <w:sz w:val="32"/>
          <w:szCs w:val="32"/>
          <w:lang w:eastAsia="zh-CN"/>
        </w:rPr>
        <w:t>社康机构</w:t>
      </w:r>
      <w:r>
        <w:rPr>
          <w:rFonts w:hint="eastAsia" w:ascii="仿宋_GB2312" w:hAnsi="仿宋_GB2312" w:eastAsia="仿宋_GB2312" w:cs="仿宋_GB2312"/>
          <w:b w:val="0"/>
          <w:color w:val="auto"/>
          <w:kern w:val="0"/>
          <w:sz w:val="32"/>
          <w:szCs w:val="32"/>
          <w:lang w:val="en-US" w:eastAsia="zh-CN" w:bidi="ar-SA"/>
        </w:rPr>
        <w:t>基础设施薄弱，自有用房率不足，多数社康机构规模小、设备不足、人员配备不齐、服务能力不足，不能满足居民的健康需求。</w:t>
      </w:r>
    </w:p>
    <w:p>
      <w:pPr>
        <w:pageBreakBefore w:val="0"/>
        <w:widowControl/>
        <w:kinsoku/>
        <w:wordWrap w:val="0"/>
        <w:overflowPunct/>
        <w:topLinePunct w:val="0"/>
        <w:bidi w:val="0"/>
        <w:spacing w:line="560" w:lineRule="exact"/>
        <w:ind w:left="0" w:leftChars="0" w:firstLine="0" w:firstLineChars="0"/>
        <w:jc w:val="left"/>
        <w:textAlignment w:val="auto"/>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val="0"/>
          <w:color w:val="auto"/>
          <w:kern w:val="0"/>
          <w:sz w:val="32"/>
          <w:szCs w:val="32"/>
          <w:lang w:val="en-US" w:eastAsia="zh-CN" w:bidi="ar-SA"/>
        </w:rPr>
        <w:t xml:space="preserve">    </w:t>
      </w:r>
      <w:r>
        <w:rPr>
          <w:rFonts w:hint="eastAsia" w:ascii="仿宋_GB2312" w:hAnsi="仿宋_GB2312" w:eastAsia="仿宋_GB2312" w:cs="仿宋_GB2312"/>
          <w:b/>
          <w:bCs/>
          <w:color w:val="auto"/>
          <w:kern w:val="0"/>
          <w:sz w:val="32"/>
          <w:szCs w:val="32"/>
          <w:lang w:val="en-US" w:eastAsia="zh-CN" w:bidi="ar-SA"/>
        </w:rPr>
        <w:t>（二）卫生人力资源配置滞后。</w:t>
      </w:r>
      <w:r>
        <w:rPr>
          <w:rFonts w:hint="eastAsia" w:ascii="仿宋_GB2312" w:hAnsi="仿宋_GB2312" w:eastAsia="仿宋_GB2312" w:cs="仿宋_GB2312"/>
          <w:b w:val="0"/>
          <w:color w:val="auto"/>
          <w:kern w:val="0"/>
          <w:sz w:val="32"/>
          <w:szCs w:val="32"/>
          <w:lang w:val="en-US" w:eastAsia="zh-CN" w:bidi="ar-SA"/>
        </w:rPr>
        <w:t>人力资源总量不足，随着区属医院卫生基础设施建设工程竣工，开放床位数将实现倍增，各种卫生人才总量缺口较大。人才结构和人才梯队不合理，学科带头人等高层次医疗人才及全科医师等基层卫生服务人员匮乏。新兴专业医护人员不足，康复医学、健康管理人员、预防保健服务人员、中医保健与康复、专业管理人员缺乏。</w:t>
      </w:r>
    </w:p>
    <w:p>
      <w:pPr>
        <w:pStyle w:val="11"/>
        <w:numPr>
          <w:ilvl w:val="0"/>
          <w:numId w:val="0"/>
        </w:numPr>
        <w:spacing w:line="560" w:lineRule="exact"/>
        <w:ind w:firstLine="640"/>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（三）信息化程度落后。</w:t>
      </w:r>
      <w:r>
        <w:rPr>
          <w:rFonts w:hint="eastAsia" w:ascii="仿宋_GB2312" w:hAnsi="仿宋_GB2312" w:eastAsia="仿宋_GB2312" w:cs="仿宋_GB2312"/>
          <w:b w:val="0"/>
          <w:color w:val="auto"/>
          <w:kern w:val="0"/>
          <w:sz w:val="32"/>
          <w:szCs w:val="32"/>
          <w:lang w:val="en-US" w:eastAsia="zh-CN" w:bidi="ar-SA"/>
        </w:rPr>
        <w:t>区属医院电子病历评级均在3级以下，个别医院评级甚至为零，资源无法共享，“信息孤岛”现象严重，信息化建设落后，</w:t>
      </w:r>
      <w:r>
        <w:rPr>
          <w:rFonts w:hint="eastAsia" w:ascii="仿宋_GB2312" w:hAnsi="仿宋_GB2312" w:eastAsia="仿宋_GB2312" w:cs="仿宋_GB2312"/>
          <w:color w:val="auto"/>
          <w:sz w:val="32"/>
          <w:szCs w:val="32"/>
        </w:rPr>
        <w:t>和我区的经济发展和医疗水平的发展</w:t>
      </w:r>
      <w:r>
        <w:rPr>
          <w:rFonts w:hint="eastAsia" w:ascii="仿宋_GB2312" w:hAnsi="仿宋_GB2312" w:eastAsia="仿宋_GB2312" w:cs="仿宋_GB2312"/>
          <w:color w:val="auto"/>
          <w:sz w:val="32"/>
          <w:szCs w:val="32"/>
          <w:lang w:eastAsia="zh-CN"/>
        </w:rPr>
        <w:t>极其</w:t>
      </w:r>
      <w:r>
        <w:rPr>
          <w:rFonts w:hint="eastAsia" w:ascii="仿宋_GB2312" w:hAnsi="仿宋_GB2312" w:eastAsia="仿宋_GB2312" w:cs="仿宋_GB2312"/>
          <w:color w:val="auto"/>
          <w:sz w:val="32"/>
          <w:szCs w:val="32"/>
        </w:rPr>
        <w:t>不相称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color w:val="auto"/>
          <w:kern w:val="0"/>
          <w:sz w:val="32"/>
          <w:szCs w:val="32"/>
          <w:lang w:val="en-US" w:eastAsia="zh-CN" w:bidi="ar-SA"/>
        </w:rPr>
        <w:t>严重影响医院数字化运营、精细化管理及效率的改善和提高，</w:t>
      </w:r>
    </w:p>
    <w:p>
      <w:pPr>
        <w:pStyle w:val="11"/>
        <w:pageBreakBefore w:val="0"/>
        <w:numPr>
          <w:ilvl w:val="0"/>
          <w:numId w:val="0"/>
        </w:numPr>
        <w:kinsoku/>
        <w:overflowPunct/>
        <w:topLinePunct w:val="0"/>
        <w:bidi w:val="0"/>
        <w:spacing w:line="560" w:lineRule="exact"/>
        <w:ind w:firstLine="640"/>
        <w:textAlignment w:val="auto"/>
        <w:rPr>
          <w:rFonts w:hint="eastAsia" w:ascii="黑体" w:hAnsi="黑体" w:eastAsia="黑体" w:cs="黑体"/>
          <w:b w:val="0"/>
          <w:color w:val="auto"/>
          <w:kern w:val="0"/>
          <w:sz w:val="32"/>
          <w:szCs w:val="32"/>
          <w:lang w:val="en-US" w:eastAsia="zh-CN" w:bidi="ar-SA"/>
        </w:rPr>
      </w:pPr>
      <w:r>
        <w:rPr>
          <w:rFonts w:hint="eastAsia" w:ascii="黑体" w:hAnsi="黑体" w:eastAsia="黑体" w:cs="黑体"/>
          <w:b w:val="0"/>
          <w:color w:val="auto"/>
          <w:kern w:val="0"/>
          <w:sz w:val="32"/>
          <w:szCs w:val="32"/>
          <w:lang w:val="en-US" w:eastAsia="zh-CN" w:bidi="ar-SA"/>
        </w:rPr>
        <w:t>三、形势与挑战</w:t>
      </w:r>
    </w:p>
    <w:p>
      <w:pPr>
        <w:pStyle w:val="11"/>
        <w:pageBreakBefore w:val="0"/>
        <w:numPr>
          <w:ilvl w:val="0"/>
          <w:numId w:val="0"/>
        </w:numPr>
        <w:kinsoku/>
        <w:overflowPunct/>
        <w:topLinePunct w:val="0"/>
        <w:bidi w:val="0"/>
        <w:spacing w:line="560" w:lineRule="exact"/>
        <w:ind w:firstLine="640"/>
        <w:textAlignment w:val="auto"/>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val="0"/>
          <w:color w:val="auto"/>
          <w:kern w:val="0"/>
          <w:sz w:val="32"/>
          <w:szCs w:val="32"/>
          <w:lang w:val="en-US" w:eastAsia="zh-CN" w:bidi="ar-SA"/>
        </w:rPr>
        <w:t>在全国卫生与健康大会上，习近平</w:t>
      </w:r>
      <w:bookmarkStart w:id="17" w:name="_GoBack"/>
      <w:bookmarkEnd w:id="17"/>
      <w:r>
        <w:rPr>
          <w:rFonts w:hint="eastAsia" w:ascii="仿宋_GB2312" w:hAnsi="仿宋_GB2312" w:eastAsia="仿宋_GB2312" w:cs="仿宋_GB2312"/>
          <w:b w:val="0"/>
          <w:color w:val="auto"/>
          <w:kern w:val="0"/>
          <w:sz w:val="32"/>
          <w:szCs w:val="32"/>
          <w:lang w:val="en-US" w:eastAsia="zh-CN" w:bidi="ar-SA"/>
        </w:rPr>
        <w:t>总书记提出以基层为重点，以改革创新为动力，预防为主，中西医并重，将健康融入所有政策，人民共建共享的卫生与健康工作的方针，强调把人民健康放在优先发展的战略地位，以普及健康生活、优化健康服务、完善健康保障、建设健康环境、发展健康产业为重点，努力全方位、全周期保障人民健康。广东省委省政府提出，要建设卫生强省，构建“广深医疗卫生高地”，市委市政府提出要建设卫生强市。我区医疗卫生服务体系的发展正面临新的历史任务，卫生与健康工作逐步由以疾病诊疗为中心向以健康服务为中心转变，将更加注重预防和健康促进，更加注重提高服务质量和水平，更加注重工作重心下移和资源下沉。同时，两家医院和大学合作共建，成为大学的附属医院，</w:t>
      </w:r>
      <w:r>
        <w:rPr>
          <w:rFonts w:hint="eastAsia" w:ascii="仿宋_GB2312" w:hAnsi="仿宋_GB2312" w:eastAsia="仿宋_GB2312" w:cs="仿宋_GB2312"/>
          <w:color w:val="auto"/>
          <w:sz w:val="32"/>
          <w:szCs w:val="32"/>
        </w:rPr>
        <w:t>成为“广深医疗卫生高地”</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一部分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color w:val="auto"/>
          <w:kern w:val="0"/>
          <w:sz w:val="32"/>
          <w:szCs w:val="32"/>
          <w:lang w:val="en-US" w:eastAsia="zh-CN" w:bidi="ar-SA"/>
        </w:rPr>
        <w:t xml:space="preserve">我区医疗卫生服务体系建设既面临难得的发展机遇，同时也面临着诸多挑战。 </w:t>
      </w:r>
      <w:r>
        <w:rPr>
          <w:rFonts w:hint="eastAsia" w:ascii="仿宋_GB2312" w:hAnsi="仿宋_GB2312" w:eastAsia="仿宋_GB2312" w:cs="仿宋_GB2312"/>
          <w:b w:val="0"/>
          <w:color w:val="auto"/>
          <w:kern w:val="0"/>
          <w:sz w:val="32"/>
          <w:szCs w:val="32"/>
          <w:lang w:val="en-US" w:eastAsia="zh-CN" w:bidi="ar-SA"/>
        </w:rPr>
        <w:br w:type="textWrapping"/>
      </w:r>
      <w:r>
        <w:rPr>
          <w:rFonts w:hint="eastAsia" w:ascii="仿宋_GB2312" w:hAnsi="仿宋_GB2312" w:eastAsia="仿宋_GB2312" w:cs="仿宋_GB2312"/>
          <w:b w:val="0"/>
          <w:color w:val="auto"/>
          <w:kern w:val="0"/>
          <w:sz w:val="32"/>
          <w:szCs w:val="32"/>
          <w:lang w:val="en-US" w:eastAsia="zh-CN" w:bidi="ar-SA"/>
        </w:rPr>
        <w:t>　　</w:t>
      </w:r>
      <w:r>
        <w:rPr>
          <w:rFonts w:hint="eastAsia" w:ascii="仿宋_GB2312" w:hAnsi="仿宋_GB2312" w:eastAsia="仿宋_GB2312" w:cs="仿宋_GB2312"/>
          <w:b/>
          <w:bCs/>
          <w:color w:val="auto"/>
          <w:kern w:val="0"/>
          <w:sz w:val="32"/>
          <w:szCs w:val="32"/>
          <w:lang w:val="en-US" w:eastAsia="zh-CN" w:bidi="ar-SA"/>
        </w:rPr>
        <w:t>（一）疾病谱的变化对卫生和健康工作提出新要求。</w:t>
      </w:r>
      <w:r>
        <w:rPr>
          <w:rFonts w:hint="eastAsia" w:ascii="仿宋_GB2312" w:hAnsi="仿宋_GB2312" w:eastAsia="仿宋_GB2312" w:cs="仿宋_GB2312"/>
          <w:b w:val="0"/>
          <w:color w:val="auto"/>
          <w:kern w:val="0"/>
          <w:sz w:val="32"/>
          <w:szCs w:val="32"/>
          <w:lang w:val="en-US" w:eastAsia="zh-CN" w:bidi="ar-SA"/>
        </w:rPr>
        <w:t>随着人口结构改变和居民生活方式转变，慢性非传染性疾病已替代传染性疾病成为影响人民健康的首要因素，糖尿病、高血压、心脑血管等慢性病成为威胁人群健康的主要疾病负担，新发突发传染性疾病威胁还在不断增加，多重健康问题并存，迫切要求医疗卫生机构转变服务模式和服务结构，从单纯的疾病诊疗向综合性的健康干预和健康管理转变，推动形成“以健康为中心”的各类卫生资源分工协作格局，发展预防、医疗、康复、护理相协调的健康服务体系。</w:t>
      </w:r>
      <w:r>
        <w:rPr>
          <w:rFonts w:hint="eastAsia" w:ascii="仿宋_GB2312" w:hAnsi="仿宋_GB2312" w:eastAsia="仿宋_GB2312" w:cs="仿宋_GB2312"/>
          <w:b w:val="0"/>
          <w:color w:val="auto"/>
          <w:kern w:val="0"/>
          <w:sz w:val="32"/>
          <w:szCs w:val="32"/>
          <w:lang w:val="en-US" w:eastAsia="zh-CN" w:bidi="ar-SA"/>
        </w:rPr>
        <w:br w:type="textWrapping"/>
      </w:r>
      <w:r>
        <w:rPr>
          <w:rFonts w:hint="eastAsia" w:ascii="仿宋_GB2312" w:hAnsi="仿宋_GB2312" w:eastAsia="仿宋_GB2312" w:cs="仿宋_GB2312"/>
          <w:b w:val="0"/>
          <w:color w:val="auto"/>
          <w:kern w:val="0"/>
          <w:sz w:val="32"/>
          <w:szCs w:val="32"/>
          <w:lang w:val="en-US" w:eastAsia="zh-CN" w:bidi="ar-SA"/>
        </w:rPr>
        <w:t>　　</w:t>
      </w:r>
      <w:r>
        <w:rPr>
          <w:rFonts w:hint="eastAsia" w:ascii="仿宋_GB2312" w:hAnsi="仿宋_GB2312" w:eastAsia="仿宋_GB2312" w:cs="仿宋_GB2312"/>
          <w:b/>
          <w:bCs/>
          <w:color w:val="auto"/>
          <w:kern w:val="0"/>
          <w:sz w:val="32"/>
          <w:szCs w:val="32"/>
          <w:lang w:val="en-US" w:eastAsia="zh-CN" w:bidi="ar-SA"/>
        </w:rPr>
        <w:t>（二）医疗需求的变化对卫生和健康工作提出新任务。</w:t>
      </w:r>
      <w:r>
        <w:rPr>
          <w:rFonts w:hint="eastAsia" w:ascii="仿宋_GB2312" w:hAnsi="仿宋_GB2312" w:eastAsia="仿宋_GB2312" w:cs="仿宋_GB2312"/>
          <w:b w:val="0"/>
          <w:color w:val="auto"/>
          <w:kern w:val="0"/>
          <w:sz w:val="32"/>
          <w:szCs w:val="32"/>
          <w:lang w:val="en-US" w:eastAsia="zh-CN" w:bidi="ar-SA"/>
        </w:rPr>
        <w:t>随着福田经济社会快速发展，居民对医疗卫生服务呈现多层次、多样化和个性化需求，社会需要提供优质、高效、安全、舒适的医疗服务，医疗卫生机构发展面临新的形势任务。同时，福田正在逐步进入老龄化社会，医疗保健等服务需求日益增长，康复、护理、疗养等薄弱环节问题将更加凸显。医疗卫生资源布局调整面临更大挑战，医疗资源需要进一步优化配置。满足居民不断增长的医疗需求，加快实现基本公共卫生服务均等化，全区医疗卫生事业均衡健康发展的任务更加紧迫。</w:t>
      </w:r>
    </w:p>
    <w:p>
      <w:pPr>
        <w:pStyle w:val="4"/>
        <w:pageBreakBefore w:val="0"/>
        <w:kinsoku/>
        <w:overflowPunct/>
        <w:topLinePunct w:val="0"/>
        <w:bidi w:val="0"/>
        <w:spacing w:line="560" w:lineRule="exact"/>
        <w:ind w:firstLine="645"/>
        <w:textAlignment w:val="auto"/>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（三）信息技术的发展为卫生和健康工作发展提供新机遇。</w:t>
      </w:r>
      <w:r>
        <w:rPr>
          <w:rFonts w:hint="eastAsia" w:ascii="仿宋_GB2312" w:hAnsi="仿宋_GB2312" w:eastAsia="仿宋_GB2312" w:cs="仿宋_GB2312"/>
          <w:b w:val="0"/>
          <w:color w:val="auto"/>
          <w:kern w:val="0"/>
          <w:sz w:val="32"/>
          <w:szCs w:val="32"/>
          <w:lang w:val="en-US" w:eastAsia="zh-CN" w:bidi="ar-SA"/>
        </w:rPr>
        <w:t>医药卫生体制改革的不断深化对公立医院数量规模和资源优化配置提出了新的要求。云计算、物联网、移动互联网、大数据等信息化技术的快速发展为优化医疗卫生业务流程、提升服务效率提供了有力支撑，能够有效提高医疗资源配置效益，推动预约挂号、远程医疗等诊疗服务，</w:t>
      </w:r>
      <w:r>
        <w:rPr>
          <w:rFonts w:hint="eastAsia" w:ascii="仿宋_GB2312" w:hAnsi="仿宋_GB2312" w:eastAsia="仿宋_GB2312" w:cs="仿宋_GB2312"/>
          <w:sz w:val="32"/>
          <w:szCs w:val="32"/>
        </w:rPr>
        <w:t>医疗数据的整合和利用，</w:t>
      </w:r>
      <w:r>
        <w:rPr>
          <w:rFonts w:hint="eastAsia" w:ascii="仿宋_GB2312" w:hAnsi="仿宋_GB2312" w:eastAsia="仿宋_GB2312" w:cs="仿宋_GB2312"/>
          <w:b w:val="0"/>
          <w:color w:val="auto"/>
          <w:kern w:val="0"/>
          <w:sz w:val="32"/>
          <w:szCs w:val="32"/>
          <w:lang w:val="en-US" w:eastAsia="zh-CN" w:bidi="ar-SA"/>
        </w:rPr>
        <w:t>切实改善居民看病就医环境，提高群众就医体验，推动医疗卫生服务模式和管理模式深刻转变。</w:t>
      </w:r>
    </w:p>
    <w:p>
      <w:pPr>
        <w:pStyle w:val="2"/>
        <w:pageBreakBefore w:val="0"/>
        <w:kinsoku/>
        <w:overflowPunct/>
        <w:topLinePunct w:val="0"/>
        <w:bidi w:val="0"/>
        <w:spacing w:line="560" w:lineRule="exact"/>
        <w:jc w:val="center"/>
        <w:textAlignment w:val="auto"/>
        <w:rPr>
          <w:rFonts w:hint="eastAsia" w:ascii="黑体" w:hAnsi="黑体" w:eastAsia="黑体" w:cs="黑体"/>
          <w:b w:val="0"/>
          <w:color w:val="auto"/>
          <w:kern w:val="0"/>
          <w:sz w:val="32"/>
          <w:szCs w:val="32"/>
          <w:lang w:val="en-US" w:eastAsia="zh-CN" w:bidi="ar-SA"/>
        </w:rPr>
      </w:pPr>
      <w:r>
        <w:rPr>
          <w:rFonts w:hint="eastAsia" w:ascii="黑体" w:hAnsi="黑体" w:eastAsia="黑体" w:cs="黑体"/>
          <w:b w:val="0"/>
          <w:color w:val="auto"/>
          <w:kern w:val="0"/>
          <w:sz w:val="32"/>
          <w:szCs w:val="32"/>
          <w:lang w:val="en-US" w:eastAsia="zh-CN" w:bidi="ar-SA"/>
        </w:rPr>
        <w:t>第二章  规划目标和原则</w:t>
      </w:r>
    </w:p>
    <w:p>
      <w:pPr>
        <w:keepNext w:val="0"/>
        <w:keepLines w:val="0"/>
        <w:pageBreakBefore w:val="0"/>
        <w:widowControl/>
        <w:kinsoku/>
        <w:wordWrap w:val="0"/>
        <w:overflowPunct/>
        <w:topLinePunct w:val="0"/>
        <w:autoSpaceDE/>
        <w:autoSpaceDN/>
        <w:bidi w:val="0"/>
        <w:adjustRightInd/>
        <w:snapToGrid/>
        <w:spacing w:beforeAutospacing="0" w:afterAutospacing="0" w:line="560" w:lineRule="exact"/>
        <w:ind w:left="0" w:leftChars="0" w:right="0" w:rightChars="0" w:firstLine="640" w:firstLineChars="0"/>
        <w:jc w:val="left"/>
        <w:textAlignment w:val="auto"/>
        <w:outlineLvl w:val="9"/>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一、规划目标</w:t>
      </w:r>
    </w:p>
    <w:p>
      <w:pPr>
        <w:keepNext w:val="0"/>
        <w:keepLines w:val="0"/>
        <w:pageBreakBefore w:val="0"/>
        <w:widowControl/>
        <w:kinsoku/>
        <w:wordWrap w:val="0"/>
        <w:overflowPunct/>
        <w:topLinePunct w:val="0"/>
        <w:autoSpaceDE/>
        <w:autoSpaceDN/>
        <w:bidi w:val="0"/>
        <w:adjustRightInd/>
        <w:snapToGrid/>
        <w:spacing w:beforeAutospacing="0" w:afterAutospacing="0" w:line="560" w:lineRule="exact"/>
        <w:ind w:left="0" w:leftChars="0" w:right="0" w:rightChars="0" w:firstLine="640" w:firstLineChars="0"/>
        <w:jc w:val="left"/>
        <w:textAlignment w:val="auto"/>
        <w:outlineLvl w:val="9"/>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val="0"/>
          <w:color w:val="auto"/>
          <w:kern w:val="0"/>
          <w:sz w:val="32"/>
          <w:szCs w:val="32"/>
          <w:lang w:val="en-US" w:eastAsia="zh-CN" w:bidi="ar-SA"/>
        </w:rPr>
        <w:t>立足卫生强区建设，优化医疗卫生资源配置，加强基础设施建设，改革卫生管理体制、内部运行机制，完善人才引进配套保障政策，构建与我区国民经济和社会发展水平相适应、与居民健康需求相匹配，布局合理、体系完整、分工明确、功能互补、密切协作、富有效率的整合型医疗卫生服务体系，为打造卫生强区、健康城区，奠定坚实的医疗卫生资源基础。</w:t>
      </w:r>
    </w:p>
    <w:p>
      <w:pPr>
        <w:keepNext w:val="0"/>
        <w:keepLines w:val="0"/>
        <w:pageBreakBefore w:val="0"/>
        <w:widowControl/>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2020年福田区医疗卫生服务体系资源要素配置主要指标</w:t>
      </w:r>
    </w:p>
    <w:tbl>
      <w:tblPr>
        <w:tblStyle w:val="8"/>
        <w:tblW w:w="8347" w:type="dxa"/>
        <w:jc w:val="center"/>
        <w:tblLayout w:type="fixed"/>
        <w:tblCellMar>
          <w:top w:w="15" w:type="dxa"/>
          <w:left w:w="15" w:type="dxa"/>
          <w:bottom w:w="15" w:type="dxa"/>
          <w:right w:w="15" w:type="dxa"/>
        </w:tblCellMar>
      </w:tblPr>
      <w:tblGrid>
        <w:gridCol w:w="3987"/>
        <w:gridCol w:w="1440"/>
        <w:gridCol w:w="1410"/>
        <w:gridCol w:w="1510"/>
      </w:tblGrid>
      <w:tr>
        <w:tblPrEx>
          <w:tblCellMar>
            <w:top w:w="15" w:type="dxa"/>
            <w:left w:w="15" w:type="dxa"/>
            <w:bottom w:w="15" w:type="dxa"/>
            <w:right w:w="15" w:type="dxa"/>
          </w:tblCellMar>
        </w:tblPrEx>
        <w:trPr>
          <w:trHeight w:val="283" w:hRule="atLeast"/>
          <w:jc w:val="center"/>
        </w:trPr>
        <w:tc>
          <w:tcPr>
            <w:tcW w:w="398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73" w:lineRule="auto"/>
              <w:jc w:val="center"/>
              <w:rPr>
                <w:rFonts w:ascii="宋体" w:hAnsi="宋体"/>
                <w:b/>
                <w:color w:val="000000"/>
                <w:kern w:val="0"/>
                <w:sz w:val="24"/>
              </w:rPr>
            </w:pPr>
            <w:r>
              <w:rPr>
                <w:rFonts w:hint="eastAsia" w:ascii="宋体" w:hAnsi="宋体"/>
                <w:b/>
                <w:color w:val="000000"/>
                <w:kern w:val="0"/>
                <w:sz w:val="24"/>
              </w:rPr>
              <w:t>主要指标</w:t>
            </w:r>
          </w:p>
        </w:tc>
        <w:tc>
          <w:tcPr>
            <w:tcW w:w="1440" w:type="dxa"/>
            <w:tcBorders>
              <w:top w:val="single" w:color="000000" w:sz="4" w:space="0"/>
              <w:left w:val="nil"/>
              <w:bottom w:val="single" w:color="000000" w:sz="4" w:space="0"/>
              <w:right w:val="single" w:color="000000" w:sz="4" w:space="0"/>
            </w:tcBorders>
            <w:vAlign w:val="center"/>
          </w:tcPr>
          <w:p>
            <w:pPr>
              <w:widowControl/>
              <w:snapToGrid w:val="0"/>
              <w:spacing w:line="273" w:lineRule="auto"/>
              <w:ind w:left="0" w:leftChars="0" w:firstLine="0" w:firstLineChars="0"/>
              <w:jc w:val="center"/>
              <w:rPr>
                <w:rFonts w:ascii="宋体" w:hAnsi="宋体"/>
                <w:b/>
                <w:color w:val="000000"/>
                <w:kern w:val="0"/>
                <w:sz w:val="24"/>
              </w:rPr>
            </w:pPr>
            <w:r>
              <w:rPr>
                <w:rFonts w:hint="eastAsia" w:ascii="宋体" w:hAnsi="宋体"/>
                <w:b/>
                <w:color w:val="000000"/>
                <w:kern w:val="0"/>
                <w:sz w:val="24"/>
              </w:rPr>
              <w:t>2015年现状</w:t>
            </w:r>
          </w:p>
        </w:tc>
        <w:tc>
          <w:tcPr>
            <w:tcW w:w="1410" w:type="dxa"/>
            <w:tcBorders>
              <w:top w:val="single" w:color="000000" w:sz="4" w:space="0"/>
              <w:left w:val="nil"/>
              <w:bottom w:val="single" w:color="000000" w:sz="4" w:space="0"/>
              <w:right w:val="single" w:color="000000" w:sz="4" w:space="0"/>
            </w:tcBorders>
            <w:vAlign w:val="center"/>
          </w:tcPr>
          <w:p>
            <w:pPr>
              <w:widowControl/>
              <w:snapToGrid w:val="0"/>
              <w:spacing w:line="273" w:lineRule="auto"/>
              <w:ind w:left="0" w:leftChars="0" w:firstLine="0" w:firstLineChars="0"/>
              <w:jc w:val="center"/>
              <w:rPr>
                <w:rFonts w:ascii="宋体" w:hAnsi="宋体"/>
                <w:b/>
                <w:color w:val="000000"/>
                <w:kern w:val="0"/>
                <w:sz w:val="24"/>
              </w:rPr>
            </w:pPr>
            <w:r>
              <w:rPr>
                <w:rFonts w:hint="eastAsia" w:ascii="宋体" w:hAnsi="宋体"/>
                <w:b/>
                <w:color w:val="000000"/>
                <w:kern w:val="0"/>
                <w:sz w:val="24"/>
              </w:rPr>
              <w:t>2020年目标</w:t>
            </w:r>
          </w:p>
        </w:tc>
        <w:tc>
          <w:tcPr>
            <w:tcW w:w="1510" w:type="dxa"/>
            <w:tcBorders>
              <w:top w:val="single" w:color="000000" w:sz="4" w:space="0"/>
              <w:left w:val="nil"/>
              <w:bottom w:val="single" w:color="000000" w:sz="4" w:space="0"/>
              <w:right w:val="single" w:color="000000" w:sz="4" w:space="0"/>
            </w:tcBorders>
            <w:vAlign w:val="center"/>
          </w:tcPr>
          <w:p>
            <w:pPr>
              <w:widowControl/>
              <w:snapToGrid w:val="0"/>
              <w:spacing w:line="273" w:lineRule="auto"/>
              <w:ind w:left="0" w:leftChars="0" w:firstLine="0" w:firstLineChars="0"/>
              <w:jc w:val="both"/>
              <w:rPr>
                <w:rFonts w:ascii="宋体" w:hAnsi="宋体"/>
                <w:b/>
                <w:color w:val="000000"/>
                <w:kern w:val="0"/>
                <w:sz w:val="24"/>
              </w:rPr>
            </w:pPr>
            <w:r>
              <w:rPr>
                <w:rFonts w:hint="eastAsia" w:ascii="宋体" w:hAnsi="宋体"/>
                <w:b/>
                <w:color w:val="000000"/>
                <w:kern w:val="0"/>
                <w:sz w:val="24"/>
                <w:lang w:val="en-US" w:eastAsia="zh-CN"/>
              </w:rPr>
              <w:t xml:space="preserve">  </w:t>
            </w:r>
            <w:r>
              <w:rPr>
                <w:rFonts w:hint="eastAsia" w:ascii="宋体" w:hAnsi="宋体"/>
                <w:b/>
                <w:color w:val="000000"/>
                <w:kern w:val="0"/>
                <w:sz w:val="24"/>
              </w:rPr>
              <w:t>指标性质</w:t>
            </w:r>
          </w:p>
        </w:tc>
      </w:tr>
      <w:tr>
        <w:tblPrEx>
          <w:tblCellMar>
            <w:top w:w="15" w:type="dxa"/>
            <w:left w:w="15" w:type="dxa"/>
            <w:bottom w:w="15" w:type="dxa"/>
            <w:right w:w="15" w:type="dxa"/>
          </w:tblCellMar>
        </w:tblPrEx>
        <w:trPr>
          <w:trHeight w:val="283" w:hRule="atLeast"/>
          <w:jc w:val="center"/>
        </w:trPr>
        <w:tc>
          <w:tcPr>
            <w:tcW w:w="398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73" w:lineRule="auto"/>
              <w:ind w:left="0" w:leftChars="0" w:firstLine="0" w:firstLineChars="0"/>
              <w:jc w:val="left"/>
              <w:rPr>
                <w:rFonts w:ascii="宋体" w:hAnsi="宋体"/>
                <w:color w:val="000000"/>
                <w:kern w:val="0"/>
                <w:sz w:val="24"/>
              </w:rPr>
            </w:pPr>
            <w:r>
              <w:rPr>
                <w:rFonts w:hint="eastAsia" w:ascii="宋体" w:hAnsi="宋体"/>
                <w:color w:val="000000"/>
                <w:kern w:val="0"/>
                <w:sz w:val="24"/>
              </w:rPr>
              <w:t>每千常住人口医疗卫生机构床位数（张）</w:t>
            </w:r>
          </w:p>
        </w:tc>
        <w:tc>
          <w:tcPr>
            <w:tcW w:w="1440" w:type="dxa"/>
            <w:tcBorders>
              <w:top w:val="single" w:color="000000" w:sz="4" w:space="0"/>
              <w:left w:val="nil"/>
              <w:bottom w:val="single" w:color="000000" w:sz="4" w:space="0"/>
              <w:right w:val="single" w:color="000000" w:sz="4" w:space="0"/>
            </w:tcBorders>
            <w:vAlign w:val="center"/>
          </w:tcPr>
          <w:p>
            <w:pPr>
              <w:widowControl/>
              <w:snapToGrid w:val="0"/>
              <w:spacing w:line="273" w:lineRule="auto"/>
              <w:ind w:left="0" w:leftChars="0" w:firstLine="0" w:firstLineChars="0"/>
              <w:jc w:val="center"/>
              <w:rPr>
                <w:rFonts w:hint="eastAsia" w:ascii="宋体" w:hAnsi="宋体" w:eastAsiaTheme="minorEastAsia"/>
                <w:color w:val="000000"/>
                <w:kern w:val="0"/>
                <w:sz w:val="24"/>
                <w:lang w:eastAsia="zh-CN"/>
              </w:rPr>
            </w:pPr>
            <w:r>
              <w:rPr>
                <w:rFonts w:hint="eastAsia" w:ascii="宋体" w:hAnsi="宋体"/>
                <w:color w:val="000000"/>
                <w:kern w:val="0"/>
                <w:sz w:val="24"/>
                <w:lang w:val="en-US" w:eastAsia="zh-CN"/>
              </w:rPr>
              <w:t>5.36</w:t>
            </w:r>
          </w:p>
        </w:tc>
        <w:tc>
          <w:tcPr>
            <w:tcW w:w="1410" w:type="dxa"/>
            <w:tcBorders>
              <w:top w:val="single" w:color="000000" w:sz="4" w:space="0"/>
              <w:left w:val="nil"/>
              <w:bottom w:val="single" w:color="000000" w:sz="4" w:space="0"/>
              <w:right w:val="single" w:color="000000" w:sz="4" w:space="0"/>
            </w:tcBorders>
            <w:vAlign w:val="center"/>
          </w:tcPr>
          <w:p>
            <w:pPr>
              <w:widowControl/>
              <w:snapToGrid w:val="0"/>
              <w:spacing w:line="273" w:lineRule="auto"/>
              <w:ind w:left="0" w:leftChars="0" w:firstLine="0" w:firstLineChars="0"/>
              <w:jc w:val="center"/>
              <w:rPr>
                <w:rFonts w:hint="eastAsia" w:ascii="宋体" w:hAnsi="宋体" w:eastAsiaTheme="minorEastAsia"/>
                <w:color w:val="000000"/>
                <w:kern w:val="0"/>
                <w:sz w:val="24"/>
                <w:lang w:eastAsia="zh-CN"/>
              </w:rPr>
            </w:pPr>
            <w:r>
              <w:rPr>
                <w:rFonts w:hint="eastAsia" w:ascii="宋体" w:hAnsi="宋体"/>
                <w:color w:val="000000"/>
                <w:kern w:val="0"/>
                <w:sz w:val="24"/>
                <w:lang w:val="en-US" w:eastAsia="zh-CN"/>
              </w:rPr>
              <w:t>5.61</w:t>
            </w:r>
          </w:p>
        </w:tc>
        <w:tc>
          <w:tcPr>
            <w:tcW w:w="1510" w:type="dxa"/>
            <w:tcBorders>
              <w:top w:val="single" w:color="000000" w:sz="4" w:space="0"/>
              <w:left w:val="nil"/>
              <w:bottom w:val="single" w:color="000000" w:sz="4" w:space="0"/>
              <w:right w:val="single" w:color="000000" w:sz="4" w:space="0"/>
            </w:tcBorders>
            <w:vAlign w:val="center"/>
          </w:tcPr>
          <w:p>
            <w:pPr>
              <w:widowControl/>
              <w:snapToGrid w:val="0"/>
              <w:spacing w:line="273" w:lineRule="auto"/>
              <w:jc w:val="left"/>
              <w:rPr>
                <w:rFonts w:ascii="宋体" w:hAnsi="宋体"/>
                <w:color w:val="000000"/>
                <w:kern w:val="0"/>
                <w:sz w:val="24"/>
              </w:rPr>
            </w:pPr>
            <w:r>
              <w:rPr>
                <w:rFonts w:hint="eastAsia" w:ascii="宋体" w:hAnsi="宋体"/>
                <w:color w:val="000000"/>
                <w:kern w:val="0"/>
                <w:sz w:val="24"/>
              </w:rPr>
              <w:t>约束性</w:t>
            </w:r>
          </w:p>
        </w:tc>
      </w:tr>
      <w:tr>
        <w:tblPrEx>
          <w:tblCellMar>
            <w:top w:w="15" w:type="dxa"/>
            <w:left w:w="15" w:type="dxa"/>
            <w:bottom w:w="15" w:type="dxa"/>
            <w:right w:w="15" w:type="dxa"/>
          </w:tblCellMar>
        </w:tblPrEx>
        <w:trPr>
          <w:trHeight w:val="283" w:hRule="atLeast"/>
          <w:jc w:val="center"/>
        </w:trPr>
        <w:tc>
          <w:tcPr>
            <w:tcW w:w="398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73" w:lineRule="auto"/>
              <w:ind w:left="0" w:leftChars="0" w:firstLine="0" w:firstLineChars="0"/>
              <w:jc w:val="left"/>
              <w:rPr>
                <w:rFonts w:ascii="宋体" w:hAnsi="宋体"/>
                <w:color w:val="000000"/>
                <w:kern w:val="0"/>
                <w:sz w:val="24"/>
              </w:rPr>
            </w:pPr>
            <w:r>
              <w:rPr>
                <w:rFonts w:hint="eastAsia" w:ascii="宋体" w:hAnsi="宋体"/>
                <w:color w:val="000000"/>
                <w:kern w:val="0"/>
                <w:sz w:val="24"/>
              </w:rPr>
              <w:t>每千常住人口执业（助理）医师数（人）</w:t>
            </w:r>
          </w:p>
        </w:tc>
        <w:tc>
          <w:tcPr>
            <w:tcW w:w="1440" w:type="dxa"/>
            <w:tcBorders>
              <w:top w:val="single" w:color="000000" w:sz="4" w:space="0"/>
              <w:left w:val="nil"/>
              <w:bottom w:val="single" w:color="000000" w:sz="4" w:space="0"/>
              <w:right w:val="single" w:color="000000" w:sz="4" w:space="0"/>
            </w:tcBorders>
            <w:vAlign w:val="center"/>
          </w:tcPr>
          <w:p>
            <w:pPr>
              <w:widowControl/>
              <w:snapToGrid w:val="0"/>
              <w:spacing w:line="273" w:lineRule="auto"/>
              <w:ind w:left="0" w:leftChars="0" w:firstLine="0" w:firstLineChars="0"/>
              <w:jc w:val="center"/>
              <w:rPr>
                <w:rFonts w:hint="eastAsia" w:ascii="宋体" w:hAnsi="宋体" w:eastAsiaTheme="minorEastAsia"/>
                <w:color w:val="000000"/>
                <w:kern w:val="0"/>
                <w:sz w:val="24"/>
                <w:lang w:eastAsia="zh-CN"/>
              </w:rPr>
            </w:pPr>
            <w:r>
              <w:rPr>
                <w:rFonts w:hint="eastAsia" w:ascii="宋体" w:hAnsi="宋体"/>
                <w:color w:val="000000"/>
                <w:kern w:val="0"/>
                <w:sz w:val="24"/>
                <w:lang w:val="en-US" w:eastAsia="zh-CN"/>
              </w:rPr>
              <w:t>4.4</w:t>
            </w:r>
          </w:p>
        </w:tc>
        <w:tc>
          <w:tcPr>
            <w:tcW w:w="1410" w:type="dxa"/>
            <w:tcBorders>
              <w:top w:val="single" w:color="000000" w:sz="4" w:space="0"/>
              <w:left w:val="nil"/>
              <w:bottom w:val="single" w:color="000000" w:sz="4" w:space="0"/>
              <w:right w:val="single" w:color="000000" w:sz="4" w:space="0"/>
            </w:tcBorders>
            <w:vAlign w:val="center"/>
          </w:tcPr>
          <w:p>
            <w:pPr>
              <w:widowControl/>
              <w:snapToGrid w:val="0"/>
              <w:spacing w:line="273" w:lineRule="auto"/>
              <w:ind w:left="0" w:leftChars="0" w:firstLine="0" w:firstLineChars="0"/>
              <w:jc w:val="center"/>
              <w:rPr>
                <w:rFonts w:hint="eastAsia" w:ascii="宋体" w:hAnsi="宋体" w:eastAsiaTheme="minorEastAsia"/>
                <w:color w:val="000000"/>
                <w:kern w:val="0"/>
                <w:sz w:val="24"/>
                <w:lang w:eastAsia="zh-CN"/>
              </w:rPr>
            </w:pPr>
            <w:r>
              <w:rPr>
                <w:rFonts w:hint="eastAsia" w:ascii="宋体" w:hAnsi="宋体"/>
                <w:color w:val="000000"/>
                <w:kern w:val="0"/>
                <w:sz w:val="24"/>
                <w:lang w:val="en-US" w:eastAsia="zh-CN"/>
              </w:rPr>
              <w:t>4.7</w:t>
            </w:r>
          </w:p>
        </w:tc>
        <w:tc>
          <w:tcPr>
            <w:tcW w:w="1510" w:type="dxa"/>
            <w:tcBorders>
              <w:top w:val="single" w:color="000000" w:sz="4" w:space="0"/>
              <w:left w:val="nil"/>
              <w:bottom w:val="single" w:color="000000" w:sz="4" w:space="0"/>
              <w:right w:val="single" w:color="000000" w:sz="4" w:space="0"/>
            </w:tcBorders>
            <w:vAlign w:val="center"/>
          </w:tcPr>
          <w:p>
            <w:pPr>
              <w:widowControl/>
              <w:snapToGrid w:val="0"/>
              <w:spacing w:line="273" w:lineRule="auto"/>
              <w:jc w:val="left"/>
              <w:rPr>
                <w:rFonts w:ascii="宋体" w:hAnsi="宋体"/>
                <w:color w:val="000000"/>
                <w:kern w:val="0"/>
                <w:sz w:val="24"/>
              </w:rPr>
            </w:pPr>
            <w:r>
              <w:rPr>
                <w:rFonts w:hint="eastAsia" w:ascii="宋体" w:hAnsi="宋体"/>
                <w:color w:val="000000"/>
                <w:kern w:val="0"/>
                <w:sz w:val="24"/>
              </w:rPr>
              <w:t>指导性</w:t>
            </w:r>
          </w:p>
        </w:tc>
      </w:tr>
      <w:tr>
        <w:tblPrEx>
          <w:tblCellMar>
            <w:top w:w="15" w:type="dxa"/>
            <w:left w:w="15" w:type="dxa"/>
            <w:bottom w:w="15" w:type="dxa"/>
            <w:right w:w="15" w:type="dxa"/>
          </w:tblCellMar>
        </w:tblPrEx>
        <w:trPr>
          <w:trHeight w:val="283" w:hRule="atLeast"/>
          <w:jc w:val="center"/>
        </w:trPr>
        <w:tc>
          <w:tcPr>
            <w:tcW w:w="398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73" w:lineRule="auto"/>
              <w:ind w:left="0" w:leftChars="0" w:firstLine="0" w:firstLineChars="0"/>
              <w:jc w:val="left"/>
              <w:rPr>
                <w:rFonts w:ascii="宋体" w:hAnsi="宋体"/>
                <w:color w:val="000000"/>
                <w:kern w:val="0"/>
                <w:sz w:val="24"/>
              </w:rPr>
            </w:pPr>
            <w:r>
              <w:rPr>
                <w:rFonts w:hint="eastAsia" w:ascii="宋体" w:hAnsi="宋体"/>
                <w:color w:val="000000"/>
                <w:kern w:val="0"/>
                <w:sz w:val="24"/>
              </w:rPr>
              <w:t>每千常住人口注册护士数（人）</w:t>
            </w:r>
          </w:p>
        </w:tc>
        <w:tc>
          <w:tcPr>
            <w:tcW w:w="1440" w:type="dxa"/>
            <w:tcBorders>
              <w:top w:val="single" w:color="000000" w:sz="4" w:space="0"/>
              <w:left w:val="nil"/>
              <w:bottom w:val="single" w:color="000000" w:sz="4" w:space="0"/>
              <w:right w:val="single" w:color="000000" w:sz="4" w:space="0"/>
            </w:tcBorders>
            <w:vAlign w:val="center"/>
          </w:tcPr>
          <w:p>
            <w:pPr>
              <w:widowControl/>
              <w:snapToGrid w:val="0"/>
              <w:spacing w:line="273" w:lineRule="auto"/>
              <w:ind w:left="0" w:leftChars="0" w:firstLine="0" w:firstLineChars="0"/>
              <w:jc w:val="center"/>
              <w:rPr>
                <w:rFonts w:hint="eastAsia" w:ascii="宋体" w:hAnsi="宋体" w:eastAsiaTheme="minorEastAsia"/>
                <w:color w:val="000000"/>
                <w:kern w:val="0"/>
                <w:sz w:val="24"/>
                <w:lang w:eastAsia="zh-CN"/>
              </w:rPr>
            </w:pPr>
            <w:r>
              <w:rPr>
                <w:rFonts w:hint="eastAsia" w:ascii="宋体" w:hAnsi="宋体"/>
                <w:color w:val="000000"/>
                <w:kern w:val="0"/>
                <w:sz w:val="24"/>
                <w:lang w:val="en-US" w:eastAsia="zh-CN"/>
              </w:rPr>
              <w:t>5.3</w:t>
            </w:r>
          </w:p>
        </w:tc>
        <w:tc>
          <w:tcPr>
            <w:tcW w:w="1410" w:type="dxa"/>
            <w:tcBorders>
              <w:top w:val="single" w:color="000000" w:sz="4" w:space="0"/>
              <w:left w:val="nil"/>
              <w:bottom w:val="single" w:color="000000" w:sz="4" w:space="0"/>
              <w:right w:val="single" w:color="000000" w:sz="4" w:space="0"/>
            </w:tcBorders>
            <w:vAlign w:val="center"/>
          </w:tcPr>
          <w:p>
            <w:pPr>
              <w:widowControl/>
              <w:snapToGrid w:val="0"/>
              <w:spacing w:line="273" w:lineRule="auto"/>
              <w:ind w:left="0" w:leftChars="0" w:firstLine="0" w:firstLineChars="0"/>
              <w:jc w:val="center"/>
              <w:rPr>
                <w:rFonts w:hint="eastAsia" w:ascii="宋体" w:hAnsi="宋体" w:eastAsiaTheme="minorEastAsia"/>
                <w:color w:val="000000"/>
                <w:kern w:val="0"/>
                <w:sz w:val="24"/>
                <w:lang w:eastAsia="zh-CN"/>
              </w:rPr>
            </w:pPr>
            <w:r>
              <w:rPr>
                <w:rFonts w:hint="eastAsia" w:ascii="宋体" w:hAnsi="宋体"/>
                <w:color w:val="000000"/>
                <w:kern w:val="0"/>
                <w:sz w:val="24"/>
                <w:lang w:val="en-US" w:eastAsia="zh-CN"/>
              </w:rPr>
              <w:t>6.0</w:t>
            </w:r>
          </w:p>
        </w:tc>
        <w:tc>
          <w:tcPr>
            <w:tcW w:w="1510" w:type="dxa"/>
            <w:tcBorders>
              <w:top w:val="single" w:color="000000" w:sz="4" w:space="0"/>
              <w:left w:val="nil"/>
              <w:bottom w:val="single" w:color="000000" w:sz="4" w:space="0"/>
              <w:right w:val="single" w:color="000000" w:sz="4" w:space="0"/>
            </w:tcBorders>
            <w:vAlign w:val="center"/>
          </w:tcPr>
          <w:p>
            <w:pPr>
              <w:widowControl/>
              <w:snapToGrid w:val="0"/>
              <w:spacing w:line="273" w:lineRule="auto"/>
              <w:jc w:val="left"/>
              <w:rPr>
                <w:rFonts w:ascii="宋体" w:hAnsi="宋体"/>
                <w:color w:val="000000"/>
                <w:kern w:val="0"/>
                <w:sz w:val="24"/>
              </w:rPr>
            </w:pPr>
            <w:r>
              <w:rPr>
                <w:rFonts w:hint="eastAsia" w:ascii="宋体" w:hAnsi="宋体"/>
                <w:color w:val="000000"/>
                <w:kern w:val="0"/>
                <w:sz w:val="24"/>
              </w:rPr>
              <w:t>指导性</w:t>
            </w:r>
          </w:p>
        </w:tc>
      </w:tr>
      <w:tr>
        <w:tblPrEx>
          <w:tblCellMar>
            <w:top w:w="15" w:type="dxa"/>
            <w:left w:w="15" w:type="dxa"/>
            <w:bottom w:w="15" w:type="dxa"/>
            <w:right w:w="15" w:type="dxa"/>
          </w:tblCellMar>
        </w:tblPrEx>
        <w:trPr>
          <w:trHeight w:val="283" w:hRule="atLeast"/>
          <w:jc w:val="center"/>
        </w:trPr>
        <w:tc>
          <w:tcPr>
            <w:tcW w:w="398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73" w:lineRule="auto"/>
              <w:ind w:left="0" w:leftChars="0" w:firstLine="0" w:firstLineChars="0"/>
              <w:jc w:val="left"/>
              <w:rPr>
                <w:rFonts w:ascii="宋体" w:hAnsi="宋体"/>
                <w:color w:val="000000"/>
                <w:kern w:val="0"/>
                <w:sz w:val="24"/>
              </w:rPr>
            </w:pPr>
            <w:r>
              <w:rPr>
                <w:rFonts w:hint="eastAsia" w:ascii="宋体" w:hAnsi="宋体"/>
                <w:color w:val="000000"/>
                <w:kern w:val="0"/>
                <w:sz w:val="24"/>
              </w:rPr>
              <w:t>每千常住人口公共卫生人员数（数）</w:t>
            </w:r>
          </w:p>
        </w:tc>
        <w:tc>
          <w:tcPr>
            <w:tcW w:w="1440" w:type="dxa"/>
            <w:tcBorders>
              <w:top w:val="single" w:color="000000" w:sz="4" w:space="0"/>
              <w:left w:val="nil"/>
              <w:bottom w:val="single" w:color="000000" w:sz="4" w:space="0"/>
              <w:right w:val="single" w:color="000000" w:sz="4" w:space="0"/>
            </w:tcBorders>
            <w:vAlign w:val="center"/>
          </w:tcPr>
          <w:p>
            <w:pPr>
              <w:widowControl/>
              <w:snapToGrid w:val="0"/>
              <w:spacing w:line="273" w:lineRule="auto"/>
              <w:ind w:left="0" w:leftChars="0" w:firstLine="0" w:firstLineChars="0"/>
              <w:jc w:val="center"/>
              <w:rPr>
                <w:rFonts w:hint="eastAsia" w:ascii="宋体" w:hAnsi="宋体" w:eastAsiaTheme="minorEastAsia"/>
                <w:color w:val="000000"/>
                <w:kern w:val="0"/>
                <w:sz w:val="24"/>
                <w:lang w:eastAsia="zh-CN"/>
              </w:rPr>
            </w:pPr>
            <w:r>
              <w:rPr>
                <w:rFonts w:hint="eastAsia" w:ascii="宋体" w:hAnsi="宋体"/>
                <w:color w:val="000000"/>
                <w:kern w:val="0"/>
                <w:sz w:val="24"/>
                <w:lang w:val="en-US" w:eastAsia="zh-CN"/>
              </w:rPr>
              <w:t>-</w:t>
            </w:r>
          </w:p>
        </w:tc>
        <w:tc>
          <w:tcPr>
            <w:tcW w:w="1410" w:type="dxa"/>
            <w:tcBorders>
              <w:top w:val="single" w:color="000000" w:sz="4" w:space="0"/>
              <w:left w:val="nil"/>
              <w:bottom w:val="single" w:color="000000" w:sz="4" w:space="0"/>
              <w:right w:val="single" w:color="000000" w:sz="4" w:space="0"/>
            </w:tcBorders>
            <w:vAlign w:val="center"/>
          </w:tcPr>
          <w:p>
            <w:pPr>
              <w:widowControl/>
              <w:snapToGrid w:val="0"/>
              <w:spacing w:line="273" w:lineRule="auto"/>
              <w:ind w:left="0" w:leftChars="0" w:firstLine="0" w:firstLineChars="0"/>
              <w:jc w:val="center"/>
              <w:rPr>
                <w:rFonts w:ascii="宋体" w:hAnsi="宋体"/>
                <w:color w:val="000000"/>
                <w:kern w:val="0"/>
                <w:sz w:val="24"/>
              </w:rPr>
            </w:pPr>
            <w:r>
              <w:rPr>
                <w:rFonts w:hint="eastAsia" w:ascii="宋体" w:hAnsi="宋体"/>
                <w:color w:val="000000"/>
                <w:kern w:val="0"/>
                <w:sz w:val="24"/>
              </w:rPr>
              <w:t>1</w:t>
            </w:r>
            <w:r>
              <w:rPr>
                <w:rFonts w:hint="eastAsia" w:ascii="宋体" w:hAnsi="宋体"/>
                <w:color w:val="000000"/>
                <w:kern w:val="0"/>
                <w:sz w:val="24"/>
                <w:lang w:val="en-US" w:eastAsia="zh-CN"/>
              </w:rPr>
              <w:t>.0</w:t>
            </w:r>
          </w:p>
        </w:tc>
        <w:tc>
          <w:tcPr>
            <w:tcW w:w="1510" w:type="dxa"/>
            <w:tcBorders>
              <w:top w:val="single" w:color="000000" w:sz="4" w:space="0"/>
              <w:left w:val="nil"/>
              <w:bottom w:val="single" w:color="000000" w:sz="4" w:space="0"/>
              <w:right w:val="single" w:color="000000" w:sz="4" w:space="0"/>
            </w:tcBorders>
            <w:vAlign w:val="center"/>
          </w:tcPr>
          <w:p>
            <w:pPr>
              <w:widowControl/>
              <w:snapToGrid w:val="0"/>
              <w:spacing w:line="273" w:lineRule="auto"/>
              <w:jc w:val="left"/>
              <w:rPr>
                <w:rFonts w:ascii="宋体" w:hAnsi="宋体"/>
                <w:color w:val="000000"/>
                <w:kern w:val="0"/>
                <w:sz w:val="24"/>
              </w:rPr>
            </w:pPr>
            <w:r>
              <w:rPr>
                <w:rFonts w:hint="eastAsia" w:ascii="宋体" w:hAnsi="宋体"/>
                <w:color w:val="000000"/>
                <w:kern w:val="0"/>
                <w:sz w:val="24"/>
              </w:rPr>
              <w:t>约束性</w:t>
            </w:r>
          </w:p>
        </w:tc>
      </w:tr>
      <w:tr>
        <w:tblPrEx>
          <w:tblCellMar>
            <w:top w:w="15" w:type="dxa"/>
            <w:left w:w="15" w:type="dxa"/>
            <w:bottom w:w="15" w:type="dxa"/>
            <w:right w:w="15" w:type="dxa"/>
          </w:tblCellMar>
        </w:tblPrEx>
        <w:trPr>
          <w:trHeight w:val="283" w:hRule="atLeast"/>
          <w:jc w:val="center"/>
        </w:trPr>
        <w:tc>
          <w:tcPr>
            <w:tcW w:w="398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73" w:lineRule="auto"/>
              <w:ind w:left="0" w:leftChars="0" w:firstLine="0" w:firstLineChars="0"/>
              <w:jc w:val="left"/>
              <w:rPr>
                <w:rFonts w:ascii="宋体" w:hAnsi="宋体"/>
                <w:color w:val="000000"/>
                <w:kern w:val="0"/>
                <w:sz w:val="24"/>
              </w:rPr>
            </w:pPr>
            <w:r>
              <w:rPr>
                <w:rFonts w:hint="eastAsia" w:ascii="宋体" w:hAnsi="宋体"/>
                <w:color w:val="000000"/>
                <w:kern w:val="0"/>
                <w:sz w:val="24"/>
              </w:rPr>
              <w:t>每万常住人口全科医生数（数）</w:t>
            </w:r>
          </w:p>
        </w:tc>
        <w:tc>
          <w:tcPr>
            <w:tcW w:w="1440" w:type="dxa"/>
            <w:tcBorders>
              <w:top w:val="single" w:color="000000" w:sz="4" w:space="0"/>
              <w:left w:val="nil"/>
              <w:bottom w:val="single" w:color="000000" w:sz="4" w:space="0"/>
              <w:right w:val="single" w:color="000000" w:sz="4" w:space="0"/>
            </w:tcBorders>
            <w:vAlign w:val="center"/>
          </w:tcPr>
          <w:p>
            <w:pPr>
              <w:widowControl/>
              <w:snapToGrid w:val="0"/>
              <w:spacing w:line="273" w:lineRule="auto"/>
              <w:ind w:left="0" w:leftChars="0" w:firstLine="0" w:firstLineChars="0"/>
              <w:jc w:val="center"/>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val="en-US" w:eastAsia="zh-CN"/>
              </w:rPr>
              <w:t>23</w:t>
            </w:r>
          </w:p>
        </w:tc>
        <w:tc>
          <w:tcPr>
            <w:tcW w:w="1410" w:type="dxa"/>
            <w:tcBorders>
              <w:top w:val="single" w:color="000000" w:sz="4" w:space="0"/>
              <w:left w:val="nil"/>
              <w:bottom w:val="single" w:color="000000" w:sz="4" w:space="0"/>
              <w:right w:val="single" w:color="000000" w:sz="4" w:space="0"/>
            </w:tcBorders>
            <w:vAlign w:val="center"/>
          </w:tcPr>
          <w:p>
            <w:pPr>
              <w:widowControl/>
              <w:snapToGrid w:val="0"/>
              <w:spacing w:line="273" w:lineRule="auto"/>
              <w:ind w:left="0" w:leftChars="0" w:firstLine="0" w:firstLineChars="0"/>
              <w:jc w:val="center"/>
              <w:rPr>
                <w:rFonts w:ascii="宋体" w:hAnsi="宋体"/>
                <w:color w:val="000000"/>
                <w:kern w:val="0"/>
                <w:sz w:val="24"/>
              </w:rPr>
            </w:pPr>
            <w:r>
              <w:rPr>
                <w:rFonts w:hint="eastAsia" w:ascii="宋体" w:hAnsi="宋体"/>
                <w:color w:val="000000"/>
                <w:kern w:val="0"/>
                <w:sz w:val="24"/>
              </w:rPr>
              <w:t>3.2</w:t>
            </w:r>
            <w:r>
              <w:rPr>
                <w:rFonts w:hint="eastAsia" w:ascii="宋体" w:hAnsi="宋体"/>
                <w:color w:val="000000"/>
                <w:kern w:val="0"/>
                <w:sz w:val="24"/>
                <w:lang w:val="en-US" w:eastAsia="zh-CN"/>
              </w:rPr>
              <w:t>4</w:t>
            </w:r>
          </w:p>
        </w:tc>
        <w:tc>
          <w:tcPr>
            <w:tcW w:w="1510" w:type="dxa"/>
            <w:tcBorders>
              <w:top w:val="single" w:color="000000" w:sz="4" w:space="0"/>
              <w:left w:val="nil"/>
              <w:bottom w:val="single" w:color="000000" w:sz="4" w:space="0"/>
              <w:right w:val="single" w:color="000000" w:sz="4" w:space="0"/>
            </w:tcBorders>
            <w:vAlign w:val="center"/>
          </w:tcPr>
          <w:p>
            <w:pPr>
              <w:widowControl/>
              <w:snapToGrid w:val="0"/>
              <w:spacing w:line="273" w:lineRule="auto"/>
              <w:jc w:val="left"/>
              <w:rPr>
                <w:rFonts w:ascii="宋体" w:hAnsi="宋体"/>
                <w:color w:val="000000"/>
                <w:kern w:val="0"/>
                <w:sz w:val="24"/>
              </w:rPr>
            </w:pPr>
            <w:r>
              <w:rPr>
                <w:rFonts w:hint="eastAsia" w:ascii="宋体" w:hAnsi="宋体"/>
                <w:color w:val="000000"/>
                <w:kern w:val="0"/>
                <w:sz w:val="24"/>
              </w:rPr>
              <w:t>约束性</w:t>
            </w:r>
          </w:p>
        </w:tc>
      </w:tr>
      <w:tr>
        <w:tblPrEx>
          <w:tblCellMar>
            <w:top w:w="15" w:type="dxa"/>
            <w:left w:w="15" w:type="dxa"/>
            <w:bottom w:w="15" w:type="dxa"/>
            <w:right w:w="15" w:type="dxa"/>
          </w:tblCellMar>
        </w:tblPrEx>
        <w:trPr>
          <w:trHeight w:val="283" w:hRule="atLeast"/>
          <w:jc w:val="center"/>
        </w:trPr>
        <w:tc>
          <w:tcPr>
            <w:tcW w:w="398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73" w:lineRule="auto"/>
              <w:ind w:left="0" w:leftChars="0" w:firstLine="0" w:firstLineChars="0"/>
              <w:jc w:val="left"/>
              <w:rPr>
                <w:rFonts w:ascii="宋体" w:hAnsi="宋体"/>
                <w:color w:val="auto"/>
                <w:kern w:val="0"/>
                <w:sz w:val="24"/>
              </w:rPr>
            </w:pPr>
            <w:r>
              <w:rPr>
                <w:rFonts w:hint="eastAsia" w:ascii="宋体" w:hAnsi="宋体"/>
                <w:color w:val="auto"/>
                <w:kern w:val="0"/>
                <w:sz w:val="24"/>
              </w:rPr>
              <w:t>医护比</w:t>
            </w:r>
          </w:p>
        </w:tc>
        <w:tc>
          <w:tcPr>
            <w:tcW w:w="1440" w:type="dxa"/>
            <w:tcBorders>
              <w:top w:val="single" w:color="000000" w:sz="4" w:space="0"/>
              <w:left w:val="nil"/>
              <w:bottom w:val="single" w:color="000000" w:sz="4" w:space="0"/>
              <w:right w:val="single" w:color="000000" w:sz="4" w:space="0"/>
            </w:tcBorders>
            <w:vAlign w:val="center"/>
          </w:tcPr>
          <w:p>
            <w:pPr>
              <w:widowControl/>
              <w:snapToGrid w:val="0"/>
              <w:spacing w:line="273" w:lineRule="auto"/>
              <w:ind w:left="0" w:leftChars="0" w:firstLine="0" w:firstLineChars="0"/>
              <w:jc w:val="center"/>
              <w:rPr>
                <w:rFonts w:ascii="宋体" w:hAnsi="宋体"/>
                <w:color w:val="auto"/>
                <w:kern w:val="0"/>
                <w:sz w:val="24"/>
              </w:rPr>
            </w:pPr>
            <w:r>
              <w:rPr>
                <w:rFonts w:hint="eastAsia" w:ascii="宋体" w:hAnsi="宋体"/>
                <w:color w:val="auto"/>
                <w:kern w:val="0"/>
                <w:sz w:val="24"/>
              </w:rPr>
              <w:t>1︰</w:t>
            </w:r>
            <w:r>
              <w:rPr>
                <w:rFonts w:hint="eastAsia" w:ascii="宋体" w:hAnsi="宋体"/>
                <w:color w:val="auto"/>
                <w:kern w:val="0"/>
                <w:sz w:val="24"/>
                <w:lang w:val="en-US" w:eastAsia="zh-CN"/>
              </w:rPr>
              <w:t>1.20</w:t>
            </w:r>
          </w:p>
        </w:tc>
        <w:tc>
          <w:tcPr>
            <w:tcW w:w="1410" w:type="dxa"/>
            <w:tcBorders>
              <w:top w:val="single" w:color="000000" w:sz="4" w:space="0"/>
              <w:left w:val="nil"/>
              <w:bottom w:val="single" w:color="000000" w:sz="4" w:space="0"/>
              <w:right w:val="single" w:color="000000" w:sz="4" w:space="0"/>
            </w:tcBorders>
            <w:vAlign w:val="center"/>
          </w:tcPr>
          <w:p>
            <w:pPr>
              <w:widowControl/>
              <w:snapToGrid w:val="0"/>
              <w:spacing w:line="273" w:lineRule="auto"/>
              <w:ind w:left="0" w:leftChars="0" w:firstLine="0" w:firstLineChars="0"/>
              <w:jc w:val="center"/>
              <w:rPr>
                <w:rFonts w:ascii="宋体" w:hAnsi="宋体"/>
                <w:color w:val="auto"/>
                <w:kern w:val="0"/>
                <w:sz w:val="24"/>
              </w:rPr>
            </w:pPr>
            <w:r>
              <w:rPr>
                <w:rFonts w:hint="eastAsia" w:ascii="宋体" w:hAnsi="宋体"/>
                <w:color w:val="auto"/>
                <w:kern w:val="0"/>
                <w:sz w:val="24"/>
              </w:rPr>
              <w:t>1︰1.25</w:t>
            </w:r>
          </w:p>
        </w:tc>
        <w:tc>
          <w:tcPr>
            <w:tcW w:w="1510" w:type="dxa"/>
            <w:tcBorders>
              <w:top w:val="single" w:color="000000" w:sz="4" w:space="0"/>
              <w:left w:val="nil"/>
              <w:bottom w:val="single" w:color="000000" w:sz="4" w:space="0"/>
              <w:right w:val="single" w:color="000000" w:sz="4" w:space="0"/>
            </w:tcBorders>
            <w:vAlign w:val="center"/>
          </w:tcPr>
          <w:p>
            <w:pPr>
              <w:widowControl/>
              <w:snapToGrid w:val="0"/>
              <w:spacing w:line="273" w:lineRule="auto"/>
              <w:jc w:val="left"/>
              <w:rPr>
                <w:rFonts w:ascii="宋体" w:hAnsi="宋体"/>
                <w:color w:val="auto"/>
                <w:kern w:val="0"/>
                <w:sz w:val="24"/>
              </w:rPr>
            </w:pPr>
            <w:r>
              <w:rPr>
                <w:rFonts w:hint="eastAsia" w:ascii="宋体" w:hAnsi="宋体"/>
                <w:color w:val="auto"/>
                <w:kern w:val="0"/>
                <w:sz w:val="24"/>
              </w:rPr>
              <w:t>指导性</w:t>
            </w:r>
          </w:p>
        </w:tc>
      </w:tr>
      <w:tr>
        <w:tblPrEx>
          <w:tblCellMar>
            <w:top w:w="15" w:type="dxa"/>
            <w:left w:w="15" w:type="dxa"/>
            <w:bottom w:w="15" w:type="dxa"/>
            <w:right w:w="15" w:type="dxa"/>
          </w:tblCellMar>
        </w:tblPrEx>
        <w:trPr>
          <w:trHeight w:val="283" w:hRule="atLeast"/>
          <w:jc w:val="center"/>
        </w:trPr>
        <w:tc>
          <w:tcPr>
            <w:tcW w:w="398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73" w:lineRule="auto"/>
              <w:ind w:left="0" w:leftChars="0" w:firstLine="0" w:firstLineChars="0"/>
              <w:jc w:val="left"/>
              <w:rPr>
                <w:rFonts w:ascii="宋体" w:hAnsi="宋体"/>
                <w:color w:val="auto"/>
                <w:kern w:val="0"/>
                <w:sz w:val="24"/>
              </w:rPr>
            </w:pPr>
            <w:r>
              <w:rPr>
                <w:rFonts w:hint="eastAsia" w:ascii="宋体" w:hAnsi="宋体"/>
                <w:color w:val="auto"/>
                <w:kern w:val="0"/>
                <w:sz w:val="24"/>
                <w:lang w:eastAsia="zh-CN"/>
              </w:rPr>
              <w:t>区</w:t>
            </w:r>
            <w:r>
              <w:rPr>
                <w:rFonts w:hint="eastAsia" w:ascii="宋体" w:hAnsi="宋体"/>
                <w:color w:val="auto"/>
                <w:kern w:val="0"/>
                <w:sz w:val="24"/>
              </w:rPr>
              <w:t>属医院床护比</w:t>
            </w:r>
          </w:p>
        </w:tc>
        <w:tc>
          <w:tcPr>
            <w:tcW w:w="1440" w:type="dxa"/>
            <w:tcBorders>
              <w:top w:val="single" w:color="000000" w:sz="4" w:space="0"/>
              <w:left w:val="nil"/>
              <w:bottom w:val="single" w:color="000000" w:sz="4" w:space="0"/>
              <w:right w:val="single" w:color="000000" w:sz="4" w:space="0"/>
            </w:tcBorders>
            <w:vAlign w:val="center"/>
          </w:tcPr>
          <w:p>
            <w:pPr>
              <w:widowControl/>
              <w:snapToGrid w:val="0"/>
              <w:spacing w:line="273" w:lineRule="auto"/>
              <w:ind w:left="0" w:leftChars="0" w:firstLine="0" w:firstLineChars="0"/>
              <w:jc w:val="center"/>
              <w:rPr>
                <w:rFonts w:hint="eastAsia" w:ascii="宋体" w:hAnsi="宋体" w:eastAsiaTheme="minorEastAsia"/>
                <w:color w:val="auto"/>
                <w:kern w:val="0"/>
                <w:sz w:val="24"/>
                <w:lang w:val="en-US" w:eastAsia="zh-CN"/>
              </w:rPr>
            </w:pPr>
            <w:r>
              <w:rPr>
                <w:rFonts w:hint="eastAsia" w:ascii="宋体" w:hAnsi="宋体"/>
                <w:color w:val="auto"/>
                <w:kern w:val="0"/>
                <w:sz w:val="24"/>
                <w:lang w:val="en-US" w:eastAsia="zh-CN"/>
              </w:rPr>
              <w:t>1</w:t>
            </w:r>
            <w:r>
              <w:rPr>
                <w:rFonts w:hint="eastAsia" w:ascii="宋体" w:hAnsi="宋体"/>
                <w:color w:val="auto"/>
                <w:kern w:val="0"/>
                <w:sz w:val="24"/>
              </w:rPr>
              <w:t>︰</w:t>
            </w:r>
            <w:r>
              <w:rPr>
                <w:rFonts w:hint="eastAsia" w:ascii="宋体" w:hAnsi="宋体"/>
                <w:color w:val="auto"/>
                <w:kern w:val="0"/>
                <w:sz w:val="24"/>
                <w:lang w:val="en-US" w:eastAsia="zh-CN"/>
              </w:rPr>
              <w:t>0.96</w:t>
            </w:r>
          </w:p>
        </w:tc>
        <w:tc>
          <w:tcPr>
            <w:tcW w:w="1410" w:type="dxa"/>
            <w:tcBorders>
              <w:top w:val="single" w:color="000000" w:sz="4" w:space="0"/>
              <w:left w:val="nil"/>
              <w:bottom w:val="single" w:color="000000" w:sz="4" w:space="0"/>
              <w:right w:val="single" w:color="000000" w:sz="4" w:space="0"/>
            </w:tcBorders>
            <w:vAlign w:val="center"/>
          </w:tcPr>
          <w:p>
            <w:pPr>
              <w:widowControl/>
              <w:snapToGrid w:val="0"/>
              <w:spacing w:line="273" w:lineRule="auto"/>
              <w:ind w:left="0" w:leftChars="0" w:firstLine="0" w:firstLineChars="0"/>
              <w:jc w:val="center"/>
              <w:rPr>
                <w:rFonts w:ascii="宋体" w:hAnsi="宋体"/>
                <w:color w:val="auto"/>
                <w:kern w:val="0"/>
                <w:sz w:val="24"/>
              </w:rPr>
            </w:pPr>
            <w:r>
              <w:rPr>
                <w:rFonts w:hint="eastAsia" w:ascii="宋体" w:hAnsi="宋体"/>
                <w:color w:val="auto"/>
                <w:kern w:val="0"/>
                <w:sz w:val="24"/>
              </w:rPr>
              <w:t>1︰</w:t>
            </w:r>
            <w:r>
              <w:rPr>
                <w:rFonts w:hint="eastAsia" w:ascii="宋体" w:hAnsi="宋体"/>
                <w:color w:val="auto"/>
                <w:kern w:val="0"/>
                <w:sz w:val="24"/>
                <w:lang w:val="en-US" w:eastAsia="zh-CN"/>
              </w:rPr>
              <w:t>0.74</w:t>
            </w:r>
          </w:p>
        </w:tc>
        <w:tc>
          <w:tcPr>
            <w:tcW w:w="1510" w:type="dxa"/>
            <w:tcBorders>
              <w:top w:val="single" w:color="000000" w:sz="4" w:space="0"/>
              <w:left w:val="nil"/>
              <w:bottom w:val="single" w:color="000000" w:sz="4" w:space="0"/>
              <w:right w:val="single" w:color="000000" w:sz="4" w:space="0"/>
            </w:tcBorders>
            <w:vAlign w:val="center"/>
          </w:tcPr>
          <w:p>
            <w:pPr>
              <w:widowControl/>
              <w:snapToGrid w:val="0"/>
              <w:spacing w:line="273" w:lineRule="auto"/>
              <w:jc w:val="left"/>
              <w:rPr>
                <w:rFonts w:ascii="宋体" w:hAnsi="宋体"/>
                <w:color w:val="auto"/>
                <w:kern w:val="0"/>
                <w:sz w:val="24"/>
              </w:rPr>
            </w:pPr>
            <w:r>
              <w:rPr>
                <w:rFonts w:hint="eastAsia" w:ascii="宋体" w:hAnsi="宋体"/>
                <w:color w:val="auto"/>
                <w:kern w:val="0"/>
                <w:sz w:val="24"/>
              </w:rPr>
              <w:t>指导性</w:t>
            </w:r>
          </w:p>
        </w:tc>
      </w:tr>
    </w:tbl>
    <w:p>
      <w:pPr>
        <w:pStyle w:val="3"/>
        <w:pageBreakBefore w:val="0"/>
        <w:widowControl/>
        <w:kinsoku/>
        <w:overflowPunct/>
        <w:topLinePunct w:val="0"/>
        <w:bidi w:val="0"/>
        <w:spacing w:before="0" w:after="0" w:line="560" w:lineRule="exact"/>
        <w:ind w:left="0"/>
        <w:jc w:val="left"/>
        <w:textAlignment w:val="auto"/>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val="0"/>
          <w:color w:val="auto"/>
          <w:kern w:val="0"/>
          <w:sz w:val="32"/>
          <w:szCs w:val="32"/>
          <w:lang w:val="en-US" w:eastAsia="zh-CN" w:bidi="ar-SA"/>
        </w:rPr>
        <w:t xml:space="preserve">    </w:t>
      </w:r>
      <w:r>
        <w:rPr>
          <w:rFonts w:hint="eastAsia" w:ascii="黑体" w:hAnsi="黑体" w:eastAsia="黑体" w:cs="黑体"/>
          <w:b w:val="0"/>
          <w:color w:val="auto"/>
          <w:kern w:val="0"/>
          <w:sz w:val="32"/>
          <w:szCs w:val="32"/>
          <w:lang w:val="en-US" w:eastAsia="zh-CN" w:bidi="ar-SA"/>
        </w:rPr>
        <w:t>二、规划原则</w:t>
      </w:r>
    </w:p>
    <w:p>
      <w:pPr>
        <w:pageBreakBefore w:val="0"/>
        <w:kinsoku/>
        <w:overflowPunct/>
        <w:topLinePunct w:val="0"/>
        <w:bidi w:val="0"/>
        <w:spacing w:before="0" w:beforeLines="0" w:after="0" w:afterLines="0" w:line="560" w:lineRule="exact"/>
        <w:ind w:left="0" w:leftChars="0" w:firstLine="0" w:firstLineChars="0"/>
        <w:textAlignment w:val="auto"/>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val="0"/>
          <w:color w:val="auto"/>
          <w:kern w:val="0"/>
          <w:sz w:val="32"/>
          <w:szCs w:val="32"/>
          <w:lang w:val="en-US" w:eastAsia="zh-CN" w:bidi="ar-SA"/>
        </w:rPr>
        <w:t xml:space="preserve">   </w:t>
      </w:r>
      <w:r>
        <w:rPr>
          <w:rFonts w:hint="eastAsia" w:ascii="仿宋_GB2312" w:hAnsi="仿宋_GB2312" w:eastAsia="仿宋_GB2312" w:cs="仿宋_GB2312"/>
          <w:b/>
          <w:bCs/>
          <w:color w:val="auto"/>
          <w:kern w:val="0"/>
          <w:sz w:val="32"/>
          <w:szCs w:val="32"/>
          <w:lang w:val="en-US" w:eastAsia="zh-CN" w:bidi="ar-SA"/>
        </w:rPr>
        <w:t xml:space="preserve"> （一）坚持健康需求导向。</w:t>
      </w:r>
      <w:r>
        <w:rPr>
          <w:rFonts w:hint="eastAsia" w:ascii="仿宋_GB2312" w:hAnsi="仿宋_GB2312" w:eastAsia="仿宋_GB2312" w:cs="仿宋_GB2312"/>
          <w:b w:val="0"/>
          <w:color w:val="auto"/>
          <w:kern w:val="0"/>
          <w:sz w:val="32"/>
          <w:szCs w:val="32"/>
          <w:lang w:val="en-US" w:eastAsia="zh-CN" w:bidi="ar-SA"/>
        </w:rPr>
        <w:t>以健康需求和解决人民群众主要健康问题为导向，以调整布局结构、提升能力为主线，适度有序发展，强化薄弱环节，科学合理确定各级各类医疗卫生机构的数量、规模及布局，满足多层次、多角度的健康服务需求。</w:t>
      </w:r>
    </w:p>
    <w:p>
      <w:pPr>
        <w:pageBreakBefore w:val="0"/>
        <w:kinsoku/>
        <w:overflowPunct/>
        <w:topLinePunct w:val="0"/>
        <w:bidi w:val="0"/>
        <w:spacing w:before="0" w:beforeLines="0" w:after="0" w:afterLines="0" w:line="560" w:lineRule="exact"/>
        <w:ind w:left="0" w:leftChars="0" w:firstLine="0" w:firstLineChars="0"/>
        <w:textAlignment w:val="auto"/>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val="0"/>
          <w:color w:val="auto"/>
          <w:kern w:val="0"/>
          <w:sz w:val="32"/>
          <w:szCs w:val="32"/>
          <w:lang w:val="en-US" w:eastAsia="zh-CN" w:bidi="ar-SA"/>
        </w:rPr>
        <w:t xml:space="preserve">    </w:t>
      </w:r>
      <w:r>
        <w:rPr>
          <w:rFonts w:hint="eastAsia" w:ascii="仿宋_GB2312" w:hAnsi="仿宋_GB2312" w:eastAsia="仿宋_GB2312" w:cs="仿宋_GB2312"/>
          <w:b/>
          <w:bCs/>
          <w:color w:val="auto"/>
          <w:kern w:val="0"/>
          <w:sz w:val="32"/>
          <w:szCs w:val="32"/>
          <w:lang w:val="en-US" w:eastAsia="zh-CN" w:bidi="ar-SA"/>
        </w:rPr>
        <w:t>（二）坚持公平与效率统一。</w:t>
      </w:r>
      <w:r>
        <w:rPr>
          <w:rFonts w:hint="eastAsia" w:ascii="仿宋_GB2312" w:hAnsi="仿宋_GB2312" w:eastAsia="仿宋_GB2312" w:cs="仿宋_GB2312"/>
          <w:b w:val="0"/>
          <w:color w:val="auto"/>
          <w:kern w:val="0"/>
          <w:sz w:val="32"/>
          <w:szCs w:val="32"/>
          <w:lang w:val="en-US" w:eastAsia="zh-CN" w:bidi="ar-SA"/>
        </w:rPr>
        <w:t xml:space="preserve">优先保障基本医疗卫生服务可及性，实现公共卫生服务均等化和医疗卫生普惠化，促进公平公正。同时，注重资源配置与使用的科学性与协调性，以“强基层、补短板”为重点，推动工作重心下移、优质医疗资源下沉，提高效率，降低成本，实现公平与效率的统一。 </w:t>
      </w:r>
    </w:p>
    <w:p>
      <w:pPr>
        <w:pageBreakBefore w:val="0"/>
        <w:kinsoku/>
        <w:overflowPunct/>
        <w:topLinePunct w:val="0"/>
        <w:bidi w:val="0"/>
        <w:spacing w:before="0" w:beforeLines="0" w:after="0" w:afterLines="0" w:line="560" w:lineRule="exact"/>
        <w:ind w:left="0" w:leftChars="0" w:firstLine="0" w:firstLineChars="0"/>
        <w:textAlignment w:val="auto"/>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val="0"/>
          <w:color w:val="auto"/>
          <w:kern w:val="0"/>
          <w:sz w:val="32"/>
          <w:szCs w:val="32"/>
          <w:lang w:val="en-US" w:eastAsia="zh-CN" w:bidi="ar-SA"/>
        </w:rPr>
        <w:t xml:space="preserve">    </w:t>
      </w:r>
      <w:r>
        <w:rPr>
          <w:rFonts w:hint="eastAsia" w:ascii="仿宋_GB2312" w:hAnsi="仿宋_GB2312" w:eastAsia="仿宋_GB2312" w:cs="仿宋_GB2312"/>
          <w:b/>
          <w:bCs/>
          <w:color w:val="auto"/>
          <w:kern w:val="0"/>
          <w:sz w:val="32"/>
          <w:szCs w:val="32"/>
          <w:lang w:val="en-US" w:eastAsia="zh-CN" w:bidi="ar-SA"/>
        </w:rPr>
        <w:t>（三）坚持政府主导与市场机制相结合。</w:t>
      </w:r>
      <w:r>
        <w:rPr>
          <w:rFonts w:hint="eastAsia" w:ascii="仿宋_GB2312" w:hAnsi="仿宋_GB2312" w:eastAsia="仿宋_GB2312" w:cs="仿宋_GB2312"/>
          <w:b w:val="0"/>
          <w:color w:val="auto"/>
          <w:kern w:val="0"/>
          <w:sz w:val="32"/>
          <w:szCs w:val="32"/>
          <w:lang w:val="en-US" w:eastAsia="zh-CN" w:bidi="ar-SA"/>
        </w:rPr>
        <w:t>强化政府在政策主导、机制建设及行业监管等方面的职责。充分发挥市场在资源配置中的作用，创造有利条件鼓励社会资本办医，充分调动其积极性和创造性，不断增加健康服务供给，提高服务质量和效率。</w:t>
      </w:r>
    </w:p>
    <w:p>
      <w:pPr>
        <w:pageBreakBefore w:val="0"/>
        <w:kinsoku/>
        <w:overflowPunct/>
        <w:topLinePunct w:val="0"/>
        <w:bidi w:val="0"/>
        <w:spacing w:before="0" w:beforeLines="0" w:after="0" w:afterLines="0" w:line="560" w:lineRule="exact"/>
        <w:ind w:left="0" w:leftChars="0" w:firstLine="0" w:firstLineChars="0"/>
        <w:textAlignment w:val="auto"/>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val="0"/>
          <w:color w:val="auto"/>
          <w:kern w:val="0"/>
          <w:sz w:val="32"/>
          <w:szCs w:val="32"/>
          <w:lang w:val="en-US" w:eastAsia="zh-CN" w:bidi="ar-SA"/>
        </w:rPr>
        <w:t xml:space="preserve">    </w:t>
      </w:r>
      <w:r>
        <w:rPr>
          <w:rFonts w:hint="eastAsia" w:ascii="仿宋_GB2312" w:hAnsi="仿宋_GB2312" w:eastAsia="仿宋_GB2312" w:cs="仿宋_GB2312"/>
          <w:b/>
          <w:bCs/>
          <w:color w:val="auto"/>
          <w:kern w:val="0"/>
          <w:sz w:val="32"/>
          <w:szCs w:val="32"/>
          <w:lang w:val="en-US" w:eastAsia="zh-CN" w:bidi="ar-SA"/>
        </w:rPr>
        <w:t>（四）坚持系统整合。</w:t>
      </w:r>
      <w:r>
        <w:rPr>
          <w:rFonts w:hint="eastAsia" w:ascii="仿宋_GB2312" w:hAnsi="仿宋_GB2312" w:eastAsia="仿宋_GB2312" w:cs="仿宋_GB2312"/>
          <w:b w:val="0"/>
          <w:color w:val="auto"/>
          <w:kern w:val="0"/>
          <w:sz w:val="32"/>
          <w:szCs w:val="32"/>
          <w:lang w:val="en-US" w:eastAsia="zh-CN" w:bidi="ar-SA"/>
        </w:rPr>
        <w:t>加强全行业监管与属地化管理，统筹区域、城乡资源配置，统筹当前与长远，统筹预防、医疗和康复，加强医疗卫生服务体系系统性、协同性建设，推动区域一体化发展，注重发挥医疗卫生服务体系的整体功能。</w:t>
      </w:r>
    </w:p>
    <w:p>
      <w:pPr>
        <w:pageBreakBefore w:val="0"/>
        <w:kinsoku/>
        <w:overflowPunct/>
        <w:topLinePunct w:val="0"/>
        <w:bidi w:val="0"/>
        <w:spacing w:before="0" w:beforeLines="0" w:after="0" w:afterLines="0" w:line="560" w:lineRule="exact"/>
        <w:ind w:left="0" w:leftChars="0" w:firstLine="643" w:firstLineChars="200"/>
        <w:textAlignment w:val="auto"/>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（五）坚持协调发展。</w:t>
      </w:r>
      <w:r>
        <w:rPr>
          <w:rFonts w:hint="eastAsia" w:ascii="仿宋_GB2312" w:hAnsi="仿宋_GB2312" w:eastAsia="仿宋_GB2312" w:cs="仿宋_GB2312"/>
          <w:b w:val="0"/>
          <w:color w:val="auto"/>
          <w:kern w:val="0"/>
          <w:sz w:val="32"/>
          <w:szCs w:val="32"/>
          <w:lang w:val="en-US" w:eastAsia="zh-CN" w:bidi="ar-SA"/>
        </w:rPr>
        <w:t>促进基层医疗卫生机构发展，着力提升服务能力和质量。合理控制公立医院资源规模，推动发展方式转变。提高专业公共卫生机构的服务能力和水平。</w:t>
      </w:r>
    </w:p>
    <w:p>
      <w:pPr>
        <w:pStyle w:val="2"/>
        <w:pageBreakBefore w:val="0"/>
        <w:kinsoku/>
        <w:overflowPunct/>
        <w:topLinePunct w:val="0"/>
        <w:bidi w:val="0"/>
        <w:spacing w:line="560" w:lineRule="exact"/>
        <w:jc w:val="center"/>
        <w:textAlignment w:val="auto"/>
        <w:rPr>
          <w:rFonts w:hint="eastAsia" w:ascii="黑体" w:hAnsi="黑体" w:eastAsia="黑体" w:cs="黑体"/>
          <w:b w:val="0"/>
          <w:color w:val="auto"/>
          <w:kern w:val="0"/>
          <w:sz w:val="32"/>
          <w:szCs w:val="32"/>
          <w:lang w:val="en-US" w:eastAsia="zh-CN" w:bidi="ar-SA"/>
        </w:rPr>
      </w:pPr>
      <w:bookmarkStart w:id="3" w:name="_Toc432964845"/>
      <w:bookmarkStart w:id="4" w:name="_Toc433626959"/>
      <w:r>
        <w:rPr>
          <w:rFonts w:hint="eastAsia" w:ascii="黑体" w:hAnsi="黑体" w:eastAsia="黑体" w:cs="黑体"/>
          <w:b w:val="0"/>
          <w:color w:val="auto"/>
          <w:kern w:val="0"/>
          <w:sz w:val="32"/>
          <w:szCs w:val="32"/>
          <w:lang w:val="en-US" w:eastAsia="zh-CN" w:bidi="ar-SA"/>
        </w:rPr>
        <w:t>第三章  医院</w:t>
      </w:r>
      <w:bookmarkEnd w:id="3"/>
      <w:bookmarkEnd w:id="4"/>
      <w:r>
        <w:rPr>
          <w:rFonts w:hint="eastAsia" w:ascii="黑体" w:hAnsi="黑体" w:eastAsia="黑体" w:cs="黑体"/>
          <w:b w:val="0"/>
          <w:color w:val="auto"/>
          <w:kern w:val="0"/>
          <w:sz w:val="32"/>
          <w:szCs w:val="32"/>
          <w:lang w:val="en-US" w:eastAsia="zh-CN" w:bidi="ar-SA"/>
        </w:rPr>
        <w:t>规划</w:t>
      </w:r>
    </w:p>
    <w:p>
      <w:pPr>
        <w:keepNext w:val="0"/>
        <w:keepLines w:val="0"/>
        <w:pageBreakBefore w:val="0"/>
        <w:widowControl/>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黑体" w:hAnsi="黑体" w:eastAsia="黑体" w:cs="黑体"/>
          <w:b w:val="0"/>
          <w:color w:val="auto"/>
          <w:kern w:val="0"/>
          <w:sz w:val="32"/>
          <w:szCs w:val="32"/>
          <w:lang w:val="en-US" w:eastAsia="zh-CN" w:bidi="ar-SA"/>
        </w:rPr>
      </w:pPr>
      <w:r>
        <w:rPr>
          <w:rFonts w:hint="eastAsia" w:ascii="黑体" w:hAnsi="黑体" w:eastAsia="黑体" w:cs="黑体"/>
          <w:b w:val="0"/>
          <w:color w:val="auto"/>
          <w:kern w:val="0"/>
          <w:sz w:val="32"/>
          <w:szCs w:val="32"/>
          <w:lang w:val="en-US" w:eastAsia="zh-CN" w:bidi="ar-SA"/>
        </w:rPr>
        <w:t>一、功能定位</w:t>
      </w:r>
    </w:p>
    <w:p>
      <w:pPr>
        <w:keepNext w:val="0"/>
        <w:keepLines w:val="0"/>
        <w:pageBreakBefore w:val="0"/>
        <w:widowControl/>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公立医院是医疗服务体系的主体，应当坚持维护公益性、充分发挥提供基本医疗服务以及危急重症和疑难病症诊疗等的骨干作用。主要承担医疗卫生机构人才培养、医学科研、医疗教学，以及法定和政府指定的公共卫生服务、突发事件紧急医疗救援、援外、国防卫生动员、支农、支边和支援社区等任务。</w:t>
      </w:r>
    </w:p>
    <w:p>
      <w:pPr>
        <w:widowControl/>
        <w:snapToGrid w:val="0"/>
        <w:spacing w:line="560" w:lineRule="exact"/>
        <w:ind w:left="0" w:firstLine="640" w:firstLineChars="200"/>
        <w:rPr>
          <w:rFonts w:ascii="仿宋_GB2312" w:eastAsia="仿宋_GB2312"/>
          <w:kern w:val="0"/>
          <w:sz w:val="32"/>
          <w:szCs w:val="32"/>
        </w:rPr>
      </w:pPr>
      <w:r>
        <w:rPr>
          <w:rFonts w:hint="eastAsia" w:ascii="仿宋_GB2312" w:eastAsia="仿宋_GB2312"/>
          <w:kern w:val="0"/>
          <w:sz w:val="32"/>
          <w:szCs w:val="32"/>
          <w:lang w:eastAsia="zh-CN"/>
        </w:rPr>
        <w:t>区属</w:t>
      </w:r>
      <w:r>
        <w:rPr>
          <w:rFonts w:hint="eastAsia" w:ascii="仿宋_GB2312" w:eastAsia="仿宋_GB2312"/>
          <w:kern w:val="0"/>
          <w:sz w:val="32"/>
          <w:szCs w:val="32"/>
        </w:rPr>
        <w:t>公立医院主要承担区域内居民的常见病、多发病诊疗，急危重症抢救与疑难病转诊，培训和指导基层医疗卫生机构人员，相应承担公共卫生服务职能以及突发事件紧急医疗救援等工作，是政府向各区各街道内居民提供基本医疗服务的重要载体。</w:t>
      </w:r>
      <w:r>
        <w:rPr>
          <w:rFonts w:hint="eastAsia" w:ascii="仿宋_GB2312" w:hAnsi="仿宋_GB2312" w:eastAsia="仿宋_GB2312" w:cs="仿宋_GB2312"/>
          <w:b w:val="0"/>
          <w:color w:val="auto"/>
          <w:kern w:val="0"/>
          <w:sz w:val="32"/>
          <w:szCs w:val="32"/>
          <w:lang w:val="en-US" w:eastAsia="zh-CN" w:bidi="ar-SA"/>
        </w:rPr>
        <w:t>两家医院和大学合作共建后，提升危急重症、疑难病的诊治水平。</w:t>
      </w:r>
    </w:p>
    <w:p>
      <w:pPr>
        <w:keepNext w:val="0"/>
        <w:keepLines w:val="0"/>
        <w:pageBreakBefore w:val="0"/>
        <w:widowControl/>
        <w:kinsoku/>
        <w:wordWrap w:val="0"/>
        <w:overflowPunct/>
        <w:topLinePunct w:val="0"/>
        <w:autoSpaceDE/>
        <w:autoSpaceDN/>
        <w:bidi w:val="0"/>
        <w:adjustRightInd/>
        <w:snapToGrid/>
        <w:spacing w:beforeAutospacing="0" w:afterAutospacing="0" w:line="560" w:lineRule="exact"/>
        <w:ind w:left="0" w:leftChars="0" w:right="0" w:rightChars="0" w:firstLine="640" w:firstLineChars="0"/>
        <w:jc w:val="left"/>
        <w:textAlignment w:val="auto"/>
        <w:outlineLvl w:val="9"/>
        <w:rPr>
          <w:rFonts w:hint="eastAsia" w:ascii="黑体" w:hAnsi="黑体" w:eastAsia="黑体" w:cs="黑体"/>
          <w:b w:val="0"/>
          <w:color w:val="auto"/>
          <w:kern w:val="0"/>
          <w:sz w:val="32"/>
          <w:szCs w:val="32"/>
          <w:lang w:val="en-US" w:eastAsia="zh-CN" w:bidi="ar-SA"/>
        </w:rPr>
      </w:pPr>
      <w:r>
        <w:rPr>
          <w:rFonts w:hint="eastAsia" w:ascii="黑体" w:hAnsi="黑体" w:eastAsia="黑体" w:cs="黑体"/>
          <w:b w:val="0"/>
          <w:color w:val="auto"/>
          <w:kern w:val="0"/>
          <w:sz w:val="32"/>
          <w:szCs w:val="32"/>
          <w:lang w:val="en-US" w:eastAsia="zh-CN" w:bidi="ar-SA"/>
        </w:rPr>
        <w:t>二、机构设置</w:t>
      </w:r>
    </w:p>
    <w:p>
      <w:pPr>
        <w:keepNext w:val="0"/>
        <w:keepLines w:val="0"/>
        <w:pageBreakBefore w:val="0"/>
        <w:widowControl/>
        <w:kinsoku/>
        <w:wordWrap w:val="0"/>
        <w:overflowPunct/>
        <w:topLinePunct w:val="0"/>
        <w:autoSpaceDE/>
        <w:autoSpaceDN/>
        <w:bidi w:val="0"/>
        <w:adjustRightInd/>
        <w:snapToGrid/>
        <w:spacing w:beforeAutospacing="0" w:afterAutospacing="0" w:line="560" w:lineRule="exact"/>
        <w:ind w:left="0" w:leftChars="0" w:right="0" w:rightChars="0" w:firstLine="640" w:firstLineChars="0"/>
        <w:jc w:val="left"/>
        <w:textAlignment w:val="auto"/>
        <w:outlineLvl w:val="9"/>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val="0"/>
          <w:color w:val="auto"/>
          <w:kern w:val="0"/>
          <w:sz w:val="32"/>
          <w:szCs w:val="32"/>
          <w:lang w:val="en-US" w:eastAsia="zh-CN" w:bidi="ar-SA"/>
        </w:rPr>
        <w:t>根据辖区市属公立医院集中的现状，分析自身优势，明确区属公立医院功能定位，走差异化发展之路，发展特色专科与优势专科，保障基本医疗服务。到2020年底前，形成中山大学附属第八医院（综合）、广州中医药大学深圳医院（中医）、区妇幼保健院（妇保）、区第二人民医院（综合）、区慢性病防治院（专防）、区风湿病专科医院（专科）、区肛肠专科医院（专科）、区妇儿医院（专科）、区老年人康复护理院（专科）等9家区属公立医院的分布格局。</w:t>
      </w:r>
    </w:p>
    <w:p>
      <w:pPr>
        <w:pageBreakBefore w:val="0"/>
        <w:kinsoku/>
        <w:overflowPunct/>
        <w:topLinePunct w:val="0"/>
        <w:bidi w:val="0"/>
        <w:snapToGrid w:val="0"/>
        <w:spacing w:line="560" w:lineRule="exact"/>
        <w:ind w:left="0" w:leftChars="0" w:firstLine="640" w:firstLineChars="0"/>
        <w:textAlignment w:val="auto"/>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——中山大学附属第八医院。</w:t>
      </w:r>
      <w:r>
        <w:rPr>
          <w:rFonts w:hint="eastAsia" w:ascii="仿宋_GB2312" w:hAnsi="仿宋_GB2312" w:eastAsia="仿宋_GB2312" w:cs="仿宋_GB2312"/>
          <w:b w:val="0"/>
          <w:color w:val="auto"/>
          <w:kern w:val="0"/>
          <w:sz w:val="32"/>
          <w:szCs w:val="32"/>
          <w:lang w:val="en-US" w:eastAsia="zh-CN" w:bidi="ar-SA"/>
        </w:rPr>
        <w:t>按照“区域龙头、上下联动、专科辐射、全面发展”的发展思路，深化与中山大学合作共建，</w:t>
      </w:r>
      <w:r>
        <w:rPr>
          <w:rFonts w:hint="eastAsia" w:ascii="仿宋_GB2312" w:hAnsi="宋体" w:eastAsia="仿宋_GB2312"/>
          <w:color w:val="auto"/>
          <w:sz w:val="32"/>
          <w:szCs w:val="32"/>
        </w:rPr>
        <w:t>按照国内一流、国际先进</w:t>
      </w:r>
      <w:r>
        <w:rPr>
          <w:rFonts w:hint="eastAsia" w:ascii="仿宋_GB2312" w:hAnsi="仿宋_GB2312" w:eastAsia="仿宋_GB2312" w:cs="仿宋_GB2312"/>
          <w:b w:val="0"/>
          <w:color w:val="auto"/>
          <w:kern w:val="0"/>
          <w:sz w:val="32"/>
          <w:szCs w:val="32"/>
          <w:lang w:val="en-US" w:eastAsia="zh-CN" w:bidi="ar-SA"/>
        </w:rPr>
        <w:t>综合性医院</w:t>
      </w:r>
      <w:r>
        <w:rPr>
          <w:rFonts w:hint="eastAsia" w:ascii="仿宋_GB2312" w:hAnsi="宋体" w:eastAsia="仿宋_GB2312"/>
          <w:color w:val="auto"/>
          <w:sz w:val="32"/>
          <w:szCs w:val="32"/>
        </w:rPr>
        <w:t>的发展定位</w:t>
      </w:r>
      <w:r>
        <w:rPr>
          <w:rFonts w:hint="eastAsia" w:ascii="仿宋_GB2312" w:hAnsi="宋体" w:eastAsia="仿宋_GB2312"/>
          <w:color w:val="auto"/>
          <w:sz w:val="32"/>
          <w:szCs w:val="32"/>
          <w:lang w:eastAsia="zh-CN"/>
        </w:rPr>
        <w:t>，</w:t>
      </w:r>
      <w:r>
        <w:rPr>
          <w:rFonts w:hint="eastAsia" w:ascii="仿宋_GB2312" w:hAnsi="仿宋_GB2312" w:eastAsia="仿宋_GB2312" w:cs="仿宋_GB2312"/>
          <w:b w:val="0"/>
          <w:color w:val="auto"/>
          <w:kern w:val="0"/>
          <w:sz w:val="32"/>
          <w:szCs w:val="32"/>
          <w:lang w:val="en-US" w:eastAsia="zh-CN" w:bidi="ar-SA"/>
        </w:rPr>
        <w:t>将医院建设成为专科特色明显，具备高水平的医疗、教学、科研能力的现代化综合三级甲等医院和体现中山大学医科水平的直属附属医院，力争医院成为市区域医疗卫生中心和2020年建成2个国家级重点专科。</w:t>
      </w:r>
    </w:p>
    <w:p>
      <w:pPr>
        <w:widowControl/>
        <w:wordWrap w:val="0"/>
        <w:spacing w:line="560" w:lineRule="exact"/>
        <w:ind w:left="0" w:firstLine="640"/>
        <w:jc w:val="left"/>
        <w:rPr>
          <w:rFonts w:ascii="仿宋_GB2312" w:hAnsi="仿宋_GB2312" w:eastAsia="仿宋_GB2312" w:cs="仿宋_GB2312"/>
          <w:kern w:val="0"/>
          <w:sz w:val="32"/>
          <w:szCs w:val="32"/>
        </w:rPr>
      </w:pPr>
      <w:r>
        <w:rPr>
          <w:rFonts w:hint="eastAsia" w:ascii="仿宋_GB2312" w:hAnsi="仿宋_GB2312" w:eastAsia="仿宋_GB2312" w:cs="仿宋_GB2312"/>
          <w:b/>
          <w:bCs/>
          <w:color w:val="auto"/>
          <w:kern w:val="0"/>
          <w:sz w:val="32"/>
          <w:szCs w:val="32"/>
          <w:lang w:val="en-US" w:eastAsia="zh-CN" w:bidi="ar-SA"/>
        </w:rPr>
        <w:t>——广州中医药大学深圳医院。</w:t>
      </w:r>
      <w:r>
        <w:rPr>
          <w:rFonts w:hint="eastAsia" w:ascii="仿宋_GB2312" w:hAnsi="仿宋_GB2312" w:eastAsia="仿宋_GB2312" w:cs="仿宋_GB2312"/>
          <w:b w:val="0"/>
          <w:color w:val="auto"/>
          <w:kern w:val="0"/>
          <w:sz w:val="32"/>
          <w:szCs w:val="32"/>
          <w:lang w:val="en-US" w:eastAsia="zh-CN" w:bidi="ar-SA"/>
        </w:rPr>
        <w:t>按照“以医疗为主体、科教为两翼、三名为抓手、创新为动力”的发展思路，把医院建设成为中医特色鲜明、综合实力领先的高水平</w:t>
      </w:r>
      <w:r>
        <w:rPr>
          <w:rFonts w:hint="eastAsia" w:ascii="仿宋_GB2312" w:hAnsi="仿宋_GB2312" w:eastAsia="仿宋_GB2312" w:cs="仿宋_GB2312"/>
          <w:kern w:val="0"/>
          <w:sz w:val="32"/>
          <w:szCs w:val="32"/>
        </w:rPr>
        <w:t>大学附属医院和临床医学院。全面推进与广州中医药大学共建管理运行模式，引进大学优势医疗团队，加强学科建设，力争</w:t>
      </w:r>
      <w:r>
        <w:rPr>
          <w:rFonts w:hint="eastAsia" w:ascii="仿宋_GB2312" w:hAnsi="仿宋_GB2312" w:eastAsia="仿宋_GB2312" w:cs="仿宋_GB2312"/>
          <w:kern w:val="0"/>
          <w:sz w:val="32"/>
          <w:szCs w:val="32"/>
          <w:lang w:val="en-US" w:eastAsia="zh-CN"/>
        </w:rPr>
        <w:t>2020</w:t>
      </w:r>
      <w:r>
        <w:rPr>
          <w:rFonts w:hint="eastAsia" w:ascii="仿宋_GB2312" w:hAnsi="仿宋_GB2312" w:eastAsia="仿宋_GB2312" w:cs="仿宋_GB2312"/>
          <w:kern w:val="0"/>
          <w:sz w:val="32"/>
          <w:szCs w:val="32"/>
        </w:rPr>
        <w:t>年建设国家级水平医学重点专科不少于2个</w:t>
      </w:r>
      <w:r>
        <w:rPr>
          <w:rFonts w:hint="eastAsia" w:ascii="仿宋_GB2312" w:hAnsi="仿宋_GB2312" w:eastAsia="仿宋_GB2312" w:cs="仿宋_GB2312"/>
          <w:kern w:val="0"/>
          <w:sz w:val="32"/>
          <w:szCs w:val="32"/>
          <w:lang w:eastAsia="zh-CN"/>
        </w:rPr>
        <w:t>和</w:t>
      </w:r>
      <w:r>
        <w:rPr>
          <w:rFonts w:hint="eastAsia" w:ascii="仿宋_GB2312" w:hAnsi="仿宋_GB2312" w:eastAsia="仿宋_GB2312" w:cs="仿宋_GB2312"/>
          <w:kern w:val="0"/>
          <w:sz w:val="32"/>
          <w:szCs w:val="32"/>
        </w:rPr>
        <w:t>进入全国中医院排名100</w:t>
      </w:r>
      <w:r>
        <w:rPr>
          <w:rFonts w:hint="eastAsia" w:ascii="仿宋_GB2312" w:hAnsi="仿宋_GB2312" w:eastAsia="仿宋_GB2312" w:cs="仿宋_GB2312"/>
          <w:kern w:val="0"/>
          <w:sz w:val="32"/>
          <w:szCs w:val="32"/>
          <w:lang w:eastAsia="zh-CN"/>
        </w:rPr>
        <w:t>强</w:t>
      </w:r>
      <w:r>
        <w:rPr>
          <w:rFonts w:hint="eastAsia" w:ascii="仿宋_GB2312" w:hAnsi="仿宋_GB2312" w:eastAsia="仿宋_GB2312" w:cs="仿宋_GB2312"/>
          <w:kern w:val="0"/>
          <w:sz w:val="32"/>
          <w:szCs w:val="32"/>
        </w:rPr>
        <w:t>。</w:t>
      </w:r>
    </w:p>
    <w:p>
      <w:pPr>
        <w:keepNext w:val="0"/>
        <w:keepLines w:val="0"/>
        <w:pageBreakBefore w:val="0"/>
        <w:widowControl/>
        <w:kinsoku/>
        <w:wordWrap w:val="0"/>
        <w:overflowPunct/>
        <w:topLinePunct w:val="0"/>
        <w:autoSpaceDE/>
        <w:autoSpaceDN/>
        <w:bidi w:val="0"/>
        <w:adjustRightInd/>
        <w:snapToGrid/>
        <w:spacing w:beforeAutospacing="0" w:afterAutospacing="0" w:line="560" w:lineRule="exact"/>
        <w:ind w:left="0" w:leftChars="0" w:right="0" w:rightChars="0" w:firstLine="640" w:firstLineChars="0"/>
        <w:jc w:val="left"/>
        <w:textAlignment w:val="auto"/>
        <w:outlineLvl w:val="9"/>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——区妇幼保健院。</w:t>
      </w:r>
      <w:r>
        <w:rPr>
          <w:rFonts w:hint="eastAsia" w:ascii="仿宋_GB2312" w:hAnsi="仿宋_GB2312" w:eastAsia="仿宋_GB2312" w:cs="仿宋_GB2312"/>
          <w:b w:val="0"/>
          <w:color w:val="auto"/>
          <w:kern w:val="0"/>
          <w:sz w:val="32"/>
          <w:szCs w:val="32"/>
          <w:lang w:val="en-US" w:eastAsia="zh-CN" w:bidi="ar-SA"/>
        </w:rPr>
        <w:t>按照“突出保健、拓展功能、完善临床、提高水平”的发展思路，以妇幼保健、医疗、计划生育服务中心为主，坚持保健与临床相结合的学科建设方向，建设特色鲜明、富有优势、水平领先的妇幼保健机构。</w:t>
      </w:r>
    </w:p>
    <w:p>
      <w:pPr>
        <w:keepNext w:val="0"/>
        <w:keepLines w:val="0"/>
        <w:pageBreakBefore w:val="0"/>
        <w:widowControl/>
        <w:kinsoku/>
        <w:wordWrap w:val="0"/>
        <w:overflowPunct/>
        <w:topLinePunct w:val="0"/>
        <w:autoSpaceDE/>
        <w:autoSpaceDN/>
        <w:bidi w:val="0"/>
        <w:adjustRightInd/>
        <w:snapToGrid/>
        <w:spacing w:beforeAutospacing="0" w:afterAutospacing="0" w:line="560" w:lineRule="exact"/>
        <w:ind w:left="0" w:leftChars="0" w:right="0" w:rightChars="0" w:firstLine="640" w:firstLineChars="0"/>
        <w:jc w:val="left"/>
        <w:textAlignment w:val="auto"/>
        <w:outlineLvl w:val="9"/>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——区第二人民医院。</w:t>
      </w:r>
      <w:r>
        <w:rPr>
          <w:rFonts w:hint="eastAsia" w:ascii="仿宋_GB2312" w:hAnsi="仿宋_GB2312" w:eastAsia="仿宋_GB2312" w:cs="仿宋_GB2312"/>
          <w:b w:val="0"/>
          <w:color w:val="auto"/>
          <w:kern w:val="0"/>
          <w:sz w:val="32"/>
          <w:szCs w:val="32"/>
          <w:lang w:val="en-US" w:eastAsia="zh-CN" w:bidi="ar-SA"/>
        </w:rPr>
        <w:t>按照“立足基本、拓展专科、面向社会、服务梅林”的发展思路，创建二级甲等综合医院。完善二级学科设置，加大人才引进力度，提升医院综合实力，建立以肾病科和老年学科为主的综合型医院。力争2020年新增二级学科2-3个、市级重点专科1个、区级重点专科2-3个。</w:t>
      </w:r>
    </w:p>
    <w:p>
      <w:pPr>
        <w:keepNext w:val="0"/>
        <w:keepLines w:val="0"/>
        <w:pageBreakBefore w:val="0"/>
        <w:widowControl/>
        <w:kinsoku/>
        <w:wordWrap w:val="0"/>
        <w:overflowPunct/>
        <w:topLinePunct w:val="0"/>
        <w:autoSpaceDE/>
        <w:autoSpaceDN/>
        <w:bidi w:val="0"/>
        <w:adjustRightInd/>
        <w:snapToGrid/>
        <w:spacing w:beforeAutospacing="0" w:afterAutospacing="0" w:line="560" w:lineRule="exact"/>
        <w:ind w:left="0" w:leftChars="0" w:right="0" w:rightChars="0" w:firstLine="640" w:firstLineChars="0"/>
        <w:jc w:val="left"/>
        <w:textAlignment w:val="auto"/>
        <w:outlineLvl w:val="9"/>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——区慢性病防治院。</w:t>
      </w:r>
      <w:r>
        <w:rPr>
          <w:rFonts w:hint="eastAsia" w:ascii="仿宋_GB2312" w:hAnsi="仿宋_GB2312" w:eastAsia="仿宋_GB2312" w:cs="仿宋_GB2312"/>
          <w:b w:val="0"/>
          <w:color w:val="auto"/>
          <w:kern w:val="0"/>
          <w:sz w:val="32"/>
          <w:szCs w:val="32"/>
          <w:lang w:val="en-US" w:eastAsia="zh-CN" w:bidi="ar-SA"/>
        </w:rPr>
        <w:t>按照“突出防控、强化专科、防治结合、协调发展”的发展思路，以慢病管理、心理卫生、医疗为主，强化公共卫生人员和临床专科人员队伍建设，采取“针对三种人群、抓好三个环节、实施三种手段”的防治策略，</w:t>
      </w:r>
      <w:r>
        <w:rPr>
          <w:rFonts w:hint="eastAsia" w:ascii="仿宋_GB2312" w:hAnsi="仿宋_GB2312" w:eastAsia="仿宋_GB2312" w:cs="仿宋_GB2312"/>
          <w:color w:val="auto"/>
          <w:kern w:val="0"/>
          <w:sz w:val="32"/>
          <w:szCs w:val="32"/>
        </w:rPr>
        <w:t>建设与辖区社会经济发展水平相适应、“防、治、管、研”一体的慢性病康复中心和心理卫生服务中心。</w:t>
      </w:r>
    </w:p>
    <w:p>
      <w:pPr>
        <w:keepNext w:val="0"/>
        <w:keepLines w:val="0"/>
        <w:pageBreakBefore w:val="0"/>
        <w:widowControl/>
        <w:kinsoku/>
        <w:wordWrap w:val="0"/>
        <w:overflowPunct/>
        <w:topLinePunct w:val="0"/>
        <w:autoSpaceDE/>
        <w:autoSpaceDN/>
        <w:bidi w:val="0"/>
        <w:adjustRightInd/>
        <w:snapToGrid/>
        <w:spacing w:beforeAutospacing="0" w:afterAutospacing="0" w:line="560" w:lineRule="exact"/>
        <w:ind w:left="0" w:leftChars="0" w:right="0" w:rightChars="0" w:firstLine="640" w:firstLineChars="0"/>
        <w:jc w:val="left"/>
        <w:textAlignment w:val="auto"/>
        <w:outlineLvl w:val="9"/>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——区属其他专科医院。</w:t>
      </w:r>
      <w:r>
        <w:rPr>
          <w:rFonts w:hint="eastAsia" w:ascii="仿宋_GB2312" w:hAnsi="仿宋_GB2312" w:eastAsia="仿宋_GB2312" w:cs="仿宋_GB2312"/>
          <w:b w:val="0"/>
          <w:color w:val="auto"/>
          <w:kern w:val="0"/>
          <w:sz w:val="32"/>
          <w:szCs w:val="32"/>
          <w:lang w:val="en-US" w:eastAsia="zh-CN" w:bidi="ar-SA"/>
        </w:rPr>
        <w:t xml:space="preserve">按照“专科发展、服务群众、突出特色、优质服务”的发展思路。选址安托山，按三级专科医院规模新建妇儿医院，承担辖区妇女、儿童常见病、多发病的诊疗工作，满足不断增长的妇女及儿童医疗服务需求。选址梅林，新建以老人康复护理为主的老人康复护理院。将现有的风湿病专科医院、肛肠专科医院独立运作，创建以风湿病专科和肛肠专科为主的二级专科医院，力争专科优势处于华南地区先进行列。    </w:t>
      </w:r>
    </w:p>
    <w:p>
      <w:pPr>
        <w:keepNext w:val="0"/>
        <w:keepLines w:val="0"/>
        <w:pageBreakBefore w:val="0"/>
        <w:widowControl/>
        <w:kinsoku/>
        <w:wordWrap w:val="0"/>
        <w:overflowPunct/>
        <w:topLinePunct w:val="0"/>
        <w:autoSpaceDE/>
        <w:autoSpaceDN/>
        <w:bidi w:val="0"/>
        <w:adjustRightInd/>
        <w:snapToGrid/>
        <w:spacing w:beforeAutospacing="0" w:afterAutospacing="0" w:line="560" w:lineRule="exact"/>
        <w:ind w:left="0" w:leftChars="0" w:right="0" w:rightChars="0" w:firstLine="640" w:firstLineChars="0"/>
        <w:jc w:val="left"/>
        <w:textAlignment w:val="auto"/>
        <w:outlineLvl w:val="9"/>
        <w:rPr>
          <w:rFonts w:hint="eastAsia" w:ascii="黑体" w:hAnsi="黑体" w:eastAsia="黑体" w:cs="黑体"/>
          <w:b w:val="0"/>
          <w:color w:val="auto"/>
          <w:kern w:val="0"/>
          <w:sz w:val="32"/>
          <w:szCs w:val="32"/>
          <w:lang w:val="en-US" w:eastAsia="zh-CN" w:bidi="ar-SA"/>
        </w:rPr>
      </w:pPr>
      <w:r>
        <w:rPr>
          <w:rFonts w:hint="eastAsia" w:ascii="黑体" w:hAnsi="黑体" w:eastAsia="黑体" w:cs="黑体"/>
          <w:b w:val="0"/>
          <w:color w:val="auto"/>
          <w:kern w:val="0"/>
          <w:sz w:val="32"/>
          <w:szCs w:val="32"/>
          <w:lang w:val="en-US" w:eastAsia="zh-CN" w:bidi="ar-SA"/>
        </w:rPr>
        <w:t>三、床位配置</w:t>
      </w:r>
    </w:p>
    <w:p>
      <w:pPr>
        <w:snapToGrid w:val="0"/>
        <w:spacing w:line="560" w:lineRule="exact"/>
        <w:ind w:left="0" w:leftChars="0" w:firstLine="640" w:firstLineChars="200"/>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val="0"/>
          <w:color w:val="auto"/>
          <w:kern w:val="0"/>
          <w:sz w:val="32"/>
          <w:szCs w:val="32"/>
          <w:lang w:val="en-US" w:eastAsia="zh-CN" w:bidi="ar-SA"/>
        </w:rPr>
        <w:t>根据常住人口规模合理配置公立医院床位规模。建立以病种结构、服务辐射范围、功能任务完成情况、人才培养、工作效率为核心的公立医院床位调控机制。</w:t>
      </w:r>
      <w:r>
        <w:rPr>
          <w:rFonts w:hint="eastAsia" w:ascii="仿宋_GB2312" w:eastAsia="仿宋_GB2312"/>
          <w:kern w:val="0"/>
          <w:sz w:val="32"/>
          <w:szCs w:val="32"/>
        </w:rPr>
        <w:t>到2020年，</w:t>
      </w:r>
      <w:r>
        <w:rPr>
          <w:rFonts w:hint="eastAsia" w:ascii="仿宋_GB2312" w:eastAsia="仿宋_GB2312"/>
          <w:kern w:val="0"/>
          <w:sz w:val="32"/>
          <w:szCs w:val="32"/>
          <w:lang w:eastAsia="zh-CN"/>
        </w:rPr>
        <w:t>区属公立医院</w:t>
      </w:r>
      <w:r>
        <w:rPr>
          <w:rFonts w:hint="eastAsia" w:ascii="仿宋_GB2312" w:hAnsi="宋体" w:eastAsia="仿宋_GB2312" w:cs="Courier New"/>
          <w:sz w:val="32"/>
          <w:szCs w:val="32"/>
        </w:rPr>
        <w:t>规划增加床位</w:t>
      </w:r>
      <w:r>
        <w:rPr>
          <w:rFonts w:hint="eastAsia" w:ascii="仿宋_GB2312" w:hAnsi="宋体" w:eastAsia="仿宋_GB2312" w:cs="Courier New"/>
          <w:sz w:val="32"/>
          <w:szCs w:val="32"/>
          <w:lang w:val="en-US" w:eastAsia="zh-CN"/>
        </w:rPr>
        <w:t>1848</w:t>
      </w:r>
      <w:r>
        <w:rPr>
          <w:rFonts w:hint="eastAsia" w:ascii="仿宋_GB2312" w:hAnsi="宋体" w:eastAsia="仿宋_GB2312" w:cs="Courier New"/>
          <w:sz w:val="32"/>
          <w:szCs w:val="32"/>
        </w:rPr>
        <w:t>张</w:t>
      </w:r>
      <w:r>
        <w:rPr>
          <w:rFonts w:hint="eastAsia" w:ascii="仿宋_GB2312" w:hAnsi="宋体" w:eastAsia="仿宋_GB2312" w:cs="Courier New"/>
          <w:sz w:val="32"/>
          <w:szCs w:val="32"/>
          <w:lang w:eastAsia="zh-CN"/>
        </w:rPr>
        <w:t>，</w:t>
      </w:r>
      <w:r>
        <w:rPr>
          <w:rFonts w:hint="eastAsia" w:ascii="仿宋_GB2312" w:eastAsia="仿宋_GB2312"/>
          <w:kern w:val="0"/>
          <w:sz w:val="32"/>
          <w:szCs w:val="32"/>
        </w:rPr>
        <w:t>每千常住人口</w:t>
      </w:r>
      <w:r>
        <w:rPr>
          <w:rFonts w:hint="eastAsia" w:ascii="仿宋_GB2312" w:eastAsia="仿宋_GB2312"/>
          <w:kern w:val="0"/>
          <w:sz w:val="32"/>
          <w:szCs w:val="32"/>
          <w:lang w:eastAsia="zh-CN"/>
        </w:rPr>
        <w:t>医疗卫生机构</w:t>
      </w:r>
      <w:r>
        <w:rPr>
          <w:rFonts w:hint="eastAsia" w:ascii="仿宋_GB2312" w:eastAsia="仿宋_GB2312"/>
          <w:kern w:val="0"/>
          <w:sz w:val="32"/>
          <w:szCs w:val="32"/>
        </w:rPr>
        <w:t>床位数</w:t>
      </w:r>
      <w:r>
        <w:rPr>
          <w:rFonts w:hint="eastAsia" w:ascii="仿宋_GB2312" w:eastAsia="仿宋_GB2312"/>
          <w:kern w:val="0"/>
          <w:sz w:val="32"/>
          <w:szCs w:val="32"/>
          <w:lang w:val="en-US" w:eastAsia="zh-CN"/>
        </w:rPr>
        <w:t>5.61</w:t>
      </w:r>
      <w:r>
        <w:rPr>
          <w:rFonts w:hint="eastAsia" w:ascii="仿宋_GB2312" w:eastAsia="仿宋_GB2312"/>
          <w:kern w:val="0"/>
          <w:sz w:val="32"/>
          <w:szCs w:val="32"/>
        </w:rPr>
        <w:t>张（</w:t>
      </w:r>
      <w:r>
        <w:rPr>
          <w:rFonts w:hint="eastAsia" w:ascii="仿宋_GB2312" w:eastAsia="仿宋_GB2312"/>
          <w:kern w:val="0"/>
          <w:sz w:val="32"/>
          <w:szCs w:val="32"/>
          <w:lang w:eastAsia="zh-CN"/>
        </w:rPr>
        <w:t>含市属医院床位数</w:t>
      </w:r>
      <w:r>
        <w:rPr>
          <w:rFonts w:hint="eastAsia" w:ascii="仿宋_GB2312" w:eastAsia="仿宋_GB2312"/>
          <w:kern w:val="0"/>
          <w:sz w:val="32"/>
          <w:szCs w:val="32"/>
        </w:rPr>
        <w:t>）。</w:t>
      </w:r>
    </w:p>
    <w:p>
      <w:pPr>
        <w:keepNext w:val="0"/>
        <w:keepLines w:val="0"/>
        <w:pageBreakBefore w:val="0"/>
        <w:widowControl/>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2020年福田区区属公立医院床位配置情况</w:t>
      </w:r>
    </w:p>
    <w:p>
      <w:pPr>
        <w:keepNext w:val="0"/>
        <w:keepLines w:val="0"/>
        <w:pageBreakBefore w:val="0"/>
        <w:widowControl/>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right"/>
        <w:textAlignment w:val="auto"/>
        <w:outlineLvl w:val="9"/>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val="0"/>
          <w:color w:val="auto"/>
          <w:kern w:val="0"/>
          <w:sz w:val="32"/>
          <w:szCs w:val="32"/>
          <w:lang w:val="en-US" w:eastAsia="zh-CN" w:bidi="ar-SA"/>
        </w:rPr>
        <w:t>单位：张</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3420"/>
        <w:gridCol w:w="2190"/>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4"/>
                <w:szCs w:val="24"/>
                <w:lang w:val="en-US" w:eastAsia="zh-CN" w:bidi="ar-SA"/>
              </w:rPr>
            </w:pPr>
            <w:r>
              <w:rPr>
                <w:rFonts w:hint="eastAsia" w:ascii="仿宋_GB2312" w:hAnsi="仿宋_GB2312" w:eastAsia="仿宋_GB2312" w:cs="仿宋_GB2312"/>
                <w:b/>
                <w:bCs/>
                <w:color w:val="auto"/>
                <w:kern w:val="0"/>
                <w:sz w:val="24"/>
                <w:szCs w:val="24"/>
                <w:lang w:val="en-US" w:eastAsia="zh-CN" w:bidi="ar-SA"/>
              </w:rPr>
              <w:t>序号</w:t>
            </w:r>
          </w:p>
        </w:tc>
        <w:tc>
          <w:tcPr>
            <w:tcW w:w="3420" w:type="dxa"/>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4"/>
                <w:szCs w:val="24"/>
                <w:lang w:val="en-US" w:eastAsia="zh-CN" w:bidi="ar-SA"/>
              </w:rPr>
            </w:pPr>
            <w:r>
              <w:rPr>
                <w:rFonts w:hint="eastAsia" w:ascii="仿宋_GB2312" w:hAnsi="仿宋_GB2312" w:eastAsia="仿宋_GB2312" w:cs="仿宋_GB2312"/>
                <w:b/>
                <w:bCs/>
                <w:color w:val="auto"/>
                <w:kern w:val="0"/>
                <w:sz w:val="24"/>
                <w:szCs w:val="24"/>
                <w:lang w:val="en-US" w:eastAsia="zh-CN" w:bidi="ar-SA"/>
              </w:rPr>
              <w:t>医院名称</w:t>
            </w:r>
          </w:p>
        </w:tc>
        <w:tc>
          <w:tcPr>
            <w:tcW w:w="2190" w:type="dxa"/>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4"/>
                <w:szCs w:val="24"/>
                <w:lang w:val="en-US" w:eastAsia="zh-CN" w:bidi="ar-SA"/>
              </w:rPr>
            </w:pPr>
            <w:r>
              <w:rPr>
                <w:rFonts w:hint="eastAsia" w:ascii="仿宋_GB2312" w:hAnsi="仿宋_GB2312" w:eastAsia="仿宋_GB2312" w:cs="仿宋_GB2312"/>
                <w:b/>
                <w:bCs/>
                <w:color w:val="auto"/>
                <w:kern w:val="0"/>
                <w:sz w:val="24"/>
                <w:szCs w:val="24"/>
                <w:lang w:val="en-US" w:eastAsia="zh-CN" w:bidi="ar-SA"/>
              </w:rPr>
              <w:t>2015年编制床位数</w:t>
            </w:r>
          </w:p>
        </w:tc>
        <w:tc>
          <w:tcPr>
            <w:tcW w:w="2191" w:type="dxa"/>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4"/>
                <w:szCs w:val="24"/>
                <w:lang w:val="en-US" w:eastAsia="zh-CN" w:bidi="ar-SA"/>
              </w:rPr>
            </w:pPr>
            <w:r>
              <w:rPr>
                <w:rFonts w:hint="eastAsia" w:ascii="仿宋_GB2312" w:hAnsi="仿宋_GB2312" w:eastAsia="仿宋_GB2312" w:cs="仿宋_GB2312"/>
                <w:b/>
                <w:bCs/>
                <w:color w:val="auto"/>
                <w:kern w:val="0"/>
                <w:sz w:val="24"/>
                <w:szCs w:val="24"/>
                <w:lang w:val="en-US" w:eastAsia="zh-CN" w:bidi="ar-SA"/>
              </w:rPr>
              <w:t>2020年规划编制床位数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top"/>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4"/>
                <w:szCs w:val="24"/>
                <w:lang w:val="en-US" w:eastAsia="zh-CN" w:bidi="ar-SA"/>
              </w:rPr>
            </w:pPr>
            <w:r>
              <w:rPr>
                <w:rFonts w:hint="eastAsia" w:ascii="仿宋_GB2312" w:hAnsi="仿宋_GB2312" w:eastAsia="仿宋_GB2312" w:cs="仿宋_GB2312"/>
                <w:b w:val="0"/>
                <w:color w:val="auto"/>
                <w:kern w:val="0"/>
                <w:sz w:val="24"/>
                <w:szCs w:val="24"/>
                <w:lang w:val="en-US" w:eastAsia="zh-CN" w:bidi="ar-SA"/>
              </w:rPr>
              <w:t>1</w:t>
            </w:r>
          </w:p>
        </w:tc>
        <w:tc>
          <w:tcPr>
            <w:tcW w:w="3420" w:type="dxa"/>
            <w:vAlign w:val="top"/>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4"/>
                <w:szCs w:val="24"/>
                <w:lang w:val="en-US" w:eastAsia="zh-CN" w:bidi="ar-SA"/>
              </w:rPr>
            </w:pPr>
            <w:r>
              <w:rPr>
                <w:rFonts w:hint="eastAsia" w:ascii="仿宋_GB2312" w:hAnsi="仿宋_GB2312" w:eastAsia="仿宋_GB2312" w:cs="仿宋_GB2312"/>
                <w:b w:val="0"/>
                <w:color w:val="auto"/>
                <w:kern w:val="0"/>
                <w:sz w:val="24"/>
                <w:szCs w:val="24"/>
                <w:lang w:val="en-US" w:eastAsia="zh-CN" w:bidi="ar-SA"/>
              </w:rPr>
              <w:t>中山大学附属第八医院</w:t>
            </w:r>
          </w:p>
        </w:tc>
        <w:tc>
          <w:tcPr>
            <w:tcW w:w="2190" w:type="dxa"/>
            <w:vAlign w:val="top"/>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4"/>
                <w:szCs w:val="24"/>
                <w:lang w:val="en-US" w:eastAsia="zh-CN" w:bidi="ar-SA"/>
              </w:rPr>
            </w:pPr>
            <w:r>
              <w:rPr>
                <w:rFonts w:hint="eastAsia" w:ascii="仿宋_GB2312" w:hAnsi="仿宋_GB2312" w:eastAsia="仿宋_GB2312" w:cs="仿宋_GB2312"/>
                <w:b w:val="0"/>
                <w:color w:val="auto"/>
                <w:kern w:val="0"/>
                <w:sz w:val="24"/>
                <w:szCs w:val="24"/>
                <w:lang w:val="en-US" w:eastAsia="zh-CN" w:bidi="ar-SA"/>
              </w:rPr>
              <w:t>562</w:t>
            </w:r>
          </w:p>
        </w:tc>
        <w:tc>
          <w:tcPr>
            <w:tcW w:w="2191" w:type="dxa"/>
            <w:vAlign w:val="top"/>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4"/>
                <w:szCs w:val="24"/>
                <w:lang w:val="en-US" w:eastAsia="zh-CN" w:bidi="ar-SA"/>
              </w:rPr>
            </w:pPr>
            <w:r>
              <w:rPr>
                <w:rFonts w:hint="eastAsia" w:ascii="仿宋_GB2312" w:hAnsi="仿宋_GB2312" w:eastAsia="仿宋_GB2312" w:cs="仿宋_GB2312"/>
                <w:b w:val="0"/>
                <w:color w:val="auto"/>
                <w:kern w:val="0"/>
                <w:sz w:val="24"/>
                <w:szCs w:val="24"/>
                <w:lang w:val="en-US" w:eastAsia="zh-CN" w:bidi="ar-SA"/>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top"/>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4"/>
                <w:szCs w:val="24"/>
                <w:lang w:val="en-US" w:eastAsia="zh-CN" w:bidi="ar-SA"/>
              </w:rPr>
            </w:pPr>
            <w:r>
              <w:rPr>
                <w:rFonts w:hint="eastAsia" w:ascii="仿宋_GB2312" w:hAnsi="仿宋_GB2312" w:eastAsia="仿宋_GB2312" w:cs="仿宋_GB2312"/>
                <w:b w:val="0"/>
                <w:color w:val="auto"/>
                <w:kern w:val="0"/>
                <w:sz w:val="24"/>
                <w:szCs w:val="24"/>
                <w:lang w:val="en-US" w:eastAsia="zh-CN" w:bidi="ar-SA"/>
              </w:rPr>
              <w:t>2</w:t>
            </w:r>
          </w:p>
        </w:tc>
        <w:tc>
          <w:tcPr>
            <w:tcW w:w="3420" w:type="dxa"/>
            <w:vAlign w:val="top"/>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4"/>
                <w:szCs w:val="24"/>
                <w:lang w:val="en-US" w:eastAsia="zh-CN" w:bidi="ar-SA"/>
              </w:rPr>
            </w:pPr>
            <w:r>
              <w:rPr>
                <w:rFonts w:hint="eastAsia" w:ascii="仿宋_GB2312" w:hAnsi="仿宋_GB2312" w:eastAsia="仿宋_GB2312" w:cs="仿宋_GB2312"/>
                <w:b w:val="0"/>
                <w:color w:val="auto"/>
                <w:kern w:val="0"/>
                <w:sz w:val="24"/>
                <w:szCs w:val="24"/>
                <w:lang w:val="en-US" w:eastAsia="zh-CN" w:bidi="ar-SA"/>
              </w:rPr>
              <w:t>广州中医药大学深圳医院</w:t>
            </w:r>
          </w:p>
        </w:tc>
        <w:tc>
          <w:tcPr>
            <w:tcW w:w="2190" w:type="dxa"/>
            <w:vAlign w:val="top"/>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4"/>
                <w:szCs w:val="24"/>
                <w:lang w:val="en-US" w:eastAsia="zh-CN" w:bidi="ar-SA"/>
              </w:rPr>
            </w:pPr>
            <w:r>
              <w:rPr>
                <w:rFonts w:hint="eastAsia" w:ascii="仿宋_GB2312" w:hAnsi="仿宋_GB2312" w:eastAsia="仿宋_GB2312" w:cs="仿宋_GB2312"/>
                <w:b w:val="0"/>
                <w:color w:val="auto"/>
                <w:kern w:val="0"/>
                <w:sz w:val="24"/>
                <w:szCs w:val="24"/>
                <w:lang w:val="en-US" w:eastAsia="zh-CN" w:bidi="ar-SA"/>
              </w:rPr>
              <w:t>400</w:t>
            </w:r>
          </w:p>
        </w:tc>
        <w:tc>
          <w:tcPr>
            <w:tcW w:w="2191" w:type="dxa"/>
            <w:vAlign w:val="top"/>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4"/>
                <w:szCs w:val="24"/>
                <w:lang w:val="en-US" w:eastAsia="zh-CN" w:bidi="ar-SA"/>
              </w:rPr>
            </w:pPr>
            <w:r>
              <w:rPr>
                <w:rFonts w:hint="eastAsia" w:ascii="仿宋_GB2312" w:hAnsi="仿宋_GB2312" w:eastAsia="仿宋_GB2312" w:cs="仿宋_GB2312"/>
                <w:b w:val="0"/>
                <w:color w:val="auto"/>
                <w:kern w:val="0"/>
                <w:sz w:val="24"/>
                <w:szCs w:val="24"/>
                <w:lang w:val="en-US" w:eastAsia="zh-CN" w:bidi="ar-SA"/>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top"/>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4"/>
                <w:szCs w:val="24"/>
                <w:lang w:val="en-US" w:eastAsia="zh-CN" w:bidi="ar-SA"/>
              </w:rPr>
            </w:pPr>
            <w:r>
              <w:rPr>
                <w:rFonts w:hint="eastAsia" w:ascii="仿宋_GB2312" w:hAnsi="仿宋_GB2312" w:eastAsia="仿宋_GB2312" w:cs="仿宋_GB2312"/>
                <w:b w:val="0"/>
                <w:color w:val="auto"/>
                <w:kern w:val="0"/>
                <w:sz w:val="24"/>
                <w:szCs w:val="24"/>
                <w:lang w:val="en-US" w:eastAsia="zh-CN" w:bidi="ar-SA"/>
              </w:rPr>
              <w:t>3</w:t>
            </w:r>
          </w:p>
        </w:tc>
        <w:tc>
          <w:tcPr>
            <w:tcW w:w="3420" w:type="dxa"/>
            <w:vAlign w:val="top"/>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4"/>
                <w:szCs w:val="24"/>
                <w:lang w:val="en-US" w:eastAsia="zh-CN" w:bidi="ar-SA"/>
              </w:rPr>
            </w:pPr>
            <w:r>
              <w:rPr>
                <w:rFonts w:hint="eastAsia" w:ascii="仿宋_GB2312" w:hAnsi="仿宋_GB2312" w:eastAsia="仿宋_GB2312" w:cs="仿宋_GB2312"/>
                <w:b w:val="0"/>
                <w:color w:val="auto"/>
                <w:kern w:val="0"/>
                <w:sz w:val="24"/>
                <w:szCs w:val="24"/>
                <w:lang w:val="en-US" w:eastAsia="zh-CN" w:bidi="ar-SA"/>
              </w:rPr>
              <w:t>福田区妇幼保健院</w:t>
            </w:r>
          </w:p>
        </w:tc>
        <w:tc>
          <w:tcPr>
            <w:tcW w:w="2190" w:type="dxa"/>
            <w:vAlign w:val="top"/>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4"/>
                <w:szCs w:val="24"/>
                <w:lang w:val="en-US" w:eastAsia="zh-CN" w:bidi="ar-SA"/>
              </w:rPr>
            </w:pPr>
            <w:r>
              <w:rPr>
                <w:rFonts w:hint="eastAsia" w:ascii="仿宋_GB2312" w:hAnsi="仿宋_GB2312" w:eastAsia="仿宋_GB2312" w:cs="仿宋_GB2312"/>
                <w:b w:val="0"/>
                <w:color w:val="auto"/>
                <w:kern w:val="0"/>
                <w:sz w:val="24"/>
                <w:szCs w:val="24"/>
                <w:lang w:val="en-US" w:eastAsia="zh-CN" w:bidi="ar-SA"/>
              </w:rPr>
              <w:t>160</w:t>
            </w:r>
          </w:p>
        </w:tc>
        <w:tc>
          <w:tcPr>
            <w:tcW w:w="2191" w:type="dxa"/>
            <w:vAlign w:val="top"/>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4"/>
                <w:szCs w:val="24"/>
                <w:lang w:val="en-US" w:eastAsia="zh-CN" w:bidi="ar-SA"/>
              </w:rPr>
            </w:pPr>
            <w:r>
              <w:rPr>
                <w:rFonts w:hint="eastAsia" w:ascii="仿宋_GB2312" w:hAnsi="仿宋_GB2312" w:eastAsia="仿宋_GB2312" w:cs="仿宋_GB2312"/>
                <w:b w:val="0"/>
                <w:color w:val="auto"/>
                <w:kern w:val="0"/>
                <w:sz w:val="24"/>
                <w:szCs w:val="24"/>
                <w:lang w:val="en-US" w:eastAsia="zh-CN" w:bidi="ar-SA"/>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top"/>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4"/>
                <w:szCs w:val="24"/>
                <w:lang w:val="en-US" w:eastAsia="zh-CN" w:bidi="ar-SA"/>
              </w:rPr>
            </w:pPr>
            <w:r>
              <w:rPr>
                <w:rFonts w:hint="eastAsia" w:ascii="仿宋_GB2312" w:hAnsi="仿宋_GB2312" w:eastAsia="仿宋_GB2312" w:cs="仿宋_GB2312"/>
                <w:b w:val="0"/>
                <w:color w:val="auto"/>
                <w:kern w:val="0"/>
                <w:sz w:val="24"/>
                <w:szCs w:val="24"/>
                <w:lang w:val="en-US" w:eastAsia="zh-CN" w:bidi="ar-SA"/>
              </w:rPr>
              <w:t>4</w:t>
            </w:r>
          </w:p>
        </w:tc>
        <w:tc>
          <w:tcPr>
            <w:tcW w:w="3420" w:type="dxa"/>
            <w:vAlign w:val="top"/>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4"/>
                <w:szCs w:val="24"/>
                <w:lang w:val="en-US" w:eastAsia="zh-CN" w:bidi="ar-SA"/>
              </w:rPr>
            </w:pPr>
            <w:r>
              <w:rPr>
                <w:rFonts w:hint="eastAsia" w:ascii="仿宋_GB2312" w:hAnsi="仿宋_GB2312" w:eastAsia="仿宋_GB2312" w:cs="仿宋_GB2312"/>
                <w:b w:val="0"/>
                <w:color w:val="auto"/>
                <w:kern w:val="0"/>
                <w:sz w:val="24"/>
                <w:szCs w:val="24"/>
                <w:lang w:val="en-US" w:eastAsia="zh-CN" w:bidi="ar-SA"/>
              </w:rPr>
              <w:t>福田区第二人民医院</w:t>
            </w:r>
          </w:p>
        </w:tc>
        <w:tc>
          <w:tcPr>
            <w:tcW w:w="2190" w:type="dxa"/>
            <w:vAlign w:val="top"/>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4"/>
                <w:szCs w:val="24"/>
                <w:lang w:val="en-US" w:eastAsia="zh-CN" w:bidi="ar-SA"/>
              </w:rPr>
            </w:pPr>
            <w:r>
              <w:rPr>
                <w:rFonts w:hint="eastAsia" w:ascii="仿宋_GB2312" w:hAnsi="仿宋_GB2312" w:eastAsia="仿宋_GB2312" w:cs="仿宋_GB2312"/>
                <w:b w:val="0"/>
                <w:color w:val="auto"/>
                <w:kern w:val="0"/>
                <w:sz w:val="24"/>
                <w:szCs w:val="24"/>
                <w:lang w:val="en-US" w:eastAsia="zh-CN" w:bidi="ar-SA"/>
              </w:rPr>
              <w:t>130</w:t>
            </w:r>
          </w:p>
        </w:tc>
        <w:tc>
          <w:tcPr>
            <w:tcW w:w="2191" w:type="dxa"/>
            <w:vAlign w:val="top"/>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4"/>
                <w:szCs w:val="24"/>
                <w:lang w:val="en-US" w:eastAsia="zh-CN" w:bidi="ar-SA"/>
              </w:rPr>
            </w:pPr>
            <w:r>
              <w:rPr>
                <w:rFonts w:hint="eastAsia" w:ascii="仿宋_GB2312" w:hAnsi="仿宋_GB2312" w:eastAsia="仿宋_GB2312" w:cs="仿宋_GB2312"/>
                <w:b w:val="0"/>
                <w:color w:val="auto"/>
                <w:kern w:val="0"/>
                <w:sz w:val="24"/>
                <w:szCs w:val="24"/>
                <w:lang w:val="en-US" w:eastAsia="zh-CN" w:bidi="ar-SA"/>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top"/>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4"/>
                <w:szCs w:val="24"/>
                <w:lang w:val="en-US" w:eastAsia="zh-CN" w:bidi="ar-SA"/>
              </w:rPr>
            </w:pPr>
            <w:r>
              <w:rPr>
                <w:rFonts w:hint="eastAsia" w:ascii="仿宋_GB2312" w:hAnsi="仿宋_GB2312" w:eastAsia="仿宋_GB2312" w:cs="仿宋_GB2312"/>
                <w:b w:val="0"/>
                <w:color w:val="auto"/>
                <w:kern w:val="0"/>
                <w:sz w:val="24"/>
                <w:szCs w:val="24"/>
                <w:lang w:val="en-US" w:eastAsia="zh-CN" w:bidi="ar-SA"/>
              </w:rPr>
              <w:t>5</w:t>
            </w:r>
          </w:p>
        </w:tc>
        <w:tc>
          <w:tcPr>
            <w:tcW w:w="3420" w:type="dxa"/>
            <w:vAlign w:val="top"/>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4"/>
                <w:szCs w:val="24"/>
                <w:lang w:val="en-US" w:eastAsia="zh-CN" w:bidi="ar-SA"/>
              </w:rPr>
            </w:pPr>
            <w:r>
              <w:rPr>
                <w:rFonts w:hint="eastAsia" w:ascii="仿宋_GB2312" w:hAnsi="仿宋_GB2312" w:eastAsia="仿宋_GB2312" w:cs="仿宋_GB2312"/>
                <w:b w:val="0"/>
                <w:color w:val="auto"/>
                <w:kern w:val="0"/>
                <w:sz w:val="24"/>
                <w:szCs w:val="24"/>
                <w:lang w:val="en-US" w:eastAsia="zh-CN" w:bidi="ar-SA"/>
              </w:rPr>
              <w:t>福田区风湿病专科医院</w:t>
            </w:r>
          </w:p>
        </w:tc>
        <w:tc>
          <w:tcPr>
            <w:tcW w:w="2190" w:type="dxa"/>
            <w:vAlign w:val="top"/>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4"/>
                <w:szCs w:val="24"/>
                <w:lang w:val="en-US" w:eastAsia="zh-CN" w:bidi="ar-SA"/>
              </w:rPr>
            </w:pPr>
            <w:r>
              <w:rPr>
                <w:rFonts w:hint="eastAsia" w:ascii="仿宋_GB2312" w:hAnsi="仿宋_GB2312" w:eastAsia="仿宋_GB2312" w:cs="仿宋_GB2312"/>
                <w:b w:val="0"/>
                <w:color w:val="auto"/>
                <w:kern w:val="0"/>
                <w:sz w:val="24"/>
                <w:szCs w:val="24"/>
                <w:lang w:val="en-US" w:eastAsia="zh-CN" w:bidi="ar-SA"/>
              </w:rPr>
              <w:t>80</w:t>
            </w:r>
          </w:p>
        </w:tc>
        <w:tc>
          <w:tcPr>
            <w:tcW w:w="2191" w:type="dxa"/>
            <w:vAlign w:val="top"/>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4"/>
                <w:szCs w:val="24"/>
                <w:lang w:val="en-US" w:eastAsia="zh-CN" w:bidi="ar-SA"/>
              </w:rPr>
            </w:pPr>
            <w:r>
              <w:rPr>
                <w:rFonts w:hint="eastAsia" w:ascii="仿宋_GB2312" w:hAnsi="仿宋_GB2312" w:eastAsia="仿宋_GB2312" w:cs="仿宋_GB2312"/>
                <w:b w:val="0"/>
                <w:color w:val="auto"/>
                <w:kern w:val="0"/>
                <w:sz w:val="24"/>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top"/>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4"/>
                <w:szCs w:val="24"/>
                <w:lang w:val="en-US" w:eastAsia="zh-CN" w:bidi="ar-SA"/>
              </w:rPr>
            </w:pPr>
            <w:r>
              <w:rPr>
                <w:rFonts w:hint="eastAsia" w:ascii="仿宋_GB2312" w:hAnsi="仿宋_GB2312" w:eastAsia="仿宋_GB2312" w:cs="仿宋_GB2312"/>
                <w:b w:val="0"/>
                <w:color w:val="auto"/>
                <w:kern w:val="0"/>
                <w:sz w:val="24"/>
                <w:szCs w:val="24"/>
                <w:lang w:val="en-US" w:eastAsia="zh-CN" w:bidi="ar-SA"/>
              </w:rPr>
              <w:t>6</w:t>
            </w:r>
          </w:p>
        </w:tc>
        <w:tc>
          <w:tcPr>
            <w:tcW w:w="3420" w:type="dxa"/>
            <w:vAlign w:val="top"/>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4"/>
                <w:szCs w:val="24"/>
                <w:lang w:val="en-US" w:eastAsia="zh-CN" w:bidi="ar-SA"/>
              </w:rPr>
            </w:pPr>
            <w:r>
              <w:rPr>
                <w:rFonts w:hint="eastAsia" w:ascii="仿宋_GB2312" w:hAnsi="仿宋_GB2312" w:eastAsia="仿宋_GB2312" w:cs="仿宋_GB2312"/>
                <w:b w:val="0"/>
                <w:color w:val="auto"/>
                <w:kern w:val="0"/>
                <w:sz w:val="24"/>
                <w:szCs w:val="24"/>
                <w:lang w:val="en-US" w:eastAsia="zh-CN" w:bidi="ar-SA"/>
              </w:rPr>
              <w:t>福田区肛肠专科医院</w:t>
            </w:r>
          </w:p>
        </w:tc>
        <w:tc>
          <w:tcPr>
            <w:tcW w:w="2190" w:type="dxa"/>
            <w:vAlign w:val="top"/>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4"/>
                <w:szCs w:val="24"/>
                <w:lang w:val="en-US" w:eastAsia="zh-CN" w:bidi="ar-SA"/>
              </w:rPr>
            </w:pPr>
            <w:r>
              <w:rPr>
                <w:rFonts w:hint="eastAsia" w:ascii="仿宋_GB2312" w:hAnsi="仿宋_GB2312" w:eastAsia="仿宋_GB2312" w:cs="仿宋_GB2312"/>
                <w:b w:val="0"/>
                <w:color w:val="auto"/>
                <w:kern w:val="0"/>
                <w:sz w:val="24"/>
                <w:szCs w:val="24"/>
                <w:lang w:val="en-US" w:eastAsia="zh-CN" w:bidi="ar-SA"/>
              </w:rPr>
              <w:t>70</w:t>
            </w:r>
          </w:p>
        </w:tc>
        <w:tc>
          <w:tcPr>
            <w:tcW w:w="2191" w:type="dxa"/>
            <w:vAlign w:val="top"/>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4"/>
                <w:szCs w:val="24"/>
                <w:lang w:val="en-US" w:eastAsia="zh-CN" w:bidi="ar-SA"/>
              </w:rPr>
            </w:pPr>
            <w:r>
              <w:rPr>
                <w:rFonts w:hint="eastAsia" w:ascii="仿宋_GB2312" w:hAnsi="仿宋_GB2312" w:eastAsia="仿宋_GB2312" w:cs="仿宋_GB2312"/>
                <w:b w:val="0"/>
                <w:color w:val="auto"/>
                <w:kern w:val="0"/>
                <w:sz w:val="24"/>
                <w:szCs w:val="24"/>
                <w:lang w:val="en-US" w:eastAsia="zh-CN" w:bidi="ar-SA"/>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top"/>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4"/>
                <w:szCs w:val="24"/>
                <w:lang w:val="en-US" w:eastAsia="zh-CN" w:bidi="ar-SA"/>
              </w:rPr>
            </w:pPr>
            <w:r>
              <w:rPr>
                <w:rFonts w:hint="eastAsia" w:ascii="仿宋_GB2312" w:hAnsi="仿宋_GB2312" w:eastAsia="仿宋_GB2312" w:cs="仿宋_GB2312"/>
                <w:b w:val="0"/>
                <w:color w:val="auto"/>
                <w:kern w:val="0"/>
                <w:sz w:val="24"/>
                <w:szCs w:val="24"/>
                <w:lang w:val="en-US" w:eastAsia="zh-CN" w:bidi="ar-SA"/>
              </w:rPr>
              <w:t>7</w:t>
            </w:r>
          </w:p>
        </w:tc>
        <w:tc>
          <w:tcPr>
            <w:tcW w:w="3420" w:type="dxa"/>
            <w:vAlign w:val="top"/>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4"/>
                <w:szCs w:val="24"/>
                <w:lang w:val="en-US" w:eastAsia="zh-CN" w:bidi="ar-SA"/>
              </w:rPr>
            </w:pPr>
            <w:r>
              <w:rPr>
                <w:rFonts w:hint="eastAsia" w:ascii="仿宋_GB2312" w:hAnsi="仿宋_GB2312" w:eastAsia="仿宋_GB2312" w:cs="仿宋_GB2312"/>
                <w:b w:val="0"/>
                <w:color w:val="auto"/>
                <w:kern w:val="0"/>
                <w:sz w:val="24"/>
                <w:szCs w:val="24"/>
                <w:lang w:val="en-US" w:eastAsia="zh-CN" w:bidi="ar-SA"/>
              </w:rPr>
              <w:t>福田区老人康复护理院</w:t>
            </w:r>
          </w:p>
        </w:tc>
        <w:tc>
          <w:tcPr>
            <w:tcW w:w="2190" w:type="dxa"/>
            <w:vAlign w:val="top"/>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4"/>
                <w:szCs w:val="24"/>
                <w:lang w:val="en-US" w:eastAsia="zh-CN" w:bidi="ar-SA"/>
              </w:rPr>
            </w:pPr>
            <w:r>
              <w:rPr>
                <w:rFonts w:hint="eastAsia" w:ascii="仿宋_GB2312" w:hAnsi="仿宋_GB2312" w:eastAsia="仿宋_GB2312" w:cs="仿宋_GB2312"/>
                <w:b w:val="0"/>
                <w:color w:val="auto"/>
                <w:kern w:val="0"/>
                <w:sz w:val="24"/>
                <w:szCs w:val="24"/>
                <w:lang w:val="en-US" w:eastAsia="zh-CN" w:bidi="ar-SA"/>
              </w:rPr>
              <w:t>-</w:t>
            </w:r>
          </w:p>
        </w:tc>
        <w:tc>
          <w:tcPr>
            <w:tcW w:w="2191" w:type="dxa"/>
            <w:vAlign w:val="top"/>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4"/>
                <w:szCs w:val="24"/>
                <w:lang w:val="en-US" w:eastAsia="zh-CN" w:bidi="ar-SA"/>
              </w:rPr>
            </w:pPr>
            <w:r>
              <w:rPr>
                <w:rFonts w:hint="eastAsia" w:ascii="仿宋_GB2312" w:hAnsi="仿宋_GB2312" w:eastAsia="仿宋_GB2312" w:cs="仿宋_GB2312"/>
                <w:b w:val="0"/>
                <w:color w:val="auto"/>
                <w:kern w:val="0"/>
                <w:sz w:val="24"/>
                <w:szCs w:val="24"/>
                <w:lang w:val="en-US" w:eastAsia="zh-CN" w:bidi="ar-SA"/>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top"/>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4"/>
                <w:szCs w:val="24"/>
                <w:lang w:val="en-US" w:eastAsia="zh-CN" w:bidi="ar-SA"/>
              </w:rPr>
            </w:pPr>
            <w:r>
              <w:rPr>
                <w:rFonts w:hint="eastAsia" w:ascii="仿宋_GB2312" w:hAnsi="仿宋_GB2312" w:eastAsia="仿宋_GB2312" w:cs="仿宋_GB2312"/>
                <w:b w:val="0"/>
                <w:color w:val="auto"/>
                <w:kern w:val="0"/>
                <w:sz w:val="24"/>
                <w:szCs w:val="24"/>
                <w:lang w:val="en-US" w:eastAsia="zh-CN" w:bidi="ar-SA"/>
              </w:rPr>
              <w:t>8</w:t>
            </w:r>
          </w:p>
        </w:tc>
        <w:tc>
          <w:tcPr>
            <w:tcW w:w="3420" w:type="dxa"/>
            <w:vAlign w:val="top"/>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4"/>
                <w:szCs w:val="24"/>
                <w:lang w:val="en-US" w:eastAsia="zh-CN" w:bidi="ar-SA"/>
              </w:rPr>
            </w:pPr>
            <w:r>
              <w:rPr>
                <w:rFonts w:hint="eastAsia" w:ascii="仿宋_GB2312" w:hAnsi="仿宋_GB2312" w:eastAsia="仿宋_GB2312" w:cs="仿宋_GB2312"/>
                <w:b w:val="0"/>
                <w:color w:val="auto"/>
                <w:kern w:val="0"/>
                <w:sz w:val="24"/>
                <w:szCs w:val="24"/>
                <w:lang w:val="en-US" w:eastAsia="zh-CN" w:bidi="ar-SA"/>
              </w:rPr>
              <w:t>福田区妇儿医院</w:t>
            </w:r>
          </w:p>
        </w:tc>
        <w:tc>
          <w:tcPr>
            <w:tcW w:w="2190" w:type="dxa"/>
            <w:vAlign w:val="top"/>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4"/>
                <w:szCs w:val="24"/>
                <w:lang w:val="en-US" w:eastAsia="zh-CN" w:bidi="ar-SA"/>
              </w:rPr>
            </w:pPr>
            <w:r>
              <w:rPr>
                <w:rFonts w:hint="eastAsia" w:ascii="仿宋_GB2312" w:hAnsi="仿宋_GB2312" w:eastAsia="仿宋_GB2312" w:cs="仿宋_GB2312"/>
                <w:b w:val="0"/>
                <w:color w:val="auto"/>
                <w:kern w:val="0"/>
                <w:sz w:val="24"/>
                <w:szCs w:val="24"/>
                <w:lang w:val="en-US" w:eastAsia="zh-CN" w:bidi="ar-SA"/>
              </w:rPr>
              <w:t>-</w:t>
            </w:r>
          </w:p>
        </w:tc>
        <w:tc>
          <w:tcPr>
            <w:tcW w:w="2191" w:type="dxa"/>
            <w:vAlign w:val="top"/>
          </w:tcPr>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4"/>
                <w:szCs w:val="24"/>
                <w:lang w:val="en-US" w:eastAsia="zh-CN" w:bidi="ar-SA"/>
              </w:rPr>
            </w:pPr>
            <w:r>
              <w:rPr>
                <w:rFonts w:hint="eastAsia" w:ascii="仿宋_GB2312" w:hAnsi="仿宋_GB2312" w:eastAsia="仿宋_GB2312" w:cs="仿宋_GB2312"/>
                <w:b w:val="0"/>
                <w:color w:val="auto"/>
                <w:kern w:val="0"/>
                <w:sz w:val="24"/>
                <w:szCs w:val="24"/>
                <w:lang w:val="en-US" w:eastAsia="zh-CN" w:bidi="ar-SA"/>
              </w:rPr>
              <w:t>800（2022年启用）</w:t>
            </w:r>
          </w:p>
        </w:tc>
      </w:tr>
    </w:tbl>
    <w:p>
      <w:pPr>
        <w:pStyle w:val="2"/>
        <w:pageBreakBefore w:val="0"/>
        <w:kinsoku/>
        <w:overflowPunct/>
        <w:topLinePunct w:val="0"/>
        <w:bidi w:val="0"/>
        <w:spacing w:line="560" w:lineRule="exact"/>
        <w:jc w:val="center"/>
        <w:textAlignment w:val="auto"/>
        <w:rPr>
          <w:rFonts w:hint="eastAsia" w:ascii="仿宋_GB2312" w:hAnsi="仿宋_GB2312" w:eastAsia="仿宋_GB2312" w:cs="仿宋_GB2312"/>
          <w:b w:val="0"/>
          <w:color w:val="auto"/>
          <w:kern w:val="0"/>
          <w:sz w:val="32"/>
          <w:szCs w:val="32"/>
          <w:lang w:val="en-US" w:eastAsia="zh-CN" w:bidi="ar-SA"/>
        </w:rPr>
      </w:pPr>
      <w:bookmarkStart w:id="5" w:name="_Toc432964846"/>
      <w:bookmarkStart w:id="6" w:name="_Toc433626960"/>
      <w:r>
        <w:rPr>
          <w:rFonts w:hint="eastAsia" w:ascii="黑体" w:hAnsi="黑体" w:eastAsia="黑体" w:cs="黑体"/>
          <w:b w:val="0"/>
          <w:color w:val="auto"/>
          <w:kern w:val="0"/>
          <w:sz w:val="32"/>
          <w:szCs w:val="32"/>
          <w:lang w:val="en-US" w:eastAsia="zh-CN" w:bidi="ar-SA"/>
        </w:rPr>
        <w:t>第四章  基层医疗卫生机构</w:t>
      </w:r>
      <w:bookmarkEnd w:id="5"/>
      <w:bookmarkEnd w:id="6"/>
      <w:r>
        <w:rPr>
          <w:rFonts w:hint="eastAsia" w:ascii="仿宋_GB2312" w:hAnsi="仿宋_GB2312" w:eastAsia="仿宋_GB2312" w:cs="仿宋_GB2312"/>
          <w:b w:val="0"/>
          <w:color w:val="auto"/>
          <w:kern w:val="0"/>
          <w:sz w:val="32"/>
          <w:szCs w:val="32"/>
          <w:lang w:val="en-US" w:eastAsia="zh-CN" w:bidi="ar-SA"/>
        </w:rPr>
        <w:t>　　</w:t>
      </w:r>
    </w:p>
    <w:p>
      <w:pPr>
        <w:pStyle w:val="2"/>
        <w:pageBreakBefore w:val="0"/>
        <w:kinsoku/>
        <w:overflowPunct/>
        <w:topLinePunct w:val="0"/>
        <w:bidi w:val="0"/>
        <w:spacing w:line="560" w:lineRule="exact"/>
        <w:jc w:val="left"/>
        <w:textAlignment w:val="auto"/>
        <w:rPr>
          <w:rFonts w:hint="eastAsia" w:ascii="仿宋_GB2312" w:hAnsi="仿宋_GB2312" w:eastAsia="仿宋_GB2312" w:cs="仿宋_GB2312"/>
          <w:b w:val="0"/>
          <w:color w:val="auto"/>
          <w:kern w:val="0"/>
          <w:sz w:val="32"/>
          <w:szCs w:val="32"/>
          <w:lang w:val="en-US" w:eastAsia="zh-CN" w:bidi="ar-SA"/>
        </w:rPr>
      </w:pPr>
      <w:r>
        <w:rPr>
          <w:rFonts w:hint="eastAsia" w:ascii="黑体" w:hAnsi="黑体" w:eastAsia="黑体" w:cs="黑体"/>
          <w:b w:val="0"/>
          <w:color w:val="auto"/>
          <w:kern w:val="0"/>
          <w:sz w:val="32"/>
          <w:szCs w:val="32"/>
          <w:lang w:val="en-US" w:eastAsia="zh-CN" w:bidi="ar-SA"/>
        </w:rPr>
        <w:t xml:space="preserve">    一、功能定位</w:t>
      </w:r>
    </w:p>
    <w:p>
      <w:pPr>
        <w:snapToGrid w:val="0"/>
        <w:spacing w:line="560" w:lineRule="exact"/>
        <w:ind w:left="0" w:leftChars="0" w:firstLine="640" w:firstLineChars="200"/>
        <w:rPr>
          <w:rFonts w:hint="eastAsia" w:ascii="仿宋_GB2312" w:eastAsia="仿宋_GB2312"/>
          <w:kern w:val="0"/>
          <w:sz w:val="32"/>
          <w:szCs w:val="32"/>
        </w:rPr>
      </w:pPr>
      <w:r>
        <w:rPr>
          <w:rFonts w:hint="eastAsia" w:ascii="仿宋_GB2312" w:eastAsia="仿宋_GB2312"/>
          <w:kern w:val="0"/>
          <w:sz w:val="32"/>
          <w:szCs w:val="32"/>
        </w:rPr>
        <w:t>基层医疗卫生机构包括一级医院、社康机构、门诊部、中医馆、诊所、中医坐堂医诊所、医务室、卫生所等。基层医疗卫生机构的主要职责是提供预防、保健、健康教育、计划生育等基本公共卫生服务和常见病、多发病的诊疗服务以及部分疾病的康复、护理服务，向</w:t>
      </w:r>
      <w:r>
        <w:rPr>
          <w:rFonts w:hint="eastAsia" w:ascii="仿宋_GB2312" w:eastAsia="仿宋_GB2312" w:cs="仿宋_GB2312"/>
          <w:kern w:val="0"/>
          <w:sz w:val="32"/>
          <w:szCs w:val="32"/>
        </w:rPr>
        <w:t>二级以上</w:t>
      </w:r>
      <w:r>
        <w:rPr>
          <w:rFonts w:hint="eastAsia" w:ascii="仿宋_GB2312" w:eastAsia="仿宋_GB2312"/>
          <w:kern w:val="0"/>
          <w:sz w:val="32"/>
          <w:szCs w:val="32"/>
        </w:rPr>
        <w:t>医院转诊超出自身服务能力的常见病、多发病及危急和疑难重症病人。</w:t>
      </w:r>
    </w:p>
    <w:p>
      <w:pPr>
        <w:snapToGrid w:val="0"/>
        <w:spacing w:line="560" w:lineRule="exact"/>
        <w:ind w:left="0" w:leftChars="0" w:firstLine="640" w:firstLineChars="200"/>
        <w:rPr>
          <w:rFonts w:hint="eastAsia" w:ascii="楷体_GB2312" w:eastAsia="楷体_GB2312"/>
          <w:kern w:val="0"/>
          <w:sz w:val="32"/>
          <w:szCs w:val="32"/>
        </w:rPr>
      </w:pPr>
      <w:r>
        <w:rPr>
          <w:rFonts w:hint="eastAsia" w:ascii="楷体_GB2312" w:eastAsia="楷体_GB2312"/>
          <w:kern w:val="0"/>
          <w:sz w:val="32"/>
          <w:szCs w:val="32"/>
        </w:rPr>
        <w:t>（一）一级医院</w:t>
      </w:r>
    </w:p>
    <w:p>
      <w:pPr>
        <w:snapToGrid w:val="0"/>
        <w:spacing w:line="560" w:lineRule="exact"/>
        <w:ind w:left="0" w:leftChars="0" w:firstLine="640" w:firstLineChars="200"/>
        <w:rPr>
          <w:rFonts w:hint="eastAsia" w:ascii="仿宋_GB2312" w:eastAsia="仿宋_GB2312"/>
          <w:kern w:val="0"/>
          <w:sz w:val="32"/>
          <w:szCs w:val="32"/>
        </w:rPr>
      </w:pPr>
      <w:r>
        <w:rPr>
          <w:rFonts w:hint="eastAsia" w:ascii="仿宋_GB2312" w:eastAsia="仿宋_GB2312"/>
          <w:kern w:val="0"/>
          <w:sz w:val="32"/>
          <w:szCs w:val="32"/>
        </w:rPr>
        <w:t>一级医院主要提供常见病、多发病的诊疗服务以及部分疾病的康复、护理服务，同时提供预防、保健、健康教育等基本公共卫生服务。</w:t>
      </w:r>
    </w:p>
    <w:p>
      <w:pPr>
        <w:snapToGrid w:val="0"/>
        <w:spacing w:line="560" w:lineRule="exact"/>
        <w:ind w:left="0" w:leftChars="0" w:firstLine="640" w:firstLineChars="200"/>
        <w:rPr>
          <w:rFonts w:hint="eastAsia" w:ascii="楷体_GB2312" w:eastAsia="楷体_GB2312"/>
          <w:kern w:val="0"/>
          <w:sz w:val="32"/>
          <w:szCs w:val="32"/>
        </w:rPr>
      </w:pPr>
      <w:r>
        <w:rPr>
          <w:rFonts w:hint="eastAsia" w:ascii="楷体_GB2312" w:eastAsia="楷体_GB2312"/>
          <w:kern w:val="0"/>
          <w:sz w:val="32"/>
          <w:szCs w:val="32"/>
        </w:rPr>
        <w:t>（二）社康机构</w:t>
      </w:r>
    </w:p>
    <w:p>
      <w:pPr>
        <w:snapToGrid w:val="0"/>
        <w:spacing w:line="560" w:lineRule="exact"/>
        <w:ind w:left="0" w:leftChars="0" w:firstLine="640" w:firstLineChars="200"/>
        <w:rPr>
          <w:rFonts w:hint="eastAsia" w:ascii="仿宋_GB2312" w:eastAsia="仿宋_GB2312"/>
          <w:kern w:val="0"/>
          <w:sz w:val="32"/>
          <w:szCs w:val="32"/>
        </w:rPr>
      </w:pPr>
      <w:r>
        <w:rPr>
          <w:rFonts w:hint="eastAsia" w:ascii="仿宋_GB2312" w:eastAsia="仿宋_GB2312"/>
          <w:kern w:val="0"/>
          <w:sz w:val="32"/>
          <w:szCs w:val="32"/>
        </w:rPr>
        <w:t>社康机构承担医疗、预防、保健、康复、健康教育和计生技术指导六大基本医疗卫生服务，包括常见病、多发病和诊断明确的慢性病的预防保健、临床诊疗、康复护理等综合性、系统性服务；基本公共卫生服务；家庭医生服务，家庭病床服务；逐步开展医养融合服务。根据服务人口规模、服务功能、服务范围等，将社区健康服务机构分为社康中心和社康站。其中，根据社康中心的设置规模、功能定位，将社康中心分为一类、二类社康中心。</w:t>
      </w:r>
    </w:p>
    <w:p>
      <w:pPr>
        <w:snapToGrid w:val="0"/>
        <w:spacing w:line="560" w:lineRule="exact"/>
        <w:ind w:left="0" w:leftChars="0" w:firstLine="643" w:firstLineChars="200"/>
        <w:rPr>
          <w:rFonts w:hint="eastAsia" w:ascii="仿宋_GB2312" w:eastAsia="仿宋_GB2312"/>
          <w:kern w:val="0"/>
          <w:sz w:val="32"/>
          <w:szCs w:val="32"/>
        </w:rPr>
      </w:pPr>
      <w:r>
        <w:rPr>
          <w:rFonts w:hint="eastAsia" w:ascii="仿宋_GB2312" w:eastAsia="仿宋_GB2312"/>
          <w:b/>
          <w:bCs/>
          <w:kern w:val="0"/>
          <w:sz w:val="32"/>
          <w:szCs w:val="32"/>
        </w:rPr>
        <w:t>1．社康中心</w:t>
      </w:r>
    </w:p>
    <w:p>
      <w:pPr>
        <w:snapToGrid w:val="0"/>
        <w:spacing w:line="560" w:lineRule="exact"/>
        <w:ind w:left="0" w:leftChars="0" w:firstLine="643" w:firstLineChars="200"/>
        <w:rPr>
          <w:rFonts w:hint="eastAsia" w:ascii="仿宋_GB2312" w:eastAsia="仿宋_GB2312"/>
          <w:kern w:val="0"/>
          <w:sz w:val="32"/>
          <w:szCs w:val="32"/>
        </w:rPr>
      </w:pPr>
      <w:r>
        <w:rPr>
          <w:rFonts w:hint="eastAsia" w:ascii="仿宋_GB2312" w:eastAsia="仿宋_GB2312"/>
          <w:b/>
          <w:bCs/>
          <w:kern w:val="0"/>
          <w:sz w:val="32"/>
          <w:szCs w:val="32"/>
        </w:rPr>
        <w:t>一类社康中心。</w:t>
      </w:r>
      <w:r>
        <w:rPr>
          <w:rFonts w:hint="eastAsia" w:ascii="仿宋_GB2312" w:eastAsia="仿宋_GB2312"/>
          <w:kern w:val="0"/>
          <w:sz w:val="32"/>
          <w:szCs w:val="32"/>
        </w:rPr>
        <w:t>设置全科医学诊室，专科医生工作室、中医诊室、康复理疗室、预防接种室、妇幼保健室、健康教育室等科室。组织实施区域内基本公共卫生服务项目，对所辖二类社康中心和社康站开展的基本公共卫生服务项目进行统筹和指导。</w:t>
      </w:r>
    </w:p>
    <w:p>
      <w:pPr>
        <w:snapToGrid w:val="0"/>
        <w:spacing w:line="560" w:lineRule="exact"/>
        <w:ind w:left="0" w:leftChars="0" w:firstLine="643" w:firstLineChars="200"/>
        <w:rPr>
          <w:rFonts w:hint="eastAsia" w:ascii="仿宋_GB2312" w:eastAsia="仿宋_GB2312"/>
          <w:kern w:val="0"/>
          <w:sz w:val="32"/>
          <w:szCs w:val="32"/>
        </w:rPr>
      </w:pPr>
      <w:r>
        <w:rPr>
          <w:rFonts w:hint="eastAsia" w:ascii="仿宋_GB2312" w:eastAsia="仿宋_GB2312"/>
          <w:b/>
          <w:bCs/>
          <w:kern w:val="0"/>
          <w:sz w:val="32"/>
          <w:szCs w:val="32"/>
        </w:rPr>
        <w:t>二类社康中心。</w:t>
      </w:r>
      <w:r>
        <w:rPr>
          <w:rFonts w:hint="eastAsia" w:ascii="仿宋_GB2312" w:eastAsia="仿宋_GB2312"/>
          <w:kern w:val="0"/>
          <w:sz w:val="32"/>
          <w:szCs w:val="32"/>
        </w:rPr>
        <w:t>设置全科医学诊室、专科医生工作室、中医诊室、康复理疗室、健康教育室等科室。在一类社康中心的统筹和指导下，开展与其服务能力相适应的基本公共卫生服务项目。</w:t>
      </w:r>
    </w:p>
    <w:p>
      <w:pPr>
        <w:snapToGrid w:val="0"/>
        <w:spacing w:line="560" w:lineRule="exact"/>
        <w:ind w:left="0" w:leftChars="0" w:firstLine="643" w:firstLineChars="200"/>
        <w:rPr>
          <w:rFonts w:hint="eastAsia" w:ascii="仿宋_GB2312" w:eastAsia="仿宋_GB2312"/>
          <w:kern w:val="0"/>
          <w:sz w:val="32"/>
          <w:szCs w:val="32"/>
        </w:rPr>
      </w:pPr>
      <w:r>
        <w:rPr>
          <w:rFonts w:hint="eastAsia" w:ascii="仿宋_GB2312" w:eastAsia="仿宋_GB2312"/>
          <w:b/>
          <w:bCs/>
          <w:kern w:val="0"/>
          <w:sz w:val="32"/>
          <w:szCs w:val="32"/>
        </w:rPr>
        <w:t>2．社康站。</w:t>
      </w:r>
      <w:r>
        <w:rPr>
          <w:rFonts w:hint="eastAsia" w:ascii="仿宋_GB2312" w:eastAsia="仿宋_GB2312"/>
          <w:spacing w:val="-2"/>
          <w:kern w:val="0"/>
          <w:sz w:val="32"/>
          <w:szCs w:val="32"/>
        </w:rPr>
        <w:t>设置全科医学</w:t>
      </w:r>
      <w:r>
        <w:rPr>
          <w:rFonts w:hint="eastAsia" w:ascii="仿宋_GB2312" w:eastAsia="仿宋_GB2312"/>
          <w:kern w:val="0"/>
          <w:sz w:val="32"/>
          <w:szCs w:val="32"/>
        </w:rPr>
        <w:t>诊室</w:t>
      </w:r>
      <w:r>
        <w:rPr>
          <w:rFonts w:hint="eastAsia" w:ascii="仿宋_GB2312" w:eastAsia="仿宋_GB2312"/>
          <w:spacing w:val="-2"/>
          <w:kern w:val="0"/>
          <w:sz w:val="32"/>
          <w:szCs w:val="32"/>
        </w:rPr>
        <w:t>、康复理疗</w:t>
      </w:r>
      <w:r>
        <w:rPr>
          <w:rFonts w:hint="eastAsia" w:ascii="仿宋_GB2312" w:eastAsia="仿宋_GB2312"/>
          <w:kern w:val="0"/>
          <w:sz w:val="32"/>
          <w:szCs w:val="32"/>
        </w:rPr>
        <w:t>室</w:t>
      </w:r>
      <w:r>
        <w:rPr>
          <w:rFonts w:hint="eastAsia" w:ascii="仿宋_GB2312" w:eastAsia="仿宋_GB2312"/>
          <w:spacing w:val="-2"/>
          <w:kern w:val="0"/>
          <w:sz w:val="32"/>
          <w:szCs w:val="32"/>
        </w:rPr>
        <w:t>、健康教育室等科室。在一类社康中心的统筹和指导下开展</w:t>
      </w:r>
      <w:r>
        <w:rPr>
          <w:rFonts w:hint="eastAsia" w:ascii="仿宋_GB2312" w:eastAsia="仿宋_GB2312"/>
          <w:kern w:val="0"/>
          <w:sz w:val="32"/>
          <w:szCs w:val="32"/>
        </w:rPr>
        <w:t>与其服务能力相适应的</w:t>
      </w:r>
      <w:r>
        <w:rPr>
          <w:rFonts w:hint="eastAsia" w:ascii="仿宋_GB2312" w:eastAsia="仿宋_GB2312"/>
          <w:spacing w:val="-2"/>
          <w:kern w:val="0"/>
          <w:sz w:val="32"/>
          <w:szCs w:val="32"/>
        </w:rPr>
        <w:t>基本公共卫生服务项目。</w:t>
      </w:r>
    </w:p>
    <w:p>
      <w:pPr>
        <w:snapToGrid w:val="0"/>
        <w:spacing w:line="560" w:lineRule="exact"/>
        <w:ind w:left="0" w:leftChars="0" w:firstLine="640" w:firstLineChars="200"/>
        <w:rPr>
          <w:rFonts w:hint="eastAsia" w:ascii="楷体_GB2312" w:eastAsia="楷体_GB2312"/>
          <w:kern w:val="0"/>
          <w:sz w:val="32"/>
          <w:szCs w:val="32"/>
        </w:rPr>
      </w:pPr>
      <w:r>
        <w:rPr>
          <w:rFonts w:hint="eastAsia" w:ascii="楷体_GB2312" w:eastAsia="楷体_GB2312"/>
          <w:kern w:val="0"/>
          <w:sz w:val="32"/>
          <w:szCs w:val="32"/>
        </w:rPr>
        <w:t>（三）门诊部、中医馆、诊所、中医坐堂医诊所、医务室、卫生所</w:t>
      </w:r>
    </w:p>
    <w:p>
      <w:pPr>
        <w:snapToGrid w:val="0"/>
        <w:spacing w:line="560" w:lineRule="exact"/>
        <w:ind w:left="0" w:leftChars="0"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门诊部、中医馆、诊所、中医坐堂医诊所根据居民健康需求，提供相关医疗卫生服务。企事业单位内部的医务室和卫生所负责本单位或本功能社区的基本公共卫生和基本医疗服务。 </w:t>
      </w:r>
    </w:p>
    <w:p>
      <w:pPr>
        <w:keepNext w:val="0"/>
        <w:keepLines w:val="0"/>
        <w:pageBreakBefore w:val="0"/>
        <w:widowControl/>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二、机构设置</w:t>
      </w:r>
    </w:p>
    <w:p>
      <w:pPr>
        <w:snapToGrid w:val="0"/>
        <w:spacing w:line="560" w:lineRule="exact"/>
        <w:ind w:left="0" w:leftChars="0" w:firstLine="640" w:firstLineChars="200"/>
        <w:rPr>
          <w:rFonts w:hint="eastAsia" w:ascii="楷体_GB2312" w:eastAsia="楷体_GB2312"/>
          <w:kern w:val="0"/>
          <w:sz w:val="32"/>
          <w:szCs w:val="32"/>
        </w:rPr>
      </w:pPr>
      <w:r>
        <w:rPr>
          <w:rFonts w:hint="eastAsia" w:ascii="楷体_GB2312" w:eastAsia="楷体_GB2312"/>
          <w:kern w:val="0"/>
          <w:sz w:val="32"/>
          <w:szCs w:val="32"/>
        </w:rPr>
        <w:t>（一）一级医院。</w:t>
      </w:r>
    </w:p>
    <w:p>
      <w:pPr>
        <w:snapToGrid w:val="0"/>
        <w:spacing w:line="560" w:lineRule="exact"/>
        <w:ind w:left="0" w:leftChars="0" w:firstLine="640" w:firstLineChars="200"/>
        <w:rPr>
          <w:rFonts w:hint="eastAsia" w:ascii="仿宋_GB2312" w:eastAsia="仿宋_GB2312"/>
          <w:kern w:val="0"/>
          <w:sz w:val="32"/>
          <w:szCs w:val="32"/>
        </w:rPr>
      </w:pPr>
      <w:r>
        <w:rPr>
          <w:rFonts w:hint="eastAsia" w:ascii="仿宋_GB2312" w:eastAsia="仿宋_GB2312"/>
          <w:kern w:val="0"/>
          <w:sz w:val="32"/>
          <w:szCs w:val="32"/>
        </w:rPr>
        <w:t>公立一级医院根据城市人口分布、地理环境、疾病谱和居民健康需求等因素进行设置。推动公立一级医院、医院外设门诊部向社康中心转型。</w:t>
      </w:r>
    </w:p>
    <w:p>
      <w:pPr>
        <w:snapToGrid w:val="0"/>
        <w:spacing w:line="560" w:lineRule="exact"/>
        <w:ind w:left="0" w:leftChars="0" w:firstLine="640" w:firstLineChars="200"/>
        <w:rPr>
          <w:rFonts w:hint="eastAsia" w:ascii="楷体_GB2312" w:eastAsia="楷体_GB2312"/>
          <w:kern w:val="0"/>
          <w:sz w:val="32"/>
          <w:szCs w:val="32"/>
        </w:rPr>
      </w:pPr>
      <w:r>
        <w:rPr>
          <w:rFonts w:hint="eastAsia" w:ascii="楷体_GB2312" w:eastAsia="楷体_GB2312"/>
          <w:kern w:val="0"/>
          <w:sz w:val="32"/>
          <w:szCs w:val="32"/>
        </w:rPr>
        <w:t>（二）社康机构。</w:t>
      </w:r>
    </w:p>
    <w:p>
      <w:pPr>
        <w:adjustRightInd w:val="0"/>
        <w:snapToGrid w:val="0"/>
        <w:spacing w:line="560" w:lineRule="exact"/>
        <w:ind w:left="0" w:firstLine="640" w:firstLineChars="200"/>
        <w:rPr>
          <w:rFonts w:hint="eastAsia" w:ascii="仿宋_GB2312" w:eastAsia="仿宋_GB2312"/>
          <w:kern w:val="0"/>
          <w:sz w:val="32"/>
          <w:szCs w:val="32"/>
        </w:rPr>
      </w:pPr>
      <w:r>
        <w:rPr>
          <w:rFonts w:hint="eastAsia" w:ascii="仿宋_GB2312" w:eastAsia="仿宋_GB2312"/>
          <w:kern w:val="0"/>
          <w:sz w:val="32"/>
          <w:szCs w:val="32"/>
        </w:rPr>
        <w:t>社康机构实行全市统一规划、统一标准，属地化管理。根据服务区域的医疗健康需求，实行分类设置、分类管理、协同服务，提高资源配置和利用效率。居民住宅区应按照城市规划要求预留社区配套</w:t>
      </w:r>
      <w:r>
        <w:rPr>
          <w:rFonts w:hint="eastAsia" w:ascii="仿宋_GB2312" w:hAnsi="仿宋_GB2312" w:eastAsia="仿宋_GB2312" w:cs="仿宋_GB2312"/>
          <w:color w:val="auto"/>
          <w:kern w:val="0"/>
          <w:sz w:val="32"/>
          <w:szCs w:val="32"/>
          <w:lang w:eastAsia="zh-CN"/>
        </w:rPr>
        <w:t>社康机构</w:t>
      </w:r>
      <w:r>
        <w:rPr>
          <w:rFonts w:hint="eastAsia" w:ascii="仿宋_GB2312" w:eastAsia="仿宋_GB2312"/>
          <w:kern w:val="0"/>
          <w:sz w:val="32"/>
          <w:szCs w:val="32"/>
        </w:rPr>
        <w:t>业务用房。政府办</w:t>
      </w:r>
      <w:r>
        <w:rPr>
          <w:rFonts w:hint="eastAsia" w:ascii="仿宋_GB2312" w:hAnsi="仿宋_GB2312" w:eastAsia="仿宋_GB2312" w:cs="仿宋_GB2312"/>
          <w:color w:val="auto"/>
          <w:kern w:val="0"/>
          <w:sz w:val="32"/>
          <w:szCs w:val="32"/>
          <w:lang w:eastAsia="zh-CN"/>
        </w:rPr>
        <w:t>社康机构</w:t>
      </w:r>
      <w:r>
        <w:rPr>
          <w:rFonts w:hint="eastAsia" w:ascii="仿宋_GB2312" w:eastAsia="仿宋_GB2312"/>
          <w:kern w:val="0"/>
          <w:sz w:val="32"/>
          <w:szCs w:val="32"/>
        </w:rPr>
        <w:t>的设置标准应当与城市规划标准与准则相衔接。</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sz w:val="32"/>
          <w:szCs w:val="32"/>
          <w:lang w:eastAsia="zh-CN"/>
        </w:rPr>
        <w:t>规划</w:t>
      </w:r>
      <w:r>
        <w:rPr>
          <w:rFonts w:hint="eastAsia" w:ascii="仿宋_GB2312" w:hAnsi="仿宋_GB2312" w:eastAsia="仿宋_GB2312" w:cs="仿宋_GB2312"/>
          <w:sz w:val="32"/>
          <w:szCs w:val="32"/>
          <w:lang w:val="en-US" w:eastAsia="zh-CN"/>
        </w:rPr>
        <w:t>设置100家社康机构，包括16家一类社康中心，30家二类社康中心，54家社康站。</w:t>
      </w:r>
    </w:p>
    <w:p>
      <w:pPr>
        <w:snapToGrid w:val="0"/>
        <w:spacing w:line="560" w:lineRule="exact"/>
        <w:ind w:left="0" w:leftChars="0" w:firstLine="640" w:firstLineChars="200"/>
        <w:rPr>
          <w:rFonts w:hint="eastAsia" w:ascii="楷体_GB2312" w:eastAsia="楷体_GB2312"/>
          <w:kern w:val="0"/>
          <w:sz w:val="32"/>
          <w:szCs w:val="32"/>
        </w:rPr>
      </w:pPr>
      <w:r>
        <w:rPr>
          <w:rFonts w:hint="eastAsia" w:ascii="楷体_GB2312" w:eastAsia="楷体_GB2312"/>
          <w:kern w:val="0"/>
          <w:sz w:val="32"/>
          <w:szCs w:val="32"/>
        </w:rPr>
        <w:t>（三）门诊部、中医馆、诊所、中医坐堂医诊所、医务室、卫生所。</w:t>
      </w:r>
    </w:p>
    <w:p>
      <w:pPr>
        <w:snapToGrid w:val="0"/>
        <w:spacing w:line="560" w:lineRule="exact"/>
        <w:ind w:left="0" w:leftChars="0" w:firstLine="640" w:firstLineChars="200"/>
        <w:jc w:val="left"/>
        <w:rPr>
          <w:rFonts w:hint="eastAsia" w:ascii="仿宋_GB2312" w:hAnsi="仿宋_GB2312" w:eastAsia="仿宋_GB2312" w:cs="仿宋_GB2312"/>
          <w:b w:val="0"/>
          <w:color w:val="auto"/>
          <w:kern w:val="0"/>
          <w:sz w:val="32"/>
          <w:szCs w:val="32"/>
          <w:lang w:val="en-US" w:eastAsia="zh-CN" w:bidi="ar-SA"/>
        </w:rPr>
      </w:pPr>
      <w:r>
        <w:rPr>
          <w:rFonts w:hint="eastAsia" w:ascii="仿宋_GB2312" w:hAnsi="宋体" w:eastAsia="仿宋_GB2312" w:cs="宋体"/>
          <w:kern w:val="0"/>
          <w:sz w:val="32"/>
          <w:szCs w:val="32"/>
        </w:rPr>
        <w:t>门诊部、中医馆、诊所、中医坐堂医诊所、医务室、卫生所等机构的设置，不受规划布局限制，实行市场调节的管理方式。</w:t>
      </w:r>
    </w:p>
    <w:p>
      <w:pPr>
        <w:pStyle w:val="2"/>
        <w:pageBreakBefore w:val="0"/>
        <w:kinsoku/>
        <w:overflowPunct/>
        <w:topLinePunct w:val="0"/>
        <w:bidi w:val="0"/>
        <w:spacing w:line="560" w:lineRule="exact"/>
        <w:jc w:val="center"/>
        <w:textAlignment w:val="auto"/>
        <w:rPr>
          <w:rFonts w:hint="eastAsia" w:ascii="黑体" w:hAnsi="黑体" w:eastAsia="黑体" w:cs="黑体"/>
          <w:b w:val="0"/>
          <w:color w:val="auto"/>
          <w:kern w:val="0"/>
          <w:sz w:val="32"/>
          <w:szCs w:val="32"/>
          <w:lang w:val="en-US" w:eastAsia="zh-CN" w:bidi="ar-SA"/>
        </w:rPr>
      </w:pPr>
      <w:bookmarkStart w:id="7" w:name="_Toc433626961"/>
      <w:bookmarkStart w:id="8" w:name="_Toc432964847"/>
      <w:r>
        <w:rPr>
          <w:rFonts w:hint="eastAsia" w:ascii="黑体" w:hAnsi="黑体" w:eastAsia="黑体" w:cs="黑体"/>
          <w:b w:val="0"/>
          <w:color w:val="auto"/>
          <w:kern w:val="0"/>
          <w:sz w:val="32"/>
          <w:szCs w:val="32"/>
          <w:lang w:val="en-US" w:eastAsia="zh-CN" w:bidi="ar-SA"/>
        </w:rPr>
        <w:t>第五章  专业公共卫生</w:t>
      </w:r>
      <w:bookmarkEnd w:id="7"/>
      <w:bookmarkEnd w:id="8"/>
      <w:r>
        <w:rPr>
          <w:rFonts w:hint="eastAsia" w:ascii="黑体" w:hAnsi="黑体" w:eastAsia="黑体" w:cs="黑体"/>
          <w:b w:val="0"/>
          <w:color w:val="auto"/>
          <w:kern w:val="0"/>
          <w:sz w:val="32"/>
          <w:szCs w:val="32"/>
          <w:lang w:val="en-US" w:eastAsia="zh-CN" w:bidi="ar-SA"/>
        </w:rPr>
        <w:t>机构</w:t>
      </w:r>
    </w:p>
    <w:p>
      <w:pPr>
        <w:pageBreakBefore w:val="0"/>
        <w:widowControl/>
        <w:kinsoku/>
        <w:wordWrap w:val="0"/>
        <w:overflowPunct/>
        <w:topLinePunct w:val="0"/>
        <w:bidi w:val="0"/>
        <w:spacing w:line="560" w:lineRule="exact"/>
        <w:ind w:left="0" w:leftChars="0" w:firstLine="640" w:firstLineChars="0"/>
        <w:jc w:val="left"/>
        <w:textAlignment w:val="auto"/>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val="0"/>
          <w:color w:val="auto"/>
          <w:kern w:val="0"/>
          <w:sz w:val="32"/>
          <w:szCs w:val="32"/>
          <w:lang w:val="en-US" w:eastAsia="zh-CN" w:bidi="ar-SA"/>
        </w:rPr>
        <w:t>专业公共卫生机构由政府举办，包括区疾病预防控制中心、区卫生监督所、区妇幼保健院（妇幼保健与计划生育）、区慢性病防治院（精神卫生防治）、区健康教育所等。主要提供卫生应急、疾病预防控制、</w:t>
      </w:r>
      <w:r>
        <w:rPr>
          <w:rFonts w:hint="eastAsia" w:ascii="仿宋_GB2312" w:eastAsia="仿宋_GB2312"/>
          <w:kern w:val="0"/>
          <w:sz w:val="32"/>
          <w:szCs w:val="32"/>
        </w:rPr>
        <w:t>职业病防治</w:t>
      </w:r>
      <w:r>
        <w:rPr>
          <w:rFonts w:hint="eastAsia" w:ascii="仿宋_GB2312" w:eastAsia="仿宋_GB2312"/>
          <w:kern w:val="0"/>
          <w:sz w:val="32"/>
          <w:szCs w:val="32"/>
          <w:lang w:eastAsia="zh-CN"/>
        </w:rPr>
        <w:t>、</w:t>
      </w:r>
      <w:r>
        <w:rPr>
          <w:rFonts w:hint="eastAsia" w:ascii="仿宋_GB2312" w:hAnsi="仿宋_GB2312" w:eastAsia="仿宋_GB2312" w:cs="仿宋_GB2312"/>
          <w:b w:val="0"/>
          <w:color w:val="auto"/>
          <w:kern w:val="0"/>
          <w:sz w:val="32"/>
          <w:szCs w:val="32"/>
          <w:lang w:val="en-US" w:eastAsia="zh-CN" w:bidi="ar-SA"/>
        </w:rPr>
        <w:t>食品安全风险监测评估与标准管理、综合监督执法、妇幼保健、计划生育、出生缺陷防治、</w:t>
      </w:r>
      <w:r>
        <w:rPr>
          <w:rFonts w:hint="eastAsia" w:ascii="仿宋_GB2312" w:eastAsia="仿宋_GB2312"/>
          <w:kern w:val="0"/>
          <w:sz w:val="32"/>
          <w:szCs w:val="32"/>
        </w:rPr>
        <w:t>慢性病防治与疾病管理</w:t>
      </w:r>
      <w:r>
        <w:rPr>
          <w:rFonts w:hint="eastAsia" w:ascii="仿宋_GB2312" w:eastAsia="仿宋_GB2312"/>
          <w:kern w:val="0"/>
          <w:sz w:val="32"/>
          <w:szCs w:val="32"/>
          <w:lang w:eastAsia="zh-CN"/>
        </w:rPr>
        <w:t>、</w:t>
      </w:r>
      <w:r>
        <w:rPr>
          <w:rFonts w:hint="eastAsia" w:ascii="仿宋_GB2312" w:hAnsi="仿宋_GB2312" w:eastAsia="仿宋_GB2312" w:cs="仿宋_GB2312"/>
          <w:b w:val="0"/>
          <w:color w:val="auto"/>
          <w:kern w:val="0"/>
          <w:sz w:val="32"/>
          <w:szCs w:val="32"/>
          <w:lang w:val="en-US" w:eastAsia="zh-CN" w:bidi="ar-SA"/>
        </w:rPr>
        <w:t>精神卫生、健康教育等专业公共卫生服务，并承担相应管理职能。</w:t>
      </w:r>
    </w:p>
    <w:p>
      <w:pPr>
        <w:pageBreakBefore w:val="0"/>
        <w:widowControl/>
        <w:kinsoku/>
        <w:wordWrap w:val="0"/>
        <w:overflowPunct/>
        <w:topLinePunct w:val="0"/>
        <w:bidi w:val="0"/>
        <w:spacing w:line="560" w:lineRule="exact"/>
        <w:ind w:left="0" w:leftChars="0" w:firstLine="640" w:firstLineChars="0"/>
        <w:jc w:val="left"/>
        <w:textAlignment w:val="auto"/>
        <w:rPr>
          <w:rFonts w:hint="eastAsia" w:ascii="黑体" w:hAnsi="黑体" w:eastAsia="黑体" w:cs="黑体"/>
          <w:b w:val="0"/>
          <w:color w:val="auto"/>
          <w:kern w:val="0"/>
          <w:sz w:val="32"/>
          <w:szCs w:val="32"/>
          <w:lang w:val="en-US" w:eastAsia="zh-CN" w:bidi="ar-SA"/>
        </w:rPr>
      </w:pPr>
      <w:r>
        <w:rPr>
          <w:rFonts w:hint="eastAsia" w:ascii="黑体" w:hAnsi="黑体" w:eastAsia="黑体" w:cs="黑体"/>
          <w:b w:val="0"/>
          <w:color w:val="auto"/>
          <w:kern w:val="0"/>
          <w:sz w:val="32"/>
          <w:szCs w:val="32"/>
          <w:lang w:val="en-US" w:eastAsia="zh-CN" w:bidi="ar-SA"/>
        </w:rPr>
        <w:t>一、功能定位</w:t>
      </w:r>
    </w:p>
    <w:p>
      <w:pPr>
        <w:snapToGrid w:val="0"/>
        <w:spacing w:line="560" w:lineRule="exact"/>
        <w:ind w:left="0" w:leftChars="0" w:firstLine="640" w:firstLineChars="200"/>
        <w:rPr>
          <w:rFonts w:hint="eastAsia" w:ascii="仿宋_GB2312" w:eastAsia="仿宋_GB2312"/>
          <w:kern w:val="0"/>
          <w:sz w:val="32"/>
          <w:szCs w:val="32"/>
        </w:rPr>
      </w:pPr>
      <w:r>
        <w:rPr>
          <w:rFonts w:hint="eastAsia" w:ascii="仿宋_GB2312" w:eastAsia="仿宋_GB2312"/>
          <w:kern w:val="0"/>
          <w:sz w:val="32"/>
          <w:szCs w:val="32"/>
          <w:lang w:eastAsia="zh-CN"/>
        </w:rPr>
        <w:t>区属</w:t>
      </w:r>
      <w:r>
        <w:rPr>
          <w:rFonts w:hint="eastAsia" w:ascii="仿宋_GB2312" w:eastAsia="仿宋_GB2312"/>
          <w:kern w:val="0"/>
          <w:sz w:val="32"/>
          <w:szCs w:val="32"/>
        </w:rPr>
        <w:t>专业公共卫生机构的主要职责是完成上级下达的指令性任务，承担辖区内公共卫生任务以及相应的业务管理、信息报送等工作，并对辖区内医疗卫生机构相关公共卫生工作进行技术指导、人员培训、监督考核等。受区级卫生计生部门委托，街道预防保健所、社康机构、妇幼保健和计划生育服务站等基层医疗卫生机构承担辖区内的公共卫生管理工作。</w:t>
      </w:r>
    </w:p>
    <w:p>
      <w:pPr>
        <w:pageBreakBefore w:val="0"/>
        <w:widowControl/>
        <w:kinsoku/>
        <w:wordWrap w:val="0"/>
        <w:overflowPunct/>
        <w:topLinePunct w:val="0"/>
        <w:bidi w:val="0"/>
        <w:spacing w:line="560" w:lineRule="exact"/>
        <w:ind w:left="0" w:leftChars="0" w:firstLine="640" w:firstLineChars="0"/>
        <w:jc w:val="left"/>
        <w:textAlignment w:val="auto"/>
        <w:rPr>
          <w:rFonts w:hint="eastAsia" w:ascii="黑体" w:hAnsi="黑体" w:eastAsia="黑体" w:cs="黑体"/>
          <w:b w:val="0"/>
          <w:color w:val="auto"/>
          <w:kern w:val="0"/>
          <w:sz w:val="32"/>
          <w:szCs w:val="32"/>
          <w:lang w:val="en-US" w:eastAsia="zh-CN" w:bidi="ar-SA"/>
        </w:rPr>
      </w:pPr>
      <w:r>
        <w:rPr>
          <w:rFonts w:hint="eastAsia" w:ascii="黑体" w:hAnsi="黑体" w:eastAsia="黑体" w:cs="黑体"/>
          <w:b w:val="0"/>
          <w:color w:val="auto"/>
          <w:kern w:val="0"/>
          <w:sz w:val="32"/>
          <w:szCs w:val="32"/>
          <w:lang w:val="en-US" w:eastAsia="zh-CN" w:bidi="ar-SA"/>
        </w:rPr>
        <w:t>二、机构设置</w:t>
      </w:r>
    </w:p>
    <w:p>
      <w:pPr>
        <w:pageBreakBefore w:val="0"/>
        <w:widowControl/>
        <w:kinsoku/>
        <w:wordWrap w:val="0"/>
        <w:overflowPunct/>
        <w:topLinePunct w:val="0"/>
        <w:bidi w:val="0"/>
        <w:spacing w:line="560" w:lineRule="exact"/>
        <w:ind w:left="0" w:leftChars="0" w:firstLine="640" w:firstLine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val="0"/>
          <w:color w:val="auto"/>
          <w:kern w:val="0"/>
          <w:sz w:val="32"/>
          <w:szCs w:val="32"/>
          <w:lang w:val="en-US" w:eastAsia="zh-CN" w:bidi="ar-SA"/>
        </w:rPr>
        <w:t xml:space="preserve">专业公共卫生机构按照辖区常住人口数、服务范围、工作量等因素进行设置，只设1个同类专业公共卫生机构。　    </w:t>
      </w:r>
      <w:r>
        <w:rPr>
          <w:rFonts w:hint="eastAsia" w:ascii="仿宋_GB2312" w:hAnsi="仿宋_GB2312" w:eastAsia="仿宋_GB2312" w:cs="仿宋_GB2312"/>
          <w:b/>
          <w:bCs/>
          <w:color w:val="auto"/>
          <w:kern w:val="0"/>
          <w:sz w:val="32"/>
          <w:szCs w:val="32"/>
          <w:lang w:val="en-US" w:eastAsia="zh-CN" w:bidi="ar-SA"/>
        </w:rPr>
        <w:t>——区疾病预防控制中心。</w:t>
      </w:r>
      <w:r>
        <w:rPr>
          <w:rFonts w:hint="eastAsia" w:ascii="仿宋_GB2312" w:hAnsi="仿宋_GB2312" w:eastAsia="仿宋_GB2312" w:cs="仿宋_GB2312"/>
          <w:color w:val="auto"/>
          <w:kern w:val="0"/>
          <w:sz w:val="32"/>
          <w:szCs w:val="32"/>
        </w:rPr>
        <w:t>按照“坚持预防为主方针、创新疾控工作机制”的发展思路，建立</w:t>
      </w:r>
      <w:r>
        <w:rPr>
          <w:rFonts w:hint="eastAsia" w:ascii="仿宋_GB2312" w:hAnsi="仿宋_GB2312" w:eastAsia="仿宋_GB2312" w:cs="仿宋_GB2312"/>
          <w:color w:val="auto"/>
          <w:kern w:val="0"/>
          <w:sz w:val="32"/>
          <w:szCs w:val="32"/>
          <w:lang w:eastAsia="zh-CN"/>
        </w:rPr>
        <w:t>健全</w:t>
      </w:r>
      <w:r>
        <w:rPr>
          <w:rFonts w:hint="eastAsia" w:ascii="仿宋_GB2312" w:hAnsi="仿宋_GB2312" w:eastAsia="仿宋_GB2312" w:cs="仿宋_GB2312"/>
          <w:color w:val="auto"/>
          <w:kern w:val="0"/>
          <w:sz w:val="32"/>
          <w:szCs w:val="32"/>
        </w:rPr>
        <w:t>以</w:t>
      </w:r>
      <w:r>
        <w:rPr>
          <w:rFonts w:hint="eastAsia" w:ascii="仿宋_GB2312" w:hAnsi="仿宋_GB2312" w:eastAsia="仿宋_GB2312" w:cs="仿宋_GB2312"/>
          <w:b w:val="0"/>
          <w:bCs w:val="0"/>
          <w:color w:val="auto"/>
          <w:kern w:val="0"/>
          <w:sz w:val="32"/>
          <w:szCs w:val="32"/>
          <w:lang w:val="en-US" w:eastAsia="zh-CN" w:bidi="ar-SA"/>
        </w:rPr>
        <w:t>区疾病预防控制中心</w:t>
      </w:r>
      <w:r>
        <w:rPr>
          <w:rFonts w:hint="eastAsia" w:ascii="仿宋_GB2312" w:hAnsi="仿宋_GB2312" w:eastAsia="仿宋_GB2312" w:cs="仿宋_GB2312"/>
          <w:color w:val="auto"/>
          <w:kern w:val="0"/>
          <w:sz w:val="32"/>
          <w:szCs w:val="32"/>
        </w:rPr>
        <w:t>为核心，以</w:t>
      </w:r>
      <w:r>
        <w:rPr>
          <w:rFonts w:hint="eastAsia" w:ascii="仿宋_GB2312" w:hAnsi="仿宋_GB2312" w:eastAsia="仿宋_GB2312" w:cs="仿宋_GB2312"/>
          <w:bCs/>
          <w:color w:val="auto"/>
          <w:kern w:val="0"/>
          <w:sz w:val="32"/>
          <w:szCs w:val="32"/>
          <w:lang w:eastAsia="zh-CN"/>
        </w:rPr>
        <w:t>社康机构</w:t>
      </w:r>
      <w:r>
        <w:rPr>
          <w:rFonts w:hint="eastAsia" w:ascii="仿宋_GB2312" w:hAnsi="仿宋_GB2312" w:eastAsia="仿宋_GB2312" w:cs="仿宋_GB2312"/>
          <w:color w:val="auto"/>
          <w:kern w:val="0"/>
          <w:sz w:val="32"/>
          <w:szCs w:val="32"/>
        </w:rPr>
        <w:t>为依托，以政府各部门、辖区各医疗卫生机构为骨干，全社会共同参与的“大疾控”网络。加强</w:t>
      </w:r>
      <w:r>
        <w:rPr>
          <w:rFonts w:hint="eastAsia" w:ascii="仿宋_GB2312" w:hAnsi="仿宋_GB2312" w:eastAsia="仿宋_GB2312" w:cs="仿宋_GB2312"/>
          <w:bCs/>
          <w:color w:val="auto"/>
          <w:kern w:val="0"/>
          <w:sz w:val="32"/>
          <w:szCs w:val="32"/>
          <w:lang w:eastAsia="zh-CN"/>
        </w:rPr>
        <w:t>社康机构</w:t>
      </w:r>
      <w:r>
        <w:rPr>
          <w:rFonts w:hint="eastAsia" w:ascii="仿宋_GB2312" w:hAnsi="仿宋_GB2312" w:eastAsia="仿宋_GB2312" w:cs="仿宋_GB2312"/>
          <w:color w:val="auto"/>
          <w:kern w:val="0"/>
          <w:sz w:val="32"/>
          <w:szCs w:val="32"/>
        </w:rPr>
        <w:t>等基层医疗机构的网底功能，推动公共卫生资源向基层下沉。大力推进传染病监测管理、公共卫生检验检测、公共卫生应急处置三大服务平台建设，全面推进疾控工作机制创新，将</w:t>
      </w:r>
      <w:r>
        <w:rPr>
          <w:rFonts w:hint="eastAsia" w:ascii="仿宋_GB2312" w:hAnsi="仿宋_GB2312" w:eastAsia="仿宋_GB2312" w:cs="仿宋_GB2312"/>
          <w:b w:val="0"/>
          <w:bCs w:val="0"/>
          <w:color w:val="auto"/>
          <w:kern w:val="0"/>
          <w:sz w:val="32"/>
          <w:szCs w:val="32"/>
          <w:lang w:val="en-US" w:eastAsia="zh-CN" w:bidi="ar-SA"/>
        </w:rPr>
        <w:t>区疾病预防控制中心</w:t>
      </w:r>
      <w:r>
        <w:rPr>
          <w:rFonts w:hint="eastAsia" w:ascii="仿宋_GB2312" w:hAnsi="仿宋_GB2312" w:eastAsia="仿宋_GB2312" w:cs="仿宋_GB2312"/>
          <w:color w:val="auto"/>
          <w:kern w:val="0"/>
          <w:sz w:val="32"/>
          <w:szCs w:val="32"/>
        </w:rPr>
        <w:t>建设成为服务政府、服务社会民众的公益性公共卫生技术管理和服务机构。</w:t>
      </w:r>
    </w:p>
    <w:p>
      <w:pPr>
        <w:pageBreakBefore w:val="0"/>
        <w:widowControl/>
        <w:kinsoku/>
        <w:wordWrap w:val="0"/>
        <w:overflowPunct/>
        <w:topLinePunct w:val="0"/>
        <w:bidi w:val="0"/>
        <w:spacing w:line="560" w:lineRule="exact"/>
        <w:ind w:left="0" w:leftChars="0" w:firstLine="640" w:firstLineChars="0"/>
        <w:jc w:val="left"/>
        <w:textAlignment w:val="auto"/>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bCs/>
          <w:color w:val="auto"/>
          <w:kern w:val="0"/>
          <w:sz w:val="32"/>
          <w:szCs w:val="32"/>
        </w:rPr>
        <w:t>——区卫生监督所。</w:t>
      </w:r>
      <w:r>
        <w:rPr>
          <w:rFonts w:hint="eastAsia" w:ascii="仿宋_GB2312" w:hAnsi="仿宋_GB2312" w:eastAsia="仿宋_GB2312" w:cs="仿宋_GB2312"/>
          <w:color w:val="auto"/>
          <w:kern w:val="0"/>
          <w:sz w:val="32"/>
          <w:szCs w:val="32"/>
        </w:rPr>
        <w:t>坚持“监督就是服务，在服务中监督”的理念，积极进取，大胆创新，努力探索卫生监督新的服务模式、运作模式及监管模式。依法承担法律</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法规</w:t>
      </w:r>
      <w:r>
        <w:rPr>
          <w:rFonts w:hint="eastAsia" w:ascii="仿宋_GB2312" w:hAnsi="仿宋_GB2312" w:eastAsia="仿宋_GB2312" w:cs="仿宋_GB2312"/>
          <w:color w:val="auto"/>
          <w:kern w:val="0"/>
          <w:sz w:val="32"/>
          <w:szCs w:val="32"/>
          <w:lang w:eastAsia="zh-CN"/>
        </w:rPr>
        <w:t>等</w:t>
      </w:r>
      <w:r>
        <w:rPr>
          <w:rFonts w:hint="eastAsia" w:ascii="仿宋_GB2312" w:hAnsi="仿宋_GB2312" w:eastAsia="仿宋_GB2312" w:cs="仿宋_GB2312"/>
          <w:color w:val="auto"/>
          <w:kern w:val="0"/>
          <w:sz w:val="32"/>
          <w:szCs w:val="32"/>
        </w:rPr>
        <w:t>赋予的监督执法职责，履行辖区内医疗卫生、公共场所和饮用水卫生、学校卫生、放射卫生、传染病控制和消毒管理、母婴保健、计划生育、打击“两非”、职业病诊断机构的监督管理等卫生计生领域的综合执法职责。通过加强机构、制度和队伍建设，不断提高卫生监督执法水平和效果，切实维护着辖区居民群众的健康权益。</w:t>
      </w:r>
    </w:p>
    <w:p>
      <w:pPr>
        <w:pageBreakBefore w:val="0"/>
        <w:widowControl/>
        <w:kinsoku/>
        <w:wordWrap w:val="0"/>
        <w:overflowPunct/>
        <w:topLinePunct w:val="0"/>
        <w:bidi w:val="0"/>
        <w:spacing w:line="560" w:lineRule="exact"/>
        <w:ind w:left="0" w:leftChars="0" w:firstLine="640" w:firstLineChars="0"/>
        <w:jc w:val="left"/>
        <w:textAlignment w:val="auto"/>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——区妇幼保健院（妇幼保健与计划生育）。</w:t>
      </w:r>
      <w:r>
        <w:rPr>
          <w:rFonts w:hint="eastAsia" w:ascii="仿宋_GB2312" w:hAnsi="仿宋_GB2312" w:eastAsia="仿宋_GB2312" w:cs="仿宋_GB2312"/>
          <w:b w:val="0"/>
          <w:color w:val="auto"/>
          <w:kern w:val="0"/>
          <w:sz w:val="32"/>
          <w:szCs w:val="32"/>
          <w:lang w:val="en-US" w:eastAsia="zh-CN" w:bidi="ar-SA"/>
        </w:rPr>
        <w:t>设置区妇幼保健计划生育服务中心，负责为辖区妇女儿童提供孕产保健、妇女保健、儿童保健、计划生育等妇幼健康服务，履行妇幼保健计划生育公共服务职责。按照“一法两纲”提出的工作任务和目标要求，继续巩固国家妇幼健康优质服务示范工程工作，加强妇幼健康服务机构标准化建设与规范化管理，提升我区妇幼健康服务工作能力和水平，树立妇幼健康优质服务品牌，建立与我区社会经济发展相适应的功能完善、服务能力强、服务质量高的妇幼健康服务体系。</w:t>
      </w:r>
    </w:p>
    <w:p>
      <w:pPr>
        <w:pageBreakBefore w:val="0"/>
        <w:widowControl/>
        <w:kinsoku/>
        <w:wordWrap w:val="0"/>
        <w:overflowPunct/>
        <w:topLinePunct w:val="0"/>
        <w:bidi w:val="0"/>
        <w:spacing w:line="560" w:lineRule="exact"/>
        <w:ind w:left="0" w:leftChars="0" w:firstLine="640" w:firstLineChars="0"/>
        <w:jc w:val="left"/>
        <w:textAlignment w:val="auto"/>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——区慢性病防治院（精神卫生防治）。</w:t>
      </w:r>
      <w:r>
        <w:rPr>
          <w:rFonts w:hint="eastAsia" w:ascii="仿宋_GB2312" w:hAnsi="仿宋_GB2312" w:eastAsia="仿宋_GB2312" w:cs="仿宋_GB2312"/>
          <w:bCs/>
          <w:color w:val="auto"/>
          <w:kern w:val="0"/>
          <w:sz w:val="32"/>
          <w:szCs w:val="32"/>
        </w:rPr>
        <w:t>坚持“预防为主”方针，建立“政府主导、多部门协作、专业机构支持、全社会参与”的慢性病综合防控和精神卫生综合管理机制，依托“区慢性病防治院-综合医院-</w:t>
      </w:r>
      <w:r>
        <w:rPr>
          <w:rFonts w:hint="eastAsia" w:ascii="仿宋_GB2312" w:hAnsi="仿宋_GB2312" w:eastAsia="仿宋_GB2312" w:cs="仿宋_GB2312"/>
          <w:bCs/>
          <w:color w:val="auto"/>
          <w:kern w:val="0"/>
          <w:sz w:val="32"/>
          <w:szCs w:val="32"/>
          <w:lang w:eastAsia="zh-CN"/>
        </w:rPr>
        <w:t>社康机构</w:t>
      </w:r>
      <w:r>
        <w:rPr>
          <w:rFonts w:hint="eastAsia" w:ascii="仿宋_GB2312" w:hAnsi="仿宋_GB2312" w:eastAsia="仿宋_GB2312" w:cs="仿宋_GB2312"/>
          <w:bCs/>
          <w:color w:val="auto"/>
          <w:kern w:val="0"/>
          <w:sz w:val="32"/>
          <w:szCs w:val="32"/>
        </w:rPr>
        <w:t>”的三级防治网络，履行结核病</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性病</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麻风病，高血压、糖尿病、口腔疾病等慢性非传染性疾病，以及精神疾病防治的职能。大力推进国家慢性病综合防控示范区建设和精神卫生综合管理试点工作，构建与我区社会经济发展相适应的慢性病防治和精神卫生服务体系，防治水平处于全市先进行列。</w:t>
      </w:r>
      <w:r>
        <w:rPr>
          <w:rFonts w:hint="eastAsia" w:ascii="仿宋_GB2312" w:hAnsi="仿宋_GB2312" w:eastAsia="仿宋_GB2312" w:cs="仿宋_GB2312"/>
          <w:bCs/>
          <w:color w:val="auto"/>
          <w:kern w:val="0"/>
          <w:sz w:val="32"/>
          <w:szCs w:val="32"/>
          <w:lang w:eastAsia="zh-CN"/>
        </w:rPr>
        <w:t>辖区</w:t>
      </w:r>
      <w:r>
        <w:rPr>
          <w:rFonts w:hint="eastAsia" w:ascii="仿宋_GB2312" w:hAnsi="仿宋_GB2312" w:eastAsia="仿宋_GB2312" w:cs="仿宋_GB2312"/>
          <w:b w:val="0"/>
          <w:color w:val="auto"/>
          <w:kern w:val="0"/>
          <w:sz w:val="32"/>
          <w:szCs w:val="32"/>
          <w:lang w:val="en-US" w:eastAsia="zh-CN" w:bidi="ar-SA"/>
        </w:rPr>
        <w:t>二级以上综合医院均开设精神科或临床心理科，承担常见精神疾病的诊疗。</w:t>
      </w:r>
      <w:r>
        <w:rPr>
          <w:rFonts w:hint="eastAsia" w:ascii="仿宋_GB2312" w:eastAsia="仿宋_GB2312"/>
          <w:kern w:val="0"/>
          <w:sz w:val="32"/>
          <w:szCs w:val="32"/>
        </w:rPr>
        <w:t>到2018年底，至少在1所以上符合条件的综合性医院或慢病机构建设有病床的精神专科。</w:t>
      </w:r>
      <w:r>
        <w:rPr>
          <w:rFonts w:hint="eastAsia" w:ascii="仿宋_GB2312" w:hAnsi="仿宋_GB2312" w:eastAsia="仿宋_GB2312" w:cs="仿宋_GB2312"/>
          <w:b w:val="0"/>
          <w:color w:val="auto"/>
          <w:kern w:val="0"/>
          <w:sz w:val="32"/>
          <w:szCs w:val="32"/>
          <w:lang w:val="en-US" w:eastAsia="zh-CN" w:bidi="ar-SA"/>
        </w:rPr>
        <w:t>提高</w:t>
      </w:r>
      <w:r>
        <w:rPr>
          <w:rFonts w:hint="eastAsia" w:ascii="仿宋_GB2312" w:hAnsi="仿宋_GB2312" w:eastAsia="仿宋_GB2312" w:cs="仿宋_GB2312"/>
          <w:bCs/>
          <w:color w:val="auto"/>
          <w:kern w:val="0"/>
          <w:sz w:val="32"/>
          <w:szCs w:val="32"/>
          <w:lang w:eastAsia="zh-CN"/>
        </w:rPr>
        <w:t>社康机构</w:t>
      </w:r>
      <w:r>
        <w:rPr>
          <w:rFonts w:hint="eastAsia" w:ascii="仿宋_GB2312" w:hAnsi="仿宋_GB2312" w:eastAsia="仿宋_GB2312" w:cs="仿宋_GB2312"/>
          <w:b w:val="0"/>
          <w:color w:val="auto"/>
          <w:kern w:val="0"/>
          <w:sz w:val="32"/>
          <w:szCs w:val="32"/>
          <w:lang w:val="en-US" w:eastAsia="zh-CN" w:bidi="ar-SA"/>
        </w:rPr>
        <w:t>精防医生队伍专业技能，实现</w:t>
      </w:r>
      <w:r>
        <w:rPr>
          <w:rFonts w:hint="eastAsia" w:ascii="仿宋_GB2312" w:hAnsi="仿宋_GB2312" w:eastAsia="仿宋_GB2312" w:cs="仿宋_GB2312"/>
          <w:bCs/>
          <w:color w:val="auto"/>
          <w:kern w:val="0"/>
          <w:sz w:val="32"/>
          <w:szCs w:val="32"/>
          <w:lang w:eastAsia="zh-CN"/>
        </w:rPr>
        <w:t>社康机构</w:t>
      </w:r>
      <w:r>
        <w:rPr>
          <w:rFonts w:hint="eastAsia" w:ascii="仿宋_GB2312" w:hAnsi="仿宋_GB2312" w:eastAsia="仿宋_GB2312" w:cs="仿宋_GB2312"/>
          <w:b w:val="0"/>
          <w:color w:val="auto"/>
          <w:kern w:val="0"/>
          <w:sz w:val="32"/>
          <w:szCs w:val="32"/>
          <w:lang w:val="en-US" w:eastAsia="zh-CN" w:bidi="ar-SA"/>
        </w:rPr>
        <w:t>精防医生专职化。</w:t>
      </w:r>
    </w:p>
    <w:p>
      <w:pPr>
        <w:pageBreakBefore w:val="0"/>
        <w:widowControl/>
        <w:kinsoku/>
        <w:wordWrap w:val="0"/>
        <w:overflowPunct/>
        <w:topLinePunct w:val="0"/>
        <w:bidi w:val="0"/>
        <w:spacing w:line="560" w:lineRule="exact"/>
        <w:ind w:left="0" w:leftChars="0" w:firstLine="640" w:firstLineChars="0"/>
        <w:jc w:val="left"/>
        <w:textAlignment w:val="auto"/>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——区健康教育所。</w:t>
      </w:r>
      <w:r>
        <w:rPr>
          <w:rFonts w:hint="eastAsia" w:ascii="仿宋_GB2312" w:hAnsi="仿宋_GB2312" w:eastAsia="仿宋_GB2312" w:cs="仿宋_GB2312"/>
          <w:color w:val="auto"/>
          <w:kern w:val="0"/>
          <w:sz w:val="32"/>
          <w:szCs w:val="32"/>
        </w:rPr>
        <w:t>建立完善健康教育工作网络体系，形成以区健康教育所为中心，辖区各医疗卫生机构为主要力量，社区、学校、企业、机关健康教育兼职队伍和社会各界为辅助力量的立体工作网络。构建完善有效运转的健康传播体系，形成由大众媒体、互联网移动传媒、宣传资讯、健康活动、健康咨询等组成的立体传播体系。完善重大疾病和突发公共卫生事件健康教育与健康促进运行机制。扩大健康教育覆盖面，提高健康教育服务水平，推进健康教育与健康促进工作全面发展，建立起适应福田居民健康需求、适应福田卫生事业发展需求、适应福田经济社会发展需求的现代化健康教育与健康促进服务体系。</w:t>
      </w:r>
    </w:p>
    <w:p>
      <w:pPr>
        <w:pStyle w:val="2"/>
        <w:pageBreakBefore w:val="0"/>
        <w:kinsoku/>
        <w:overflowPunct/>
        <w:topLinePunct w:val="0"/>
        <w:bidi w:val="0"/>
        <w:spacing w:line="560" w:lineRule="exact"/>
        <w:jc w:val="center"/>
        <w:textAlignment w:val="auto"/>
        <w:rPr>
          <w:rFonts w:hint="eastAsia" w:ascii="黑体" w:hAnsi="黑体" w:eastAsia="黑体" w:cs="黑体"/>
          <w:b w:val="0"/>
          <w:color w:val="auto"/>
          <w:kern w:val="0"/>
          <w:sz w:val="32"/>
          <w:szCs w:val="32"/>
          <w:lang w:val="en-US" w:eastAsia="zh-CN" w:bidi="ar-SA"/>
        </w:rPr>
      </w:pPr>
      <w:bookmarkStart w:id="9" w:name="_Toc432964848"/>
      <w:bookmarkStart w:id="10" w:name="_Toc433626962"/>
      <w:r>
        <w:rPr>
          <w:rFonts w:hint="eastAsia" w:ascii="黑体" w:hAnsi="黑体" w:eastAsia="黑体" w:cs="黑体"/>
          <w:b w:val="0"/>
          <w:color w:val="auto"/>
          <w:kern w:val="0"/>
          <w:sz w:val="32"/>
          <w:szCs w:val="32"/>
          <w:lang w:val="en-US" w:eastAsia="zh-CN" w:bidi="ar-SA"/>
        </w:rPr>
        <w:t>第六章  卫生人才队伍</w:t>
      </w:r>
      <w:bookmarkEnd w:id="9"/>
      <w:bookmarkEnd w:id="10"/>
    </w:p>
    <w:p>
      <w:pPr>
        <w:snapToGrid w:val="0"/>
        <w:spacing w:line="560" w:lineRule="exact"/>
        <w:ind w:left="0" w:firstLine="0" w:firstLineChars="0"/>
        <w:rPr>
          <w:rFonts w:ascii="仿宋" w:hAnsi="仿宋" w:eastAsia="仿宋" w:cs="仿宋_GB2312"/>
          <w:sz w:val="32"/>
          <w:szCs w:val="32"/>
        </w:rPr>
      </w:pPr>
      <w:r>
        <w:rPr>
          <w:rFonts w:hint="eastAsia" w:ascii="仿宋_GB2312" w:hAnsi="宋体" w:eastAsia="仿宋_GB2312" w:cs="宋体"/>
          <w:color w:val="auto"/>
          <w:kern w:val="0"/>
          <w:sz w:val="32"/>
          <w:szCs w:val="32"/>
          <w:lang w:val="en-US" w:eastAsia="zh-CN"/>
        </w:rPr>
        <w:t xml:space="preserve">    </w:t>
      </w:r>
      <w:r>
        <w:rPr>
          <w:rFonts w:hint="eastAsia" w:ascii="仿宋_GB2312" w:hAnsi="宋体" w:eastAsia="仿宋_GB2312" w:cs="宋体"/>
          <w:kern w:val="0"/>
          <w:sz w:val="32"/>
          <w:szCs w:val="32"/>
        </w:rPr>
        <w:t>以</w:t>
      </w:r>
      <w:r>
        <w:rPr>
          <w:rFonts w:hint="eastAsia" w:ascii="仿宋_GB2312" w:hAnsi="宋体" w:eastAsia="仿宋_GB2312" w:cs="宋体"/>
          <w:bCs/>
          <w:kern w:val="0"/>
          <w:sz w:val="32"/>
          <w:szCs w:val="32"/>
        </w:rPr>
        <w:t>“提增量、强存量、优结构、强效能、上台</w:t>
      </w:r>
      <w:r>
        <w:rPr>
          <w:rFonts w:hint="eastAsia" w:ascii="仿宋_GB2312" w:hAnsi="宋体" w:eastAsia="仿宋_GB2312" w:cs="宋体"/>
          <w:kern w:val="0"/>
          <w:sz w:val="32"/>
          <w:szCs w:val="32"/>
        </w:rPr>
        <w:t>阶”为目标，以提高综合素质为主要任务，以高层次人才开发为重点，完善人才梯队，带动整体人才队伍素质的提高。努力建设一支规模适度、结构合理、医疗技术水平较高、科研能力较强、较好满足我区卫生事业发展需要的卫生人才队伍。</w:t>
      </w:r>
      <w:r>
        <w:rPr>
          <w:rFonts w:hint="eastAsia" w:ascii="仿宋" w:hAnsi="仿宋" w:eastAsia="仿宋" w:cs="仿宋_GB2312"/>
          <w:sz w:val="32"/>
          <w:szCs w:val="32"/>
        </w:rPr>
        <w:t>到2020年，我区每千常住人口执业（助理）医师数达到4.</w:t>
      </w:r>
      <w:r>
        <w:rPr>
          <w:rFonts w:hint="eastAsia" w:ascii="仿宋" w:hAnsi="仿宋" w:eastAsia="仿宋" w:cs="仿宋_GB2312"/>
          <w:sz w:val="32"/>
          <w:szCs w:val="32"/>
          <w:lang w:val="en-US" w:eastAsia="zh-CN"/>
        </w:rPr>
        <w:t>7</w:t>
      </w:r>
      <w:r>
        <w:rPr>
          <w:rFonts w:hint="eastAsia" w:ascii="仿宋" w:hAnsi="仿宋" w:eastAsia="仿宋" w:cs="仿宋_GB2312"/>
          <w:sz w:val="32"/>
          <w:szCs w:val="32"/>
        </w:rPr>
        <w:t>人、公共卫生人员数达1人，每万常住人口全科医生3.24人</w:t>
      </w:r>
      <w:r>
        <w:rPr>
          <w:rFonts w:hint="eastAsia" w:ascii="仿宋_GB2312" w:eastAsia="仿宋_GB2312"/>
          <w:sz w:val="32"/>
          <w:szCs w:val="32"/>
        </w:rPr>
        <w:t>，</w:t>
      </w:r>
      <w:r>
        <w:rPr>
          <w:rFonts w:hint="eastAsia" w:ascii="仿宋" w:hAnsi="仿宋" w:eastAsia="仿宋" w:cs="仿宋_GB2312"/>
          <w:sz w:val="32"/>
          <w:szCs w:val="32"/>
        </w:rPr>
        <w:t>实现人才结构持续优化、区域布局日趋合理、人才规模与辖区居民服务需求相适应 。</w:t>
      </w:r>
    </w:p>
    <w:p>
      <w:pPr>
        <w:spacing w:line="560" w:lineRule="exact"/>
        <w:ind w:left="0"/>
        <w:rPr>
          <w:rFonts w:ascii="黑体" w:hAnsi="黑体" w:eastAsia="黑体" w:cs="仿宋_GB2312"/>
          <w:sz w:val="32"/>
          <w:szCs w:val="32"/>
        </w:rPr>
      </w:pPr>
      <w:r>
        <w:rPr>
          <w:rFonts w:hint="eastAsia" w:ascii="黑体" w:hAnsi="黑体" w:eastAsia="黑体" w:cs="仿宋_GB2312"/>
          <w:sz w:val="32"/>
          <w:szCs w:val="32"/>
        </w:rPr>
        <w:t xml:space="preserve">    一、人力配备</w:t>
      </w:r>
    </w:p>
    <w:p>
      <w:pPr>
        <w:widowControl/>
        <w:snapToGrid w:val="0"/>
        <w:spacing w:line="560" w:lineRule="exact"/>
        <w:ind w:left="0"/>
        <w:rPr>
          <w:rFonts w:ascii="仿宋_GB2312" w:hAnsi="宋体" w:eastAsia="仿宋_GB2312" w:cs="宋体"/>
          <w:kern w:val="0"/>
          <w:sz w:val="32"/>
          <w:szCs w:val="32"/>
        </w:rPr>
      </w:pPr>
      <w:r>
        <w:rPr>
          <w:rFonts w:hint="eastAsia" w:ascii="楷体" w:hAnsi="楷体" w:eastAsia="楷体" w:cs="宋体"/>
          <w:b/>
          <w:kern w:val="0"/>
          <w:sz w:val="32"/>
          <w:szCs w:val="32"/>
        </w:rPr>
        <w:t xml:space="preserve">    （一）增加人才总量。</w:t>
      </w:r>
      <w:r>
        <w:rPr>
          <w:rFonts w:hint="eastAsia" w:ascii="仿宋_GB2312" w:hAnsi="Times New Roman" w:eastAsia="仿宋_GB2312" w:cs="Times New Roman"/>
          <w:sz w:val="32"/>
          <w:szCs w:val="32"/>
        </w:rPr>
        <w:t>区委区政府坚持以民生为己任，大力推动卫生事业跨越式发展，随着区属医院开放床位数量的增长，同步加大卫生专业人员配置力度，</w:t>
      </w:r>
      <w:r>
        <w:rPr>
          <w:rFonts w:hint="eastAsia" w:ascii="仿宋" w:hAnsi="仿宋" w:eastAsia="仿宋" w:cs="仿宋_GB2312"/>
          <w:sz w:val="32"/>
          <w:szCs w:val="32"/>
        </w:rPr>
        <w:t>区属医疗机构卫生专业人员总量达到</w:t>
      </w:r>
      <w:r>
        <w:rPr>
          <w:rFonts w:hint="eastAsia" w:ascii="仿宋_GB2312" w:eastAsia="仿宋_GB2312"/>
          <w:sz w:val="32"/>
          <w:szCs w:val="32"/>
        </w:rPr>
        <w:t>5</w:t>
      </w:r>
      <w:r>
        <w:rPr>
          <w:rFonts w:hint="eastAsia" w:ascii="仿宋_GB2312" w:eastAsia="仿宋_GB2312"/>
          <w:sz w:val="32"/>
          <w:szCs w:val="32"/>
          <w:lang w:val="en-US" w:eastAsia="zh-CN"/>
        </w:rPr>
        <w:t>3</w:t>
      </w:r>
      <w:r>
        <w:rPr>
          <w:rFonts w:hint="eastAsia" w:ascii="仿宋_GB2312" w:eastAsia="仿宋_GB2312"/>
          <w:sz w:val="32"/>
          <w:szCs w:val="32"/>
        </w:rPr>
        <w:t>40名左右。</w:t>
      </w:r>
    </w:p>
    <w:p>
      <w:pPr>
        <w:snapToGrid w:val="0"/>
        <w:spacing w:line="560" w:lineRule="exact"/>
        <w:ind w:left="0" w:firstLine="642"/>
        <w:rPr>
          <w:rFonts w:ascii="仿宋_GB2312" w:hAnsi="宋体" w:eastAsia="仿宋_GB2312" w:cs="宋体"/>
          <w:kern w:val="0"/>
          <w:sz w:val="32"/>
          <w:szCs w:val="32"/>
        </w:rPr>
      </w:pPr>
      <w:r>
        <w:rPr>
          <w:rFonts w:hint="eastAsia" w:ascii="楷体" w:hAnsi="楷体" w:eastAsia="楷体" w:cs="宋体"/>
          <w:b/>
          <w:kern w:val="0"/>
          <w:sz w:val="32"/>
          <w:szCs w:val="32"/>
        </w:rPr>
        <w:t>（二）优化人才结构。</w:t>
      </w:r>
      <w:r>
        <w:rPr>
          <w:rFonts w:hint="eastAsia" w:ascii="仿宋_GB2312" w:hAnsi="Times New Roman" w:eastAsia="仿宋_GB2312" w:cs="Times New Roman"/>
          <w:sz w:val="32"/>
          <w:szCs w:val="32"/>
        </w:rPr>
        <w:t>以高学历、高职称、高水平等学科带头人、学术骨干为重点，通过大力选拔、自身培养和有针对性的引进，持续完善医疗卫生人才梯队，</w:t>
      </w:r>
      <w:r>
        <w:rPr>
          <w:rFonts w:hint="eastAsia" w:ascii="仿宋_GB2312" w:hAnsi="宋体" w:eastAsia="仿宋_GB2312" w:cs="宋体"/>
          <w:kern w:val="0"/>
          <w:sz w:val="32"/>
          <w:szCs w:val="32"/>
        </w:rPr>
        <w:t>努力建设一支结构合理、素质较高、创新力强的卫生人才队伍，其中，副高职称及以上的占比30%，硕士及以上研究生占比超过20%，本科及以上学历占人才总数80%以上，新引进卫生专业人员本科及以上学历的100%（护理专业不含）。</w:t>
      </w:r>
    </w:p>
    <w:p>
      <w:pPr>
        <w:snapToGrid w:val="0"/>
        <w:spacing w:line="560" w:lineRule="exact"/>
        <w:ind w:left="0" w:firstLine="642"/>
        <w:rPr>
          <w:rFonts w:ascii="楷体" w:hAnsi="楷体" w:eastAsia="楷体" w:cs="宋体"/>
          <w:b/>
          <w:kern w:val="0"/>
          <w:sz w:val="32"/>
          <w:szCs w:val="32"/>
        </w:rPr>
      </w:pPr>
      <w:r>
        <w:rPr>
          <w:rFonts w:hint="eastAsia" w:ascii="楷体" w:hAnsi="楷体" w:eastAsia="楷体" w:cs="宋体"/>
          <w:b/>
          <w:kern w:val="0"/>
          <w:sz w:val="32"/>
          <w:szCs w:val="32"/>
        </w:rPr>
        <w:t>（三）合理配置资源</w:t>
      </w:r>
    </w:p>
    <w:p>
      <w:pPr>
        <w:snapToGrid w:val="0"/>
        <w:spacing w:line="560" w:lineRule="exact"/>
        <w:ind w:left="0"/>
        <w:rPr>
          <w:rFonts w:ascii="仿宋" w:hAnsi="仿宋" w:eastAsia="仿宋" w:cs="仿宋_GB2312"/>
          <w:sz w:val="32"/>
          <w:szCs w:val="32"/>
        </w:rPr>
      </w:pPr>
      <w:r>
        <w:rPr>
          <w:rFonts w:hint="eastAsia" w:ascii="仿宋_GB2312" w:hAnsi="宋体" w:eastAsia="仿宋_GB2312" w:cs="宋体"/>
          <w:b/>
          <w:kern w:val="0"/>
          <w:sz w:val="32"/>
          <w:szCs w:val="32"/>
        </w:rPr>
        <w:t xml:space="preserve">     1.综合医院</w:t>
      </w:r>
      <w:r>
        <w:rPr>
          <w:rFonts w:hint="eastAsia" w:ascii="仿宋_GB2312" w:hAnsi="宋体" w:eastAsia="仿宋_GB2312" w:cs="宋体"/>
          <w:bCs/>
          <w:kern w:val="0"/>
          <w:sz w:val="32"/>
          <w:szCs w:val="32"/>
        </w:rPr>
        <w:t>。包括中山大学附属第八医院、广州中医药大学深圳医院、区第二人民医院。</w:t>
      </w:r>
      <w:r>
        <w:rPr>
          <w:rFonts w:hint="eastAsia" w:ascii="仿宋_GB2312" w:hAnsi="宋体" w:eastAsia="仿宋_GB2312" w:cs="宋体"/>
          <w:kern w:val="0"/>
          <w:sz w:val="32"/>
          <w:szCs w:val="32"/>
        </w:rPr>
        <w:t>以执业（助理）医师和注册护士配置为重点，</w:t>
      </w:r>
      <w:r>
        <w:rPr>
          <w:rFonts w:hint="eastAsia" w:ascii="仿宋" w:hAnsi="仿宋" w:eastAsia="仿宋" w:cs="仿宋_GB2312"/>
          <w:sz w:val="32"/>
          <w:szCs w:val="32"/>
        </w:rPr>
        <w:t>以辖区居民就医需求和医师标准工作量为依据，结合辖区服务人口增长量、经济发展状况等因素，按照需求科学核定医护比，合理配置医生和护士数量，适度提高护理人员占比。到2020年，医院执业（助理）医师具有本科及以上学历占比达到</w:t>
      </w:r>
      <w:r>
        <w:rPr>
          <w:rFonts w:hint="eastAsia" w:ascii="仿宋" w:hAnsi="仿宋" w:eastAsia="仿宋" w:cs="仿宋_GB2312"/>
          <w:sz w:val="32"/>
          <w:szCs w:val="32"/>
          <w:lang w:val="en-US" w:eastAsia="zh-CN"/>
        </w:rPr>
        <w:t>85</w:t>
      </w:r>
      <w:r>
        <w:rPr>
          <w:rFonts w:hint="eastAsia" w:ascii="仿宋" w:hAnsi="仿宋" w:eastAsia="仿宋" w:cs="仿宋_GB2312"/>
          <w:sz w:val="32"/>
          <w:szCs w:val="32"/>
        </w:rPr>
        <w:t>%，具有中级以上职称占比不低于60%；注册护士具有大专及以上学历占比不低于70%，具有中级以上职称占比不低于20%。按照</w:t>
      </w:r>
      <w:r>
        <w:rPr>
          <w:rFonts w:hint="eastAsia" w:ascii="仿宋_GB2312" w:hAnsi="宋体" w:eastAsia="仿宋_GB2312" w:cs="宋体"/>
          <w:kern w:val="0"/>
          <w:sz w:val="32"/>
          <w:szCs w:val="32"/>
        </w:rPr>
        <w:t>中山大学附属第八医院、广州中医药大学深圳医院</w:t>
      </w:r>
      <w:r>
        <w:rPr>
          <w:rFonts w:hint="eastAsia" w:ascii="仿宋" w:hAnsi="仿宋" w:eastAsia="仿宋" w:cs="仿宋_GB2312"/>
          <w:sz w:val="32"/>
          <w:szCs w:val="32"/>
        </w:rPr>
        <w:t>三级医院、区第二人民医院二级医院的级别，确定医院人床比并配备相应人力资源。</w:t>
      </w:r>
      <w:r>
        <w:rPr>
          <w:rFonts w:hint="eastAsia" w:ascii="仿宋_GB2312" w:hAnsi="宋体" w:eastAsia="仿宋_GB2312" w:cs="宋体"/>
          <w:kern w:val="0"/>
          <w:sz w:val="32"/>
          <w:szCs w:val="32"/>
        </w:rPr>
        <w:t>中山大学附属第八医院、广州中医药大学深圳医院还承担</w:t>
      </w:r>
      <w:r>
        <w:rPr>
          <w:rFonts w:hint="eastAsia" w:ascii="仿宋" w:hAnsi="仿宋" w:eastAsia="仿宋" w:cs="仿宋_GB2312"/>
          <w:sz w:val="32"/>
          <w:szCs w:val="32"/>
        </w:rPr>
        <w:t>临床教学、医学科研等附属医院和教学医学院职能，床位和工作人员配置比可提高至1.7。</w:t>
      </w:r>
    </w:p>
    <w:p>
      <w:pPr>
        <w:snapToGrid w:val="0"/>
        <w:spacing w:line="560" w:lineRule="exact"/>
        <w:ind w:left="0" w:firstLine="640"/>
        <w:rPr>
          <w:rFonts w:hint="eastAsia" w:ascii="仿宋" w:hAnsi="仿宋" w:eastAsia="仿宋" w:cs="仿宋_GB2312"/>
          <w:sz w:val="32"/>
          <w:szCs w:val="32"/>
        </w:rPr>
      </w:pPr>
      <w:r>
        <w:rPr>
          <w:rFonts w:hint="eastAsia" w:ascii="仿宋_GB2312" w:hAnsi="宋体" w:eastAsia="仿宋_GB2312" w:cs="宋体"/>
          <w:b/>
          <w:kern w:val="0"/>
          <w:sz w:val="32"/>
          <w:szCs w:val="32"/>
        </w:rPr>
        <w:t>2.专科医院。</w:t>
      </w:r>
      <w:r>
        <w:rPr>
          <w:rFonts w:hint="eastAsia" w:ascii="仿宋_GB2312" w:hAnsi="宋体" w:eastAsia="仿宋_GB2312" w:cs="宋体"/>
          <w:b w:val="0"/>
          <w:bCs/>
          <w:kern w:val="0"/>
          <w:sz w:val="32"/>
          <w:szCs w:val="32"/>
        </w:rPr>
        <w:t>包括区妇幼保健院、区妇儿医院、区风湿病专科医院、区肛肠专科医院。</w:t>
      </w:r>
      <w:r>
        <w:rPr>
          <w:rFonts w:hint="eastAsia" w:ascii="仿宋_GB2312" w:hAnsi="宋体" w:eastAsia="仿宋_GB2312" w:cs="宋体"/>
          <w:kern w:val="0"/>
          <w:sz w:val="32"/>
          <w:szCs w:val="32"/>
        </w:rPr>
        <w:t>以执业（助理）医师和注册护士配置为重点，</w:t>
      </w:r>
      <w:r>
        <w:rPr>
          <w:rFonts w:hint="eastAsia" w:ascii="仿宋" w:hAnsi="仿宋" w:eastAsia="仿宋" w:cs="仿宋_GB2312"/>
          <w:sz w:val="32"/>
          <w:szCs w:val="32"/>
        </w:rPr>
        <w:t>以辖区居民就医需求和医师标准工作量为依据，结合辖区服务人口增长量、经济发展状况等因素，按照需求科学核定医护比，合理配置医生和护士数量，适度提高护理人员占比。到2020年，医院执业（助理）医师具有本科及以上学历占比达到</w:t>
      </w:r>
      <w:r>
        <w:rPr>
          <w:rFonts w:hint="eastAsia" w:ascii="仿宋" w:hAnsi="仿宋" w:eastAsia="仿宋" w:cs="仿宋_GB2312"/>
          <w:sz w:val="32"/>
          <w:szCs w:val="32"/>
          <w:lang w:val="en-US" w:eastAsia="zh-CN"/>
        </w:rPr>
        <w:t>85</w:t>
      </w:r>
      <w:r>
        <w:rPr>
          <w:rFonts w:hint="eastAsia" w:ascii="仿宋" w:hAnsi="仿宋" w:eastAsia="仿宋" w:cs="仿宋_GB2312"/>
          <w:sz w:val="32"/>
          <w:szCs w:val="32"/>
        </w:rPr>
        <w:t>%，具有中级以上职称占比不低于60%；注册护士具有大专及以上学历占比不低于60%，具有中级以上职称占比不低于20%。</w:t>
      </w:r>
    </w:p>
    <w:p>
      <w:pPr>
        <w:snapToGrid w:val="0"/>
        <w:spacing w:line="560" w:lineRule="atLeast"/>
        <w:ind w:left="0" w:leftChars="0" w:firstLine="640" w:firstLineChars="200"/>
        <w:rPr>
          <w:rFonts w:hint="eastAsia" w:ascii="黑体" w:hAnsi="黑体" w:eastAsia="黑体"/>
          <w:kern w:val="0"/>
          <w:sz w:val="32"/>
          <w:szCs w:val="32"/>
        </w:rPr>
      </w:pPr>
      <w:r>
        <w:rPr>
          <w:rFonts w:hint="eastAsia" w:ascii="黑体" w:hAnsi="黑体" w:eastAsia="黑体"/>
          <w:kern w:val="0"/>
          <w:sz w:val="32"/>
          <w:szCs w:val="32"/>
          <w:lang w:val="en-US" w:eastAsia="zh-CN"/>
        </w:rPr>
        <w:t>3.</w:t>
      </w:r>
      <w:r>
        <w:rPr>
          <w:rFonts w:hint="eastAsia" w:ascii="黑体" w:hAnsi="黑体" w:eastAsia="黑体"/>
          <w:kern w:val="0"/>
          <w:sz w:val="32"/>
          <w:szCs w:val="32"/>
          <w:lang w:eastAsia="zh-CN"/>
        </w:rPr>
        <w:t>社康机构</w:t>
      </w:r>
    </w:p>
    <w:p>
      <w:pPr>
        <w:snapToGrid w:val="0"/>
        <w:spacing w:line="560" w:lineRule="exact"/>
        <w:ind w:left="0" w:firstLine="640"/>
        <w:rPr>
          <w:rFonts w:hint="eastAsia" w:ascii="仿宋" w:hAnsi="仿宋" w:eastAsia="仿宋" w:cs="仿宋_GB2312"/>
          <w:sz w:val="32"/>
          <w:szCs w:val="32"/>
        </w:rPr>
      </w:pPr>
      <w:r>
        <w:rPr>
          <w:rFonts w:hint="eastAsia" w:ascii="仿宋" w:hAnsi="仿宋" w:eastAsia="仿宋" w:cs="仿宋_GB2312"/>
          <w:sz w:val="32"/>
          <w:szCs w:val="32"/>
        </w:rPr>
        <w:t>到2020年，基本建立全科医生规范化培训制度，争取达到每万常住人口3.24名合格的全科医生，重点加强社康机构人员配置：</w:t>
      </w:r>
    </w:p>
    <w:p>
      <w:pPr>
        <w:snapToGrid w:val="0"/>
        <w:spacing w:line="560" w:lineRule="atLeast"/>
        <w:ind w:left="0" w:leftChars="0" w:firstLine="640" w:firstLineChars="200"/>
        <w:rPr>
          <w:rFonts w:hint="eastAsia" w:ascii="楷体_GB2312" w:eastAsia="楷体_GB2312"/>
          <w:kern w:val="0"/>
          <w:sz w:val="32"/>
          <w:szCs w:val="32"/>
        </w:rPr>
      </w:pPr>
      <w:r>
        <w:rPr>
          <w:rFonts w:hint="eastAsia" w:ascii="楷体_GB2312" w:eastAsia="楷体_GB2312"/>
          <w:kern w:val="0"/>
          <w:sz w:val="32"/>
          <w:szCs w:val="32"/>
        </w:rPr>
        <w:t>（</w:t>
      </w:r>
      <w:r>
        <w:rPr>
          <w:rFonts w:hint="eastAsia" w:ascii="楷体_GB2312" w:eastAsia="楷体_GB2312"/>
          <w:kern w:val="0"/>
          <w:sz w:val="32"/>
          <w:szCs w:val="32"/>
          <w:lang w:val="en-US" w:eastAsia="zh-CN"/>
        </w:rPr>
        <w:t>1</w:t>
      </w:r>
      <w:r>
        <w:rPr>
          <w:rFonts w:hint="eastAsia" w:ascii="楷体_GB2312" w:eastAsia="楷体_GB2312"/>
          <w:kern w:val="0"/>
          <w:sz w:val="32"/>
          <w:szCs w:val="32"/>
        </w:rPr>
        <w:t>）社康中心</w:t>
      </w:r>
    </w:p>
    <w:p>
      <w:pPr>
        <w:spacing w:line="572" w:lineRule="atLeast"/>
        <w:ind w:left="0" w:leftChars="0" w:firstLine="640" w:firstLineChars="200"/>
        <w:rPr>
          <w:rFonts w:hint="eastAsia" w:ascii="仿宋_GB2312" w:eastAsia="仿宋_GB2312"/>
          <w:kern w:val="0"/>
          <w:sz w:val="32"/>
          <w:szCs w:val="32"/>
        </w:rPr>
      </w:pPr>
      <w:r>
        <w:rPr>
          <w:rFonts w:hint="eastAsia" w:ascii="仿宋_GB2312" w:eastAsia="仿宋_GB2312"/>
          <w:kern w:val="0"/>
          <w:sz w:val="32"/>
          <w:szCs w:val="32"/>
        </w:rPr>
        <w:t>一类社康中心医护人员需达到36名以上。</w:t>
      </w:r>
      <w:r>
        <w:rPr>
          <w:rFonts w:hint="eastAsia" w:ascii="楷体_GB2312" w:eastAsia="楷体_GB2312"/>
          <w:kern w:val="0"/>
          <w:sz w:val="32"/>
          <w:szCs w:val="32"/>
        </w:rPr>
        <w:t>应</w:t>
      </w:r>
      <w:r>
        <w:rPr>
          <w:rFonts w:hint="eastAsia" w:ascii="仿宋_GB2312" w:eastAsia="仿宋_GB2312"/>
          <w:kern w:val="0"/>
          <w:sz w:val="32"/>
          <w:szCs w:val="32"/>
        </w:rPr>
        <w:t>明确按照其服务人口每万人配置3.2名全科医生，同时计划免疫、妇女保健、儿童保健、精神病防控均应配备相应工作人员，各专职人数不少于1人；药剂师不少于3人；检验专业人员不少于2人；至少配备3名专职或兼职的康复医师；至少配备1名健康管理师；其他人员按需配备。</w:t>
      </w:r>
    </w:p>
    <w:p>
      <w:pPr>
        <w:spacing w:line="572" w:lineRule="atLeast"/>
        <w:ind w:left="0" w:leftChars="0" w:firstLine="640" w:firstLineChars="200"/>
        <w:rPr>
          <w:rFonts w:hint="eastAsia" w:ascii="仿宋_GB2312" w:eastAsia="仿宋_GB2312"/>
          <w:kern w:val="0"/>
          <w:sz w:val="32"/>
          <w:szCs w:val="32"/>
        </w:rPr>
      </w:pPr>
      <w:r>
        <w:rPr>
          <w:rFonts w:hint="eastAsia" w:ascii="仿宋_GB2312" w:eastAsia="仿宋_GB2312"/>
          <w:kern w:val="0"/>
          <w:sz w:val="32"/>
          <w:szCs w:val="32"/>
        </w:rPr>
        <w:t>二类社康中心医护人员需达到20名以上。</w:t>
      </w:r>
      <w:r>
        <w:rPr>
          <w:rFonts w:hint="eastAsia" w:ascii="楷体_GB2312" w:eastAsia="楷体_GB2312"/>
          <w:kern w:val="0"/>
          <w:sz w:val="32"/>
          <w:szCs w:val="32"/>
        </w:rPr>
        <w:t>应</w:t>
      </w:r>
      <w:r>
        <w:rPr>
          <w:rFonts w:hint="eastAsia" w:ascii="仿宋_GB2312" w:eastAsia="仿宋_GB2312"/>
          <w:kern w:val="0"/>
          <w:sz w:val="32"/>
          <w:szCs w:val="32"/>
        </w:rPr>
        <w:t>明确按照其服务人口每万人配置3.2名全科医生，同时计划免疫、妇女保健、儿童保健、精神病防控均应配备相应工作人员，各专职人数不少于1人；药剂师不少于1人；检验专业人员不少于1人；至少配备1名专职或兼职的康复治疗师；其他人员按需配备。</w:t>
      </w:r>
    </w:p>
    <w:p>
      <w:pPr>
        <w:spacing w:line="572" w:lineRule="atLeast"/>
        <w:ind w:left="0" w:leftChars="0" w:firstLine="640" w:firstLineChars="200"/>
        <w:rPr>
          <w:rFonts w:hint="eastAsia" w:ascii="楷体_GB2312" w:eastAsia="楷体_GB2312"/>
          <w:kern w:val="0"/>
          <w:sz w:val="32"/>
          <w:szCs w:val="32"/>
        </w:rPr>
      </w:pPr>
      <w:r>
        <w:rPr>
          <w:rFonts w:hint="eastAsia" w:ascii="楷体_GB2312" w:eastAsia="楷体_GB2312"/>
          <w:kern w:val="0"/>
          <w:sz w:val="32"/>
          <w:szCs w:val="32"/>
        </w:rPr>
        <w:t>（</w:t>
      </w:r>
      <w:r>
        <w:rPr>
          <w:rFonts w:hint="eastAsia" w:ascii="楷体_GB2312" w:eastAsia="楷体_GB2312"/>
          <w:kern w:val="0"/>
          <w:sz w:val="32"/>
          <w:szCs w:val="32"/>
          <w:lang w:val="en-US" w:eastAsia="zh-CN"/>
        </w:rPr>
        <w:t>2</w:t>
      </w:r>
      <w:r>
        <w:rPr>
          <w:rFonts w:hint="eastAsia" w:ascii="楷体_GB2312" w:eastAsia="楷体_GB2312"/>
          <w:kern w:val="0"/>
          <w:sz w:val="32"/>
          <w:szCs w:val="32"/>
        </w:rPr>
        <w:t>）社康站</w:t>
      </w:r>
    </w:p>
    <w:p>
      <w:pPr>
        <w:spacing w:line="572" w:lineRule="atLeast"/>
        <w:ind w:left="0" w:leftChars="0" w:firstLine="640" w:firstLineChars="200"/>
        <w:rPr>
          <w:rFonts w:hint="eastAsia" w:ascii="仿宋_GB2312" w:eastAsia="仿宋_GB2312"/>
          <w:kern w:val="0"/>
          <w:sz w:val="32"/>
          <w:szCs w:val="32"/>
        </w:rPr>
      </w:pPr>
      <w:r>
        <w:rPr>
          <w:rFonts w:hint="eastAsia" w:ascii="仿宋_GB2312" w:eastAsia="仿宋_GB2312"/>
          <w:kern w:val="0"/>
          <w:sz w:val="32"/>
          <w:szCs w:val="32"/>
        </w:rPr>
        <w:t>社康站医护人员需达到8名以上。其他人员需符合开设医疗服务项目的相关要求。</w:t>
      </w:r>
    </w:p>
    <w:p>
      <w:pPr>
        <w:snapToGrid w:val="0"/>
        <w:spacing w:line="560" w:lineRule="exact"/>
        <w:ind w:left="0" w:firstLine="640"/>
        <w:rPr>
          <w:rFonts w:ascii="仿宋_GB2312" w:hAnsi="宋体" w:eastAsia="仿宋_GB2312" w:cs="宋体"/>
          <w:b w:val="0"/>
          <w:bCs/>
          <w:kern w:val="0"/>
          <w:sz w:val="32"/>
          <w:szCs w:val="32"/>
        </w:rPr>
      </w:pPr>
      <w:r>
        <w:rPr>
          <w:rFonts w:hint="eastAsia" w:ascii="仿宋_GB2312" w:hAnsi="宋体" w:eastAsia="仿宋_GB2312" w:cs="宋体"/>
          <w:b/>
          <w:kern w:val="0"/>
          <w:sz w:val="32"/>
          <w:szCs w:val="32"/>
        </w:rPr>
        <w:t>4.公共卫生机构。</w:t>
      </w:r>
      <w:r>
        <w:rPr>
          <w:rFonts w:hint="eastAsia" w:ascii="仿宋_GB2312" w:hAnsi="宋体" w:eastAsia="仿宋_GB2312" w:cs="宋体"/>
          <w:b w:val="0"/>
          <w:bCs/>
          <w:kern w:val="0"/>
          <w:sz w:val="32"/>
          <w:szCs w:val="32"/>
        </w:rPr>
        <w:t>包括区妇幼保健计生服务中心、区慢性病防治院、区老</w:t>
      </w:r>
      <w:r>
        <w:rPr>
          <w:rFonts w:hint="eastAsia" w:ascii="仿宋_GB2312" w:hAnsi="宋体" w:eastAsia="仿宋_GB2312" w:cs="宋体"/>
          <w:b w:val="0"/>
          <w:bCs/>
          <w:kern w:val="0"/>
          <w:sz w:val="32"/>
          <w:szCs w:val="32"/>
          <w:lang w:eastAsia="zh-CN"/>
        </w:rPr>
        <w:t>人</w:t>
      </w:r>
      <w:r>
        <w:rPr>
          <w:rFonts w:hint="eastAsia" w:ascii="仿宋_GB2312" w:hAnsi="宋体" w:eastAsia="仿宋_GB2312" w:cs="宋体"/>
          <w:b w:val="0"/>
          <w:bCs/>
          <w:kern w:val="0"/>
          <w:sz w:val="32"/>
          <w:szCs w:val="32"/>
        </w:rPr>
        <w:t>康复</w:t>
      </w:r>
      <w:r>
        <w:rPr>
          <w:rFonts w:hint="eastAsia" w:ascii="仿宋_GB2312" w:hAnsi="宋体" w:eastAsia="仿宋_GB2312" w:cs="宋体"/>
          <w:bCs/>
          <w:kern w:val="0"/>
          <w:sz w:val="32"/>
          <w:szCs w:val="32"/>
        </w:rPr>
        <w:t>护理</w:t>
      </w:r>
      <w:r>
        <w:rPr>
          <w:rFonts w:hint="eastAsia" w:ascii="仿宋_GB2312" w:hAnsi="宋体" w:eastAsia="仿宋_GB2312" w:cs="宋体"/>
          <w:b w:val="0"/>
          <w:bCs/>
          <w:kern w:val="0"/>
          <w:sz w:val="32"/>
          <w:szCs w:val="32"/>
        </w:rPr>
        <w:t>院、区疾病预防控制中心</w:t>
      </w:r>
      <w:r>
        <w:rPr>
          <w:rFonts w:hint="eastAsia" w:ascii="仿宋_GB2312" w:hAnsi="宋体" w:eastAsia="仿宋_GB2312" w:cs="宋体"/>
          <w:b w:val="0"/>
          <w:bCs/>
          <w:kern w:val="0"/>
          <w:sz w:val="32"/>
          <w:szCs w:val="32"/>
          <w:lang w:eastAsia="zh-CN"/>
        </w:rPr>
        <w:t>、</w:t>
      </w:r>
      <w:r>
        <w:rPr>
          <w:rFonts w:hint="eastAsia" w:ascii="仿宋_GB2312" w:hAnsi="宋体" w:eastAsia="仿宋_GB2312" w:cs="宋体"/>
          <w:b w:val="0"/>
          <w:bCs/>
          <w:kern w:val="0"/>
          <w:sz w:val="32"/>
          <w:szCs w:val="32"/>
        </w:rPr>
        <w:t>区卫生监督所</w:t>
      </w:r>
      <w:r>
        <w:rPr>
          <w:rFonts w:hint="eastAsia" w:ascii="仿宋_GB2312" w:hAnsi="宋体" w:eastAsia="仿宋_GB2312" w:cs="宋体"/>
          <w:b w:val="0"/>
          <w:bCs/>
          <w:kern w:val="0"/>
          <w:sz w:val="32"/>
          <w:szCs w:val="32"/>
          <w:lang w:eastAsia="zh-CN"/>
        </w:rPr>
        <w:t>、</w:t>
      </w:r>
      <w:r>
        <w:rPr>
          <w:rFonts w:hint="eastAsia" w:ascii="仿宋_GB2312" w:hAnsi="宋体" w:eastAsia="仿宋_GB2312" w:cs="宋体"/>
          <w:b w:val="0"/>
          <w:bCs/>
          <w:kern w:val="0"/>
          <w:sz w:val="32"/>
          <w:szCs w:val="32"/>
        </w:rPr>
        <w:t>区健康教育所。</w:t>
      </w:r>
    </w:p>
    <w:p>
      <w:pPr>
        <w:snapToGrid w:val="0"/>
        <w:spacing w:line="560" w:lineRule="exact"/>
        <w:ind w:left="0" w:firstLine="640"/>
        <w:rPr>
          <w:rFonts w:ascii="仿宋" w:hAnsi="仿宋" w:eastAsia="仿宋" w:cs="仿宋_GB2312"/>
          <w:sz w:val="32"/>
          <w:szCs w:val="32"/>
        </w:rPr>
      </w:pPr>
      <w:r>
        <w:rPr>
          <w:rFonts w:hint="eastAsia" w:ascii="仿宋" w:hAnsi="仿宋" w:eastAsia="仿宋" w:cs="仿宋_GB2312"/>
          <w:sz w:val="32"/>
          <w:szCs w:val="32"/>
        </w:rPr>
        <w:t>妇幼保健计生服务专业人员配置，根据辖区服务人口、保障需求、市区卫生和计划生育事业发展规划以及承担的功能任务等合理配备人员。到2020年，</w:t>
      </w:r>
      <w:r>
        <w:rPr>
          <w:rFonts w:hint="eastAsia" w:ascii="仿宋_GB2312" w:eastAsia="仿宋_GB2312"/>
          <w:kern w:val="0"/>
          <w:sz w:val="32"/>
          <w:szCs w:val="32"/>
        </w:rPr>
        <w:t>卫生技术人员比例</w:t>
      </w:r>
      <w:r>
        <w:rPr>
          <w:rFonts w:hint="eastAsia" w:ascii="仿宋" w:hAnsi="仿宋" w:eastAsia="仿宋" w:cs="仿宋_GB2312"/>
          <w:sz w:val="32"/>
          <w:szCs w:val="32"/>
        </w:rPr>
        <w:t>不低于人员总数的80%。医院执业（助理）医师具有本科及以上学历占比达到85%，具有中级以上职称占比不低于60%；注册护士具有大专及以上学历占比不低于60%，具有中级以上职称占比不低于20%。</w:t>
      </w:r>
    </w:p>
    <w:p>
      <w:pPr>
        <w:snapToGrid w:val="0"/>
        <w:spacing w:line="560" w:lineRule="exact"/>
        <w:ind w:left="0" w:firstLine="640"/>
        <w:rPr>
          <w:rFonts w:ascii="仿宋" w:hAnsi="仿宋" w:eastAsia="仿宋" w:cs="仿宋_GB2312"/>
          <w:sz w:val="32"/>
          <w:szCs w:val="32"/>
        </w:rPr>
      </w:pPr>
      <w:r>
        <w:rPr>
          <w:rFonts w:hint="eastAsia" w:ascii="仿宋" w:hAnsi="仿宋" w:eastAsia="仿宋" w:cs="仿宋_GB2312"/>
          <w:sz w:val="32"/>
          <w:szCs w:val="32"/>
        </w:rPr>
        <w:t>慢病防治、老</w:t>
      </w:r>
      <w:r>
        <w:rPr>
          <w:rFonts w:hint="eastAsia" w:ascii="仿宋" w:hAnsi="仿宋" w:eastAsia="仿宋" w:cs="仿宋_GB2312"/>
          <w:sz w:val="32"/>
          <w:szCs w:val="32"/>
          <w:lang w:eastAsia="zh-CN"/>
        </w:rPr>
        <w:t>年</w:t>
      </w:r>
      <w:r>
        <w:rPr>
          <w:rFonts w:hint="eastAsia" w:ascii="仿宋" w:hAnsi="仿宋" w:eastAsia="仿宋" w:cs="仿宋_GB2312"/>
          <w:sz w:val="32"/>
          <w:szCs w:val="32"/>
        </w:rPr>
        <w:t>康复等按照区域内人口及承担的慢病防治任务、辖区居民需求配置专业技术人员。加大精神卫生防治人员引进及配置力度，到2020年，辖区每10万人精神科执业（助理）医师数量力争达到3.8人，积极推进专业精神卫生防治人员进社区卫生服务中心工作落实。按照医养结合要求及居民需求，合理配备老年康复护理专业人员。</w:t>
      </w:r>
    </w:p>
    <w:p>
      <w:pPr>
        <w:snapToGrid w:val="0"/>
        <w:spacing w:line="560" w:lineRule="exact"/>
        <w:ind w:left="0" w:firstLine="640"/>
        <w:rPr>
          <w:rFonts w:ascii="仿宋" w:hAnsi="仿宋" w:eastAsia="仿宋" w:cs="仿宋_GB2312"/>
          <w:sz w:val="32"/>
          <w:szCs w:val="32"/>
        </w:rPr>
      </w:pPr>
      <w:r>
        <w:rPr>
          <w:rFonts w:hint="eastAsia" w:ascii="仿宋" w:hAnsi="仿宋" w:eastAsia="仿宋" w:cs="仿宋_GB2312"/>
          <w:sz w:val="32"/>
          <w:szCs w:val="32"/>
        </w:rPr>
        <w:t>结合本地区疾病预防控制任务、人口等情况合理配备疾病预防控制中心人员。专业技术人员占编制总额的比例不得低于90%，,研究生以上学历占比达40%以上，高级职称占比50%以上。</w:t>
      </w:r>
    </w:p>
    <w:p>
      <w:pPr>
        <w:snapToGrid w:val="0"/>
        <w:spacing w:line="560" w:lineRule="exact"/>
        <w:ind w:left="0" w:firstLine="640"/>
        <w:rPr>
          <w:rFonts w:ascii="仿宋_GB2312" w:hAnsi="宋体" w:eastAsia="仿宋_GB2312" w:cs="Arial"/>
          <w:sz w:val="32"/>
          <w:szCs w:val="32"/>
        </w:rPr>
      </w:pPr>
      <w:r>
        <w:rPr>
          <w:rFonts w:hint="eastAsia" w:ascii="仿宋" w:hAnsi="仿宋" w:eastAsia="仿宋" w:cs="仿宋_GB2312"/>
          <w:sz w:val="32"/>
          <w:szCs w:val="32"/>
        </w:rPr>
        <w:t>结合区卫生监督任务，合理配备卫生监督所医疗卫生、学校卫生、公共卫生等专职卫生监督员。医疗卫生、公共卫生、法律等专业人员配置比例不得低于80%，本科学历及以上占比不低于90%。适度增加社区卫生监督人员配置。</w:t>
      </w:r>
      <w:r>
        <w:rPr>
          <w:rFonts w:hint="eastAsia" w:ascii="仿宋_GB2312" w:hAnsi="宋体" w:eastAsia="仿宋_GB2312" w:cs="Times New Roman"/>
          <w:sz w:val="32"/>
          <w:szCs w:val="32"/>
        </w:rPr>
        <w:t>卫生执法人员系统开展卫生相关法律法规及其它法律专业学习的达100%</w:t>
      </w:r>
      <w:r>
        <w:rPr>
          <w:rFonts w:hint="eastAsia" w:ascii="仿宋_GB2312" w:hAnsi="宋体" w:eastAsia="仿宋_GB2312" w:cs="Arial"/>
          <w:sz w:val="32"/>
          <w:szCs w:val="32"/>
        </w:rPr>
        <w:t>。</w:t>
      </w:r>
    </w:p>
    <w:p>
      <w:pPr>
        <w:snapToGrid w:val="0"/>
        <w:spacing w:line="560" w:lineRule="exact"/>
        <w:ind w:left="0" w:firstLine="640"/>
        <w:rPr>
          <w:rFonts w:ascii="仿宋" w:hAnsi="仿宋" w:eastAsia="仿宋" w:cs="仿宋_GB2312"/>
          <w:sz w:val="32"/>
          <w:szCs w:val="32"/>
        </w:rPr>
      </w:pPr>
      <w:r>
        <w:rPr>
          <w:rFonts w:hint="eastAsia" w:ascii="仿宋" w:hAnsi="仿宋" w:eastAsia="仿宋" w:cs="仿宋_GB2312"/>
          <w:sz w:val="32"/>
          <w:szCs w:val="32"/>
        </w:rPr>
        <w:t>区健康教育所根据辖区服务人口、社会需求、健康教育与健康促进发展规划等情况合理配备人员，卫生专业工作人员占比不低于90%。</w:t>
      </w:r>
    </w:p>
    <w:p>
      <w:pPr>
        <w:snapToGrid w:val="0"/>
        <w:spacing w:line="560" w:lineRule="exact"/>
        <w:ind w:left="0" w:firstLine="640"/>
        <w:rPr>
          <w:rFonts w:ascii="黑体" w:hAnsi="黑体" w:eastAsia="黑体" w:cs="仿宋_GB2312"/>
          <w:sz w:val="32"/>
          <w:szCs w:val="32"/>
        </w:rPr>
      </w:pPr>
      <w:r>
        <w:rPr>
          <w:rFonts w:hint="eastAsia" w:ascii="黑体" w:hAnsi="黑体" w:eastAsia="黑体" w:cs="仿宋_GB2312"/>
          <w:sz w:val="32"/>
          <w:szCs w:val="32"/>
        </w:rPr>
        <w:t>二、人才培养</w:t>
      </w:r>
    </w:p>
    <w:p>
      <w:pPr>
        <w:snapToGrid w:val="0"/>
        <w:spacing w:line="560" w:lineRule="exact"/>
        <w:ind w:left="0" w:firstLine="640"/>
        <w:rPr>
          <w:rFonts w:ascii="仿宋_GB2312" w:eastAsia="仿宋_GB2312" w:cs="Times New Roman"/>
          <w:spacing w:val="8"/>
          <w:sz w:val="32"/>
          <w:szCs w:val="32"/>
        </w:rPr>
      </w:pPr>
      <w:r>
        <w:rPr>
          <w:rFonts w:hint="eastAsia" w:ascii="楷体" w:hAnsi="楷体" w:eastAsia="楷体" w:cs="Times New Roman"/>
          <w:b/>
          <w:spacing w:val="8"/>
          <w:sz w:val="32"/>
          <w:szCs w:val="32"/>
        </w:rPr>
        <w:t>（一）全面推进卫生人才“全周期”培养。</w:t>
      </w:r>
      <w:r>
        <w:rPr>
          <w:rFonts w:hint="eastAsia" w:ascii="仿宋_GB2312" w:eastAsia="仿宋_GB2312" w:cs="Times New Roman"/>
          <w:spacing w:val="8"/>
          <w:sz w:val="32"/>
          <w:szCs w:val="32"/>
        </w:rPr>
        <w:t>人才全周期培养是全员、全周期、全面系统地人才培养体系。要充分认可每一位人才的发展潜力，尊重每一位人才的成才愿望，为人才提供个性化成长机会和发展空间；要贯穿职业发展全过程，覆盖人才成长的每个职业发展阶段；要致力于人的全面发展与职业技能的全面提升，形成系统性培养计划。建立“政府引导、医院主导、个体主动”的卫生专业技术人才全周期培养工作机制，完善医院主体培养、科室主体落实、个人主动作为的全周期培养责任体制。协助专业技术人才明晰职业发展路径，搭建职业发展框架，激发个人成才愿望与成长动力，提升工作效能与发展潜能；督促医疗卫生机构重视人才培养、尊重人才发展，切实落实人才培养的主体责任；在全系统形成爱才惜才、重才留才的良好氛围，建立人尽其才、人才辈出的体制机制，形成促进人才发展、建立人才终身学习的良好氛围。</w:t>
      </w:r>
    </w:p>
    <w:p>
      <w:pPr>
        <w:snapToGrid w:val="0"/>
        <w:spacing w:line="560" w:lineRule="exact"/>
        <w:ind w:left="0" w:firstLine="640"/>
        <w:rPr>
          <w:rFonts w:ascii="仿宋_GB2312" w:hAnsi="仿宋_GB2312" w:eastAsia="仿宋_GB2312" w:cs="仿宋_GB2312"/>
          <w:kern w:val="0"/>
          <w:sz w:val="32"/>
          <w:szCs w:val="32"/>
        </w:rPr>
      </w:pPr>
      <w:r>
        <w:rPr>
          <w:rFonts w:hint="eastAsia" w:ascii="楷体" w:hAnsi="楷体" w:eastAsia="楷体" w:cs="仿宋_GB2312"/>
          <w:b/>
          <w:kern w:val="0"/>
          <w:sz w:val="32"/>
          <w:szCs w:val="32"/>
        </w:rPr>
        <w:t>（二）规范住院医师、全科医师人才培养体系。</w:t>
      </w:r>
      <w:r>
        <w:rPr>
          <w:rFonts w:hint="eastAsia" w:ascii="仿宋_GB2312" w:hAnsi="仿宋_GB2312" w:eastAsia="仿宋_GB2312" w:cs="仿宋_GB2312"/>
          <w:kern w:val="0"/>
          <w:sz w:val="32"/>
          <w:szCs w:val="32"/>
        </w:rPr>
        <w:t>继续抓好现有人才队伍住院医师、全科医师岗位培训工作，系统推进其规范化培训及考核。</w:t>
      </w:r>
      <w:r>
        <w:rPr>
          <w:rFonts w:hint="eastAsia" w:ascii="仿宋_GB2312" w:hAnsi="仿宋_GB2312" w:eastAsia="仿宋_GB2312" w:cs="仿宋_GB2312"/>
          <w:kern w:val="0"/>
          <w:sz w:val="32"/>
          <w:szCs w:val="32"/>
          <w:lang w:eastAsia="zh-CN"/>
        </w:rPr>
        <w:t>具备条件的医院积极</w:t>
      </w:r>
      <w:r>
        <w:rPr>
          <w:rFonts w:hint="eastAsia" w:ascii="仿宋_GB2312" w:hAnsi="仿宋_GB2312" w:eastAsia="仿宋_GB2312" w:cs="仿宋_GB2312"/>
          <w:kern w:val="0"/>
          <w:sz w:val="32"/>
          <w:szCs w:val="32"/>
        </w:rPr>
        <w:t>申报住院医师和全科医师规范化培训基地。在过渡期内，依托财政支持，推进新入职医务人员100%参加住院医师、全科医师规范化培训并取得合格证书。把好人员入口关，100%面向规范化培训人员，加大引进力度，提升队伍整体素质。</w:t>
      </w:r>
    </w:p>
    <w:p>
      <w:pPr>
        <w:snapToGrid w:val="0"/>
        <w:spacing w:line="560" w:lineRule="exact"/>
        <w:ind w:left="0" w:firstLine="640"/>
        <w:rPr>
          <w:rFonts w:ascii="仿宋_GB2312" w:hAnsi="仿宋_GB2312" w:eastAsia="仿宋_GB2312" w:cs="仿宋_GB2312"/>
          <w:kern w:val="0"/>
          <w:sz w:val="32"/>
          <w:szCs w:val="32"/>
        </w:rPr>
      </w:pPr>
      <w:r>
        <w:rPr>
          <w:rFonts w:hint="eastAsia" w:ascii="楷体" w:hAnsi="楷体" w:eastAsia="楷体" w:cs="仿宋_GB2312"/>
          <w:b/>
          <w:kern w:val="0"/>
          <w:sz w:val="32"/>
          <w:szCs w:val="32"/>
        </w:rPr>
        <w:t>（三）加大高层次卫生人才培养力度。</w:t>
      </w:r>
      <w:r>
        <w:rPr>
          <w:rFonts w:hint="eastAsia" w:ascii="仿宋_GB2312" w:hAnsi="仿宋_GB2312" w:eastAsia="仿宋_GB2312" w:cs="仿宋_GB2312"/>
          <w:kern w:val="0"/>
          <w:sz w:val="32"/>
          <w:szCs w:val="32"/>
        </w:rPr>
        <w:t xml:space="preserve">健全医学领军人才和拔尖创新人才选拔、培养、考核体系，完善医学人才成长机制，重视青年医学人才培养，通过加强人才引进、完善选拔机制、建立研修制度、资助重大学术活动等措施，努力打造医学人才高地。 </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楷体" w:hAnsi="楷体" w:eastAsia="楷体" w:cs="仿宋_GB2312"/>
          <w:b/>
          <w:kern w:val="0"/>
          <w:sz w:val="32"/>
          <w:szCs w:val="32"/>
        </w:rPr>
        <w:t>（四）突出抓好社康人才培养。</w:t>
      </w:r>
      <w:r>
        <w:rPr>
          <w:rFonts w:hint="eastAsia" w:ascii="仿宋_GB2312" w:hAnsi="仿宋_GB2312" w:eastAsia="仿宋_GB2312" w:cs="仿宋_GB2312"/>
          <w:kern w:val="0"/>
          <w:sz w:val="32"/>
          <w:szCs w:val="32"/>
        </w:rPr>
        <w:t>加强以全科医生为重点的社康医疗卫生队伍建设，健全在岗培训制度，在规范化培训基础上，抓好在岗医师转岗培训、提升基层在岗医师层次等渠道，全面提升社康医疗卫生人才队伍服务能力水平。加强政策引导，岗位设置、职称评审、薪酬分配，适度向社康执行倾斜，推动优秀医疗卫生人才向社康流动并安心长期工作在基层。</w:t>
      </w:r>
    </w:p>
    <w:p>
      <w:pPr>
        <w:snapToGrid w:val="0"/>
        <w:spacing w:line="560" w:lineRule="exact"/>
        <w:ind w:left="0" w:firstLine="640"/>
        <w:rPr>
          <w:rFonts w:ascii="仿宋_GB2312" w:hAnsi="Times New Roman" w:eastAsia="仿宋_GB2312" w:cs="Times New Roman"/>
          <w:bCs/>
          <w:sz w:val="32"/>
          <w:szCs w:val="32"/>
        </w:rPr>
      </w:pPr>
      <w:r>
        <w:rPr>
          <w:rFonts w:hint="eastAsia" w:ascii="楷体" w:hAnsi="楷体" w:eastAsia="楷体" w:cs="Times New Roman"/>
          <w:b/>
          <w:sz w:val="32"/>
          <w:szCs w:val="32"/>
        </w:rPr>
        <w:t>（五）推进多层次人才培养。</w:t>
      </w:r>
      <w:r>
        <w:rPr>
          <w:rFonts w:hint="eastAsia" w:ascii="仿宋_GB2312" w:hAnsi="Times New Roman" w:eastAsia="仿宋_GB2312" w:cs="Times New Roman"/>
          <w:bCs/>
          <w:sz w:val="32"/>
          <w:szCs w:val="32"/>
        </w:rPr>
        <w:t>加强中医药人才培养，到2020年，重点培养一批中医、中西医结合、临床与科研结合的专家和学科带头人，其中中医学科带头人5-10名，中西医结合专家5-10名，其他专科人才20名。引进和培养中医全科医师100名；加强公共卫生人才队伍建设，以公共卫生体系建设为目标，确立公共卫生人才队伍建设重点，引进和培养10名预防医学和卫生监督学科带头人，选拔培养20名优秀青年人才。加快实施公共卫生医师规范化培训、全员岗位培训项目，进一步提高公共卫生人员的学历层次和业务水平；加强护理队伍建设，全面落实护理发展纲要，实施以培养和引进并重的护理人才发展战略。按照治疗、护理、康复分类管理和社区护士的要求，科学合理配置护理人才资源。</w:t>
      </w:r>
    </w:p>
    <w:p>
      <w:pPr>
        <w:snapToGrid w:val="0"/>
        <w:spacing w:line="560" w:lineRule="exact"/>
        <w:ind w:left="0" w:firstLine="640"/>
        <w:rPr>
          <w:rFonts w:ascii="黑体" w:hAnsi="黑体" w:eastAsia="黑体" w:cs="Times New Roman"/>
          <w:spacing w:val="8"/>
          <w:sz w:val="32"/>
          <w:szCs w:val="32"/>
        </w:rPr>
      </w:pPr>
      <w:r>
        <w:rPr>
          <w:rFonts w:hint="eastAsia" w:ascii="黑体" w:hAnsi="黑体" w:eastAsia="黑体" w:cs="Times New Roman"/>
          <w:spacing w:val="8"/>
          <w:sz w:val="32"/>
          <w:szCs w:val="32"/>
        </w:rPr>
        <w:t>三、人才使用</w:t>
      </w:r>
    </w:p>
    <w:p>
      <w:pPr>
        <w:snapToGrid w:val="0"/>
        <w:spacing w:line="560" w:lineRule="exact"/>
        <w:ind w:left="0" w:firstLine="640"/>
        <w:rPr>
          <w:rFonts w:ascii="仿宋_GB2312" w:hAnsi="宋体" w:eastAsia="仿宋_GB2312" w:cs="宋体"/>
          <w:kern w:val="0"/>
          <w:sz w:val="32"/>
          <w:szCs w:val="32"/>
        </w:rPr>
      </w:pPr>
      <w:r>
        <w:rPr>
          <w:rFonts w:hint="eastAsia" w:ascii="仿宋_GB2312" w:eastAsia="仿宋_GB2312" w:cs="Times New Roman"/>
          <w:spacing w:val="8"/>
          <w:sz w:val="32"/>
          <w:szCs w:val="32"/>
        </w:rPr>
        <w:t>（一）</w:t>
      </w:r>
      <w:r>
        <w:rPr>
          <w:rFonts w:hint="eastAsia" w:ascii="楷体_GB2312" w:hAnsi="宋体" w:eastAsia="楷体_GB2312" w:cs="宋体"/>
          <w:b/>
          <w:kern w:val="0"/>
          <w:sz w:val="32"/>
          <w:szCs w:val="32"/>
        </w:rPr>
        <w:t>加强人才工作的组织领导。</w:t>
      </w:r>
      <w:r>
        <w:rPr>
          <w:rFonts w:hint="eastAsia" w:ascii="仿宋_GB2312" w:hAnsi="宋体" w:eastAsia="仿宋_GB2312" w:cs="宋体"/>
          <w:kern w:val="0"/>
          <w:sz w:val="32"/>
          <w:szCs w:val="32"/>
        </w:rPr>
        <w:t>建立“一把手”抓“第一资源”责任制，建立人才工作统筹规划、协调发展的运行机制，提高人才队伍建设的组织化程度。建立健全人才工作领导机构和工作机构，强化工作职能。把人才工作列入各单位班子的任期目标，作为政绩考核的重要内容。进一步</w:t>
      </w:r>
      <w:r>
        <w:rPr>
          <w:rFonts w:hint="eastAsia" w:ascii="仿宋" w:hAnsi="仿宋" w:eastAsia="仿宋" w:cs="宋体"/>
          <w:kern w:val="0"/>
          <w:sz w:val="32"/>
          <w:szCs w:val="32"/>
        </w:rPr>
        <w:t>加大人才管理力度，做</w:t>
      </w:r>
      <w:r>
        <w:rPr>
          <w:rFonts w:hint="eastAsia" w:ascii="仿宋_GB2312" w:hAnsi="宋体" w:eastAsia="仿宋_GB2312" w:cs="宋体"/>
          <w:kern w:val="0"/>
          <w:sz w:val="32"/>
          <w:szCs w:val="32"/>
        </w:rPr>
        <w:t>好区卫生系统人才库建设，掌握人才资源第一手材料。</w:t>
      </w:r>
    </w:p>
    <w:p>
      <w:pPr>
        <w:snapToGrid w:val="0"/>
        <w:spacing w:line="560" w:lineRule="exact"/>
        <w:ind w:left="0" w:firstLine="640"/>
        <w:rPr>
          <w:rFonts w:ascii="仿宋_GB2312" w:hAnsi="Times New Roman" w:eastAsia="仿宋_GB2312" w:cs="Times New Roman"/>
          <w:sz w:val="32"/>
          <w:szCs w:val="32"/>
        </w:rPr>
      </w:pPr>
      <w:r>
        <w:rPr>
          <w:rFonts w:hint="eastAsia" w:ascii="楷体" w:hAnsi="楷体" w:eastAsia="楷体" w:cs="Times New Roman"/>
          <w:b/>
          <w:sz w:val="32"/>
          <w:szCs w:val="32"/>
        </w:rPr>
        <w:t>（二）完善岗位管理制度</w:t>
      </w:r>
      <w:r>
        <w:rPr>
          <w:rFonts w:hint="eastAsia" w:ascii="仿宋_GB2312" w:hAnsi="Times New Roman" w:eastAsia="仿宋_GB2312" w:cs="Times New Roman"/>
          <w:b/>
          <w:bCs/>
          <w:sz w:val="32"/>
          <w:szCs w:val="32"/>
        </w:rPr>
        <w:t>。</w:t>
      </w:r>
      <w:r>
        <w:rPr>
          <w:rFonts w:hint="eastAsia" w:ascii="仿宋_GB2312" w:hAnsi="Times New Roman" w:eastAsia="仿宋_GB2312" w:cs="Times New Roman"/>
          <w:b w:val="0"/>
          <w:sz w:val="32"/>
          <w:szCs w:val="32"/>
        </w:rPr>
        <w:t>打破身份界限，促进固定用人向合同用人、身份管理向岗位管理转变。</w:t>
      </w:r>
      <w:r>
        <w:rPr>
          <w:rFonts w:hint="eastAsia" w:ascii="仿宋_GB2312" w:hAnsi="Times New Roman" w:eastAsia="仿宋_GB2312" w:cs="Times New Roman"/>
          <w:sz w:val="32"/>
          <w:szCs w:val="32"/>
        </w:rPr>
        <w:t xml:space="preserve">根据市和区制定的各类事业单位岗位设置指导标准，结合工资总额控制，结合本单位实际，自主设定工作岗位，对岗位分类分级。明确岗位职责及技术要求，注重实际能力，淡化职称与专业技术岗位的直接对应，不再区分编制性质。 </w:t>
      </w:r>
    </w:p>
    <w:p>
      <w:pPr>
        <w:snapToGrid w:val="0"/>
        <w:spacing w:line="560" w:lineRule="exact"/>
        <w:ind w:left="0" w:firstLine="640"/>
        <w:rPr>
          <w:rFonts w:ascii="仿宋_GB2312" w:hAnsi="Times New Roman" w:eastAsia="仿宋_GB2312" w:cs="Times New Roman"/>
          <w:sz w:val="32"/>
          <w:szCs w:val="32"/>
        </w:rPr>
      </w:pPr>
      <w:r>
        <w:rPr>
          <w:rFonts w:hint="eastAsia" w:ascii="楷体" w:hAnsi="楷体" w:eastAsia="楷体" w:cs="Times New Roman"/>
          <w:b/>
          <w:sz w:val="32"/>
          <w:szCs w:val="32"/>
        </w:rPr>
        <w:t>（三）完善聘用权限和公开招聘制度。</w:t>
      </w:r>
      <w:r>
        <w:rPr>
          <w:rFonts w:hint="eastAsia" w:ascii="仿宋_GB2312" w:hAnsi="Times New Roman" w:eastAsia="仿宋_GB2312" w:cs="Times New Roman"/>
          <w:sz w:val="32"/>
          <w:szCs w:val="32"/>
        </w:rPr>
        <w:t>落实法人自主权，实现工作人员由单位自主聘用，完善竞聘上岗制度，工作人员打破身份界限，公平竞争，竞聘上岗；每年根据工作需要，上报人员招聘计划，实行自主公开招聘，并接受区人事、编制及卫生行政部门监督。</w:t>
      </w:r>
    </w:p>
    <w:p>
      <w:pPr>
        <w:pageBreakBefore w:val="0"/>
        <w:kinsoku/>
        <w:overflowPunct/>
        <w:topLinePunct w:val="0"/>
        <w:bidi w:val="0"/>
        <w:snapToGrid w:val="0"/>
        <w:spacing w:line="560" w:lineRule="exact"/>
        <w:ind w:left="0" w:leftChars="0" w:firstLine="640" w:firstLineChars="0"/>
        <w:textAlignment w:val="auto"/>
        <w:rPr>
          <w:rFonts w:ascii="仿宋" w:hAnsi="仿宋" w:eastAsia="仿宋"/>
          <w:color w:val="auto"/>
          <w:sz w:val="32"/>
          <w:szCs w:val="32"/>
        </w:rPr>
      </w:pPr>
      <w:r>
        <w:rPr>
          <w:rFonts w:hint="eastAsia" w:ascii="楷体" w:hAnsi="楷体" w:eastAsia="楷体" w:cs="Times New Roman"/>
          <w:b/>
          <w:sz w:val="32"/>
          <w:szCs w:val="32"/>
        </w:rPr>
        <w:t>（四）完善绩效考核制度。</w:t>
      </w:r>
      <w:r>
        <w:rPr>
          <w:rFonts w:hint="eastAsia" w:ascii="仿宋_GB2312" w:hAnsi="Times New Roman" w:eastAsia="仿宋_GB2312" w:cs="Times New Roman"/>
          <w:sz w:val="32"/>
          <w:szCs w:val="32"/>
        </w:rPr>
        <w:t>探索建立科学、有效的评价指标体系。绩效考核结果将作为工资总额核定、工作人员聘用、奖惩、工资分配的重要依据。实现人员能进能出、能上能下。试点单位要探索建立以岗位职责为主、与绩效考核挂钩的工资分配体系。体现按岗取酬，同岗同酬。</w:t>
      </w:r>
    </w:p>
    <w:p>
      <w:pPr>
        <w:pageBreakBefore w:val="0"/>
        <w:widowControl/>
        <w:tabs>
          <w:tab w:val="left" w:pos="1535"/>
        </w:tabs>
        <w:kinsoku/>
        <w:overflowPunct/>
        <w:topLinePunct w:val="0"/>
        <w:bidi w:val="0"/>
        <w:spacing w:line="560" w:lineRule="exact"/>
        <w:ind w:left="0" w:leftChars="0" w:firstLine="0" w:firstLineChars="0"/>
        <w:contextualSpacing/>
        <w:jc w:val="center"/>
        <w:textAlignment w:val="auto"/>
        <w:rPr>
          <w:rFonts w:hint="eastAsia" w:ascii="黑体" w:hAnsi="黑体" w:eastAsia="黑体" w:cs="黑体"/>
          <w:b w:val="0"/>
          <w:color w:val="auto"/>
          <w:kern w:val="0"/>
          <w:sz w:val="32"/>
          <w:szCs w:val="32"/>
          <w:lang w:val="en-US" w:eastAsia="zh-CN" w:bidi="ar-SA"/>
        </w:rPr>
      </w:pPr>
      <w:bookmarkStart w:id="11" w:name="_Toc432964849"/>
      <w:bookmarkStart w:id="12" w:name="_Toc433626963"/>
      <w:r>
        <w:rPr>
          <w:rFonts w:hint="eastAsia" w:ascii="黑体" w:hAnsi="黑体" w:eastAsia="黑体" w:cs="黑体"/>
          <w:b w:val="0"/>
          <w:color w:val="auto"/>
          <w:kern w:val="0"/>
          <w:sz w:val="32"/>
          <w:szCs w:val="32"/>
          <w:lang w:val="en-US" w:eastAsia="zh-CN" w:bidi="ar-SA"/>
        </w:rPr>
        <w:t>第七章  卫生信息化</w:t>
      </w:r>
      <w:bookmarkEnd w:id="11"/>
      <w:bookmarkEnd w:id="12"/>
    </w:p>
    <w:p>
      <w:pPr>
        <w:pageBreakBefore w:val="0"/>
        <w:widowControl/>
        <w:tabs>
          <w:tab w:val="left" w:pos="1535"/>
        </w:tabs>
        <w:kinsoku/>
        <w:overflowPunct/>
        <w:topLinePunct w:val="0"/>
        <w:bidi w:val="0"/>
        <w:spacing w:line="560" w:lineRule="exact"/>
        <w:ind w:left="0" w:firstLine="640" w:firstLineChars="200"/>
        <w:contextualSpacing/>
        <w:textAlignment w:val="auto"/>
        <w:rPr>
          <w:rFonts w:hint="eastAsia" w:ascii="黑体" w:hAnsi="黑体" w:eastAsia="黑体" w:cs="黑体"/>
          <w:b w:val="0"/>
          <w:color w:val="auto"/>
          <w:kern w:val="0"/>
          <w:sz w:val="32"/>
          <w:szCs w:val="32"/>
          <w:lang w:val="en-US" w:eastAsia="zh-CN" w:bidi="ar-SA"/>
        </w:rPr>
      </w:pPr>
      <w:r>
        <w:rPr>
          <w:rFonts w:hint="eastAsia" w:ascii="黑体" w:hAnsi="黑体" w:eastAsia="黑体" w:cs="黑体"/>
          <w:b w:val="0"/>
          <w:color w:val="auto"/>
          <w:kern w:val="0"/>
          <w:sz w:val="32"/>
          <w:szCs w:val="32"/>
          <w:lang w:val="en-US" w:eastAsia="zh-CN" w:bidi="ar-SA"/>
        </w:rPr>
        <w:t>一、建设区域医疗卫生信息平台</w:t>
      </w:r>
    </w:p>
    <w:p>
      <w:pPr>
        <w:pageBreakBefore w:val="0"/>
        <w:widowControl/>
        <w:tabs>
          <w:tab w:val="left" w:pos="1535"/>
        </w:tabs>
        <w:kinsoku/>
        <w:overflowPunct/>
        <w:topLinePunct w:val="0"/>
        <w:bidi w:val="0"/>
        <w:spacing w:line="560" w:lineRule="exact"/>
        <w:ind w:left="0" w:firstLine="640" w:firstLineChars="200"/>
        <w:contextualSpacing/>
        <w:textAlignment w:val="auto"/>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val="0"/>
          <w:color w:val="auto"/>
          <w:kern w:val="0"/>
          <w:sz w:val="32"/>
          <w:szCs w:val="32"/>
          <w:lang w:val="en-US" w:eastAsia="zh-CN" w:bidi="ar-SA"/>
        </w:rPr>
        <w:t>构建完善的区域人口健康信息平台，建立动态更新的标准化电子健康档案和电子病历数据库，完善技术标准和安全防护体系，逐步实现居民基本健康信息和公共卫生、医疗服务、医疗保障、药品管理、综合管理等应用系统业务协同，促进医疗卫生、医保和药品管理、计划生育等系统对接、信息共享，推动建立综合监管、科学决策、精细服务的新模式。</w:t>
      </w:r>
    </w:p>
    <w:p>
      <w:pPr>
        <w:pageBreakBefore w:val="0"/>
        <w:widowControl/>
        <w:tabs>
          <w:tab w:val="left" w:pos="1535"/>
        </w:tabs>
        <w:kinsoku/>
        <w:overflowPunct/>
        <w:topLinePunct w:val="0"/>
        <w:bidi w:val="0"/>
        <w:spacing w:line="560" w:lineRule="exact"/>
        <w:ind w:left="0" w:firstLine="640" w:firstLineChars="200"/>
        <w:contextualSpacing/>
        <w:textAlignment w:val="auto"/>
        <w:rPr>
          <w:rFonts w:hint="eastAsia" w:ascii="黑体" w:hAnsi="黑体" w:eastAsia="黑体" w:cs="黑体"/>
          <w:b w:val="0"/>
          <w:color w:val="auto"/>
          <w:kern w:val="0"/>
          <w:sz w:val="32"/>
          <w:szCs w:val="32"/>
          <w:lang w:val="en-US" w:eastAsia="zh-CN" w:bidi="ar-SA"/>
        </w:rPr>
      </w:pPr>
      <w:r>
        <w:rPr>
          <w:rFonts w:hint="eastAsia" w:ascii="黑体" w:hAnsi="黑体" w:eastAsia="黑体" w:cs="黑体"/>
          <w:b w:val="0"/>
          <w:color w:val="auto"/>
          <w:kern w:val="0"/>
          <w:sz w:val="32"/>
          <w:szCs w:val="32"/>
          <w:lang w:val="en-US" w:eastAsia="zh-CN" w:bidi="ar-SA"/>
        </w:rPr>
        <w:t>二、建设数字化医院</w:t>
      </w:r>
    </w:p>
    <w:p>
      <w:pPr>
        <w:pageBreakBefore w:val="0"/>
        <w:widowControl/>
        <w:tabs>
          <w:tab w:val="left" w:pos="1535"/>
        </w:tabs>
        <w:kinsoku/>
        <w:overflowPunct/>
        <w:topLinePunct w:val="0"/>
        <w:bidi w:val="0"/>
        <w:spacing w:line="560" w:lineRule="exact"/>
        <w:ind w:left="0" w:firstLine="640" w:firstLineChars="200"/>
        <w:contextualSpacing/>
        <w:textAlignment w:val="auto"/>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val="0"/>
          <w:color w:val="auto"/>
          <w:kern w:val="0"/>
          <w:sz w:val="32"/>
          <w:szCs w:val="32"/>
          <w:lang w:val="en-US" w:eastAsia="zh-CN" w:bidi="ar-SA"/>
        </w:rPr>
        <w:t>推进医疗信息系统建设与应用，加强医疗卫生机构信息化建设，强化信息技术标准应用和数据安全管理。全面实施健康医疗信息惠民行动计划，方便居民预约诊疗、分时段就诊、共享检验检查结果、诊间付费以及医保费用的即时结算，为药品零售企业通过网上信息系统核实病人提供的医师处方提供便利。依靠大数据支撑，强化对医疗卫生服务的绩效考核和质量监管。2020年底，以电子病历为核心，建立起信息集成的临床信息系统；以病人服务为中心，建立起流程优化的医疗服务管理平台系统；以管理决策支持为目的，建立起来高效的医院运营信息系统；以医疗资源整合共享目标，建立起远程医疗服务平台系统；以知识管理为指导，建立起全面支持医、教、研、管的临床数据中心；以业务连续性为要求，建立起完整的临床业务灾备系统。</w:t>
      </w:r>
      <w:r>
        <w:rPr>
          <w:rFonts w:hint="eastAsia" w:ascii="仿宋_GB2312" w:hAnsi="仿宋_GB2312" w:eastAsia="仿宋_GB2312" w:cs="仿宋_GB2312"/>
          <w:kern w:val="0"/>
          <w:sz w:val="32"/>
          <w:szCs w:val="32"/>
        </w:rPr>
        <w:t>中山大学附属第八医院、广州中医药大学深圳医院</w:t>
      </w:r>
      <w:r>
        <w:rPr>
          <w:rFonts w:hint="eastAsia" w:ascii="仿宋_GB2312" w:hAnsi="仿宋_GB2312" w:eastAsia="仿宋_GB2312" w:cs="仿宋_GB2312"/>
          <w:b w:val="0"/>
          <w:color w:val="auto"/>
          <w:kern w:val="0"/>
          <w:sz w:val="32"/>
          <w:szCs w:val="32"/>
          <w:lang w:val="en-US" w:eastAsia="zh-CN" w:bidi="ar-SA"/>
        </w:rPr>
        <w:t>电子病历系统达到5级水平，其他公立医疗机构电子病历达到4级水平。</w:t>
      </w:r>
    </w:p>
    <w:p>
      <w:pPr>
        <w:pageBreakBefore w:val="0"/>
        <w:widowControl/>
        <w:tabs>
          <w:tab w:val="left" w:pos="1535"/>
        </w:tabs>
        <w:kinsoku/>
        <w:overflowPunct/>
        <w:topLinePunct w:val="0"/>
        <w:bidi w:val="0"/>
        <w:spacing w:line="560" w:lineRule="exact"/>
        <w:ind w:left="0" w:firstLine="640" w:firstLineChars="200"/>
        <w:contextualSpacing/>
        <w:textAlignment w:val="auto"/>
        <w:rPr>
          <w:rFonts w:hint="eastAsia" w:ascii="黑体" w:hAnsi="黑体" w:eastAsia="黑体" w:cs="黑体"/>
          <w:b w:val="0"/>
          <w:color w:val="auto"/>
          <w:kern w:val="0"/>
          <w:sz w:val="32"/>
          <w:szCs w:val="32"/>
          <w:lang w:val="en-US" w:eastAsia="zh-CN" w:bidi="ar-SA"/>
        </w:rPr>
      </w:pPr>
      <w:r>
        <w:rPr>
          <w:rFonts w:hint="eastAsia" w:ascii="黑体" w:hAnsi="黑体" w:eastAsia="黑体" w:cs="黑体"/>
          <w:b w:val="0"/>
          <w:color w:val="auto"/>
          <w:kern w:val="0"/>
          <w:sz w:val="32"/>
          <w:szCs w:val="32"/>
          <w:lang w:val="en-US" w:eastAsia="zh-CN" w:bidi="ar-SA"/>
        </w:rPr>
        <w:t>三、探索互联网医疗服务新模式建设</w:t>
      </w:r>
    </w:p>
    <w:p>
      <w:pPr>
        <w:pageBreakBefore w:val="0"/>
        <w:widowControl/>
        <w:tabs>
          <w:tab w:val="left" w:pos="1535"/>
        </w:tabs>
        <w:kinsoku/>
        <w:overflowPunct/>
        <w:topLinePunct w:val="0"/>
        <w:bidi w:val="0"/>
        <w:spacing w:line="560" w:lineRule="exact"/>
        <w:ind w:left="0" w:firstLine="640" w:firstLineChars="200"/>
        <w:contextualSpacing/>
        <w:textAlignment w:val="auto"/>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val="0"/>
          <w:color w:val="auto"/>
          <w:kern w:val="0"/>
          <w:sz w:val="32"/>
          <w:szCs w:val="32"/>
          <w:lang w:val="en-US" w:eastAsia="zh-CN" w:bidi="ar-SA"/>
        </w:rPr>
        <w:t>积极应用移动互联网、物联网、云计算、可穿戴设备等新技术，推动惠及全民的健康信息服务和智慧医疗服务，推动健康大数据的应用，逐步转变服务模式，提高服务能力和管理水平。积极推动移动互联网、远程医疗服务等发展。依托国家电子政务网，构建与互联网安全隔离，联通各级平台和各级各类卫生计生机构，高效、安全、稳定的信息网络。实现各级医疗服务、医疗保障与公共卫生服务的信息共享与业务协同。</w:t>
      </w:r>
    </w:p>
    <w:p>
      <w:pPr>
        <w:pStyle w:val="2"/>
        <w:pageBreakBefore w:val="0"/>
        <w:kinsoku/>
        <w:overflowPunct/>
        <w:topLinePunct w:val="0"/>
        <w:bidi w:val="0"/>
        <w:spacing w:line="560" w:lineRule="exact"/>
        <w:jc w:val="center"/>
        <w:textAlignment w:val="auto"/>
        <w:rPr>
          <w:rFonts w:hint="eastAsia" w:ascii="黑体" w:hAnsi="黑体" w:eastAsia="黑体" w:cs="黑体"/>
          <w:b w:val="0"/>
          <w:bCs w:val="0"/>
          <w:color w:val="auto"/>
          <w:kern w:val="0"/>
          <w:sz w:val="32"/>
          <w:szCs w:val="32"/>
          <w:lang w:val="en-US" w:eastAsia="zh-CN" w:bidi="ar-SA"/>
        </w:rPr>
      </w:pPr>
      <w:bookmarkStart w:id="13" w:name="_Toc433626964"/>
      <w:bookmarkStart w:id="14" w:name="_Toc432964850"/>
      <w:r>
        <w:rPr>
          <w:rFonts w:hint="eastAsia" w:ascii="黑体" w:hAnsi="黑体" w:eastAsia="黑体" w:cs="黑体"/>
          <w:b w:val="0"/>
          <w:bCs w:val="0"/>
          <w:color w:val="auto"/>
          <w:kern w:val="0"/>
          <w:sz w:val="32"/>
          <w:szCs w:val="32"/>
          <w:lang w:val="en-US" w:eastAsia="zh-CN" w:bidi="ar-SA"/>
        </w:rPr>
        <w:t>第八章  功能整合与分工协作</w:t>
      </w:r>
      <w:bookmarkEnd w:id="13"/>
      <w:bookmarkEnd w:id="14"/>
    </w:p>
    <w:p>
      <w:pPr>
        <w:pageBreakBefore w:val="0"/>
        <w:kinsoku/>
        <w:overflowPunct/>
        <w:topLinePunct w:val="0"/>
        <w:bidi w:val="0"/>
        <w:spacing w:before="0" w:beforeLines="0" w:after="0" w:afterLines="0" w:line="560" w:lineRule="exact"/>
        <w:ind w:left="0" w:leftChars="0" w:firstLine="0" w:firstLineChars="0"/>
        <w:textAlignment w:val="auto"/>
        <w:rPr>
          <w:rFonts w:hint="eastAsia" w:ascii="黑体" w:hAnsi="黑体" w:eastAsia="黑体" w:cs="黑体"/>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 xml:space="preserve">    大力推进整合型医疗卫生服务体系建设，更加注重系统、连续、全方位的医疗卫生服务供给，建立完善医院、专业公共卫生机构和基层医疗卫生机构以及中西医间分工协作关系，强化各类医疗卫生机构的服务功能整合。 </w:t>
      </w:r>
      <w:r>
        <w:rPr>
          <w:rFonts w:hint="eastAsia" w:ascii="仿宋_GB2312" w:hAnsi="仿宋_GB2312" w:eastAsia="仿宋_GB2312" w:cs="仿宋_GB2312"/>
          <w:b w:val="0"/>
          <w:bCs w:val="0"/>
          <w:color w:val="auto"/>
          <w:kern w:val="0"/>
          <w:sz w:val="32"/>
          <w:szCs w:val="32"/>
          <w:lang w:val="en-US" w:eastAsia="zh-CN" w:bidi="ar-SA"/>
        </w:rPr>
        <w:br w:type="textWrapping"/>
      </w:r>
      <w:r>
        <w:rPr>
          <w:rFonts w:hint="eastAsia" w:ascii="仿宋_GB2312" w:hAnsi="仿宋_GB2312" w:eastAsia="仿宋_GB2312" w:cs="仿宋_GB2312"/>
          <w:b w:val="0"/>
          <w:bCs w:val="0"/>
          <w:color w:val="auto"/>
          <w:kern w:val="0"/>
          <w:sz w:val="32"/>
          <w:szCs w:val="32"/>
          <w:lang w:val="en-US" w:eastAsia="zh-CN" w:bidi="ar-SA"/>
        </w:rPr>
        <w:t>　　</w:t>
      </w:r>
      <w:r>
        <w:rPr>
          <w:rFonts w:hint="eastAsia" w:ascii="黑体" w:hAnsi="黑体" w:eastAsia="黑体" w:cs="黑体"/>
          <w:b w:val="0"/>
          <w:bCs w:val="0"/>
          <w:color w:val="auto"/>
          <w:kern w:val="0"/>
          <w:sz w:val="32"/>
          <w:szCs w:val="32"/>
          <w:lang w:val="en-US" w:eastAsia="zh-CN" w:bidi="ar-SA"/>
        </w:rPr>
        <w:t>一、构建整合型医疗卫生服务体系。</w:t>
      </w:r>
    </w:p>
    <w:p>
      <w:pPr>
        <w:pageBreakBefore w:val="0"/>
        <w:kinsoku/>
        <w:overflowPunct/>
        <w:topLinePunct w:val="0"/>
        <w:bidi w:val="0"/>
        <w:spacing w:before="0" w:beforeLines="0" w:after="0" w:afterLines="0" w:line="560" w:lineRule="exact"/>
        <w:ind w:left="0" w:leftChars="0" w:firstLine="0" w:firstLineChars="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 xml:space="preserve">    （一）打造区域医疗卫生服务中心。</w:t>
      </w:r>
      <w:r>
        <w:rPr>
          <w:rFonts w:hint="eastAsia" w:ascii="仿宋_GB2312" w:hAnsi="仿宋_GB2312" w:eastAsia="仿宋_GB2312" w:cs="仿宋_GB2312"/>
          <w:b w:val="0"/>
          <w:bCs w:val="0"/>
          <w:color w:val="auto"/>
          <w:kern w:val="0"/>
          <w:sz w:val="32"/>
          <w:szCs w:val="32"/>
          <w:lang w:val="en-US" w:eastAsia="zh-CN" w:bidi="ar-SA"/>
        </w:rPr>
        <w:t>深化中山大学附属第八医院、广州中医药大学深圳医院与中山大学、广州中医药大学合作，力争跻身市区域医疗中心</w:t>
      </w:r>
      <w:r>
        <w:rPr>
          <w:rFonts w:hint="eastAsia" w:ascii="仿宋_GB2312" w:hAnsi="仿宋_GB2312" w:eastAsia="仿宋_GB2312" w:cs="仿宋_GB2312"/>
          <w:kern w:val="0"/>
          <w:sz w:val="32"/>
          <w:szCs w:val="32"/>
        </w:rPr>
        <w:t>和进入全国</w:t>
      </w:r>
      <w:r>
        <w:rPr>
          <w:rFonts w:hint="eastAsia" w:ascii="仿宋_GB2312" w:hAnsi="仿宋_GB2312" w:eastAsia="仿宋_GB2312" w:cs="仿宋_GB2312"/>
          <w:kern w:val="0"/>
          <w:sz w:val="32"/>
          <w:szCs w:val="32"/>
          <w:lang w:eastAsia="zh-CN"/>
        </w:rPr>
        <w:t>同类医院</w:t>
      </w:r>
      <w:r>
        <w:rPr>
          <w:rFonts w:hint="eastAsia" w:ascii="仿宋_GB2312" w:hAnsi="仿宋_GB2312" w:eastAsia="仿宋_GB2312" w:cs="仿宋_GB2312"/>
          <w:kern w:val="0"/>
          <w:sz w:val="32"/>
          <w:szCs w:val="32"/>
        </w:rPr>
        <w:t>排名100强</w:t>
      </w:r>
      <w:r>
        <w:rPr>
          <w:rFonts w:hint="eastAsia" w:ascii="仿宋_GB2312" w:hAnsi="仿宋_GB2312" w:eastAsia="仿宋_GB2312" w:cs="仿宋_GB2312"/>
          <w:b w:val="0"/>
          <w:bCs w:val="0"/>
          <w:color w:val="auto"/>
          <w:kern w:val="0"/>
          <w:sz w:val="32"/>
          <w:szCs w:val="32"/>
          <w:lang w:val="en-US" w:eastAsia="zh-CN" w:bidi="ar-SA"/>
        </w:rPr>
        <w:t>。主要承担区域内疑难复杂危重疾病诊疗、医学人才培养及临床医学研究等任务，逐步减少常见病、多发病复诊和诊断明确病情稳定的慢性病等普通门诊，分流慢性病病人。</w:t>
      </w:r>
    </w:p>
    <w:p>
      <w:pPr>
        <w:pageBreakBefore w:val="0"/>
        <w:kinsoku/>
        <w:overflowPunct/>
        <w:topLinePunct w:val="0"/>
        <w:bidi w:val="0"/>
        <w:spacing w:before="0" w:beforeLines="0" w:after="0" w:afterLines="0" w:line="560" w:lineRule="exact"/>
        <w:ind w:left="0" w:leftChars="0" w:firstLine="642" w:firstLineChars="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（二）推进区域医疗卫生一体化发展。</w:t>
      </w:r>
      <w:r>
        <w:rPr>
          <w:rFonts w:hint="eastAsia" w:ascii="仿宋_GB2312" w:hAnsi="仿宋_GB2312" w:eastAsia="仿宋_GB2312" w:cs="仿宋_GB2312"/>
          <w:b w:val="0"/>
          <w:bCs w:val="0"/>
          <w:color w:val="auto"/>
          <w:kern w:val="0"/>
          <w:sz w:val="32"/>
          <w:szCs w:val="32"/>
          <w:lang w:val="en-US" w:eastAsia="zh-CN" w:bidi="ar-SA"/>
        </w:rPr>
        <w:t>发展中山大学附属第八医院或广州中医药大学深圳医院为市区域医疗中心，以区妇幼保健院、区第二人民医院、区慢性病防治院、区妇儿医院、区风湿病专科医院、区肛肠专科医院、区老人康复护理院、社康机构、门诊部、中医馆、诊所、中医坐堂医诊所、医务室、卫生所为基层医疗服务网络，建立布局合理、规模适当、层级优化、职责明晰、功能完善、富有效率的医疗服务体系。明确区域医疗中心、基层医疗服务网络在床位、医护人员配置等方面的比例，优化结构和布局，强化基层医疗服务网络卫生资源配置。</w:t>
      </w:r>
    </w:p>
    <w:p>
      <w:pPr>
        <w:pageBreakBefore w:val="0"/>
        <w:kinsoku/>
        <w:overflowPunct/>
        <w:topLinePunct w:val="0"/>
        <w:bidi w:val="0"/>
        <w:spacing w:before="0" w:beforeLines="0" w:after="0" w:afterLines="0" w:line="560" w:lineRule="exact"/>
        <w:ind w:left="0" w:leftChars="0" w:firstLine="642" w:firstLineChars="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（三）推进“1+X”区域医联体建设。</w:t>
      </w:r>
      <w:r>
        <w:rPr>
          <w:rFonts w:hint="eastAsia" w:ascii="仿宋_GB2312" w:eastAsia="仿宋_GB2312" w:cs="仿宋_GB2312"/>
          <w:color w:val="000000"/>
          <w:sz w:val="32"/>
          <w:szCs w:val="32"/>
        </w:rPr>
        <w:t>组建福田区域医联体，采取“1+X”组织模式开展工作。“1”是指以区属医院和区属</w:t>
      </w:r>
      <w:r>
        <w:rPr>
          <w:rFonts w:hint="eastAsia" w:ascii="仿宋_GB2312" w:hAnsi="仿宋_GB2312" w:eastAsia="仿宋_GB2312" w:cs="仿宋_GB2312"/>
          <w:color w:val="auto"/>
          <w:kern w:val="0"/>
          <w:sz w:val="32"/>
          <w:szCs w:val="32"/>
          <w:lang w:eastAsia="zh-CN"/>
        </w:rPr>
        <w:t>社康机构</w:t>
      </w:r>
      <w:r>
        <w:rPr>
          <w:rFonts w:hint="eastAsia" w:ascii="仿宋_GB2312" w:eastAsia="仿宋_GB2312" w:cs="仿宋_GB2312"/>
          <w:color w:val="000000"/>
          <w:sz w:val="32"/>
          <w:szCs w:val="32"/>
        </w:rPr>
        <w:t>为核心架构的紧密型医联体，中山大学附属第八医院为牵头医院，区属各医院及下设院办院管</w:t>
      </w:r>
      <w:r>
        <w:rPr>
          <w:rFonts w:hint="eastAsia" w:ascii="仿宋_GB2312" w:hAnsi="仿宋_GB2312" w:eastAsia="仿宋_GB2312" w:cs="仿宋_GB2312"/>
          <w:color w:val="auto"/>
          <w:kern w:val="0"/>
          <w:sz w:val="32"/>
          <w:szCs w:val="32"/>
          <w:lang w:eastAsia="zh-CN"/>
        </w:rPr>
        <w:t>社康机构</w:t>
      </w:r>
      <w:r>
        <w:rPr>
          <w:rFonts w:hint="eastAsia" w:ascii="仿宋_GB2312" w:eastAsia="仿宋_GB2312" w:cs="仿宋_GB2312"/>
          <w:color w:val="000000"/>
          <w:sz w:val="32"/>
          <w:szCs w:val="32"/>
        </w:rPr>
        <w:t>实行一体化管理。“X”包括上延、下拓两个维度，向上延伸逐步把辖区市属医院纳入医联体，发挥区政府与中山大学、广州中医药大学合作办医优势，探索建立深圳福田-广州区域医联体模式；向下拓展将辖区社会医疗机构纳入医联体，为居民提供多元化就医选择。</w:t>
      </w:r>
      <w:r>
        <w:rPr>
          <w:rFonts w:hint="eastAsia" w:ascii="仿宋_GB2312" w:hAnsi="仿宋_GB2312" w:eastAsia="仿宋_GB2312" w:cs="仿宋_GB2312"/>
          <w:b w:val="0"/>
          <w:bCs w:val="0"/>
          <w:color w:val="auto"/>
          <w:kern w:val="0"/>
          <w:sz w:val="32"/>
          <w:szCs w:val="32"/>
          <w:lang w:val="en-US" w:eastAsia="zh-CN" w:bidi="ar-SA"/>
        </w:rPr>
        <w:t>　</w:t>
      </w:r>
    </w:p>
    <w:p>
      <w:pPr>
        <w:pageBreakBefore w:val="0"/>
        <w:kinsoku/>
        <w:overflowPunct/>
        <w:topLinePunct w:val="0"/>
        <w:bidi w:val="0"/>
        <w:spacing w:line="560" w:lineRule="exact"/>
        <w:ind w:left="0" w:leftChars="0" w:firstLine="640" w:firstLineChars="200"/>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二、加强医疗卫生机构服务功能整合</w:t>
      </w:r>
    </w:p>
    <w:p>
      <w:pPr>
        <w:pageBreakBefore w:val="0"/>
        <w:kinsoku/>
        <w:overflowPunct/>
        <w:topLinePunct w:val="0"/>
        <w:bidi w:val="0"/>
        <w:spacing w:line="560" w:lineRule="exact"/>
        <w:ind w:left="0" w:leftChars="0" w:firstLine="0" w:firstLineChars="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 xml:space="preserve">    （一）防治结合。</w:t>
      </w:r>
      <w:r>
        <w:rPr>
          <w:rFonts w:hint="eastAsia" w:ascii="仿宋_GB2312" w:hAnsi="仿宋_GB2312" w:eastAsia="仿宋_GB2312" w:cs="仿宋_GB2312"/>
          <w:b w:val="0"/>
          <w:bCs w:val="0"/>
          <w:color w:val="auto"/>
          <w:kern w:val="0"/>
          <w:sz w:val="32"/>
          <w:szCs w:val="32"/>
          <w:lang w:val="en-US" w:eastAsia="zh-CN" w:bidi="ar-SA"/>
        </w:rPr>
        <w:t>建立医疗与公共卫生机构间信息共享与互联互通等协作机制，加强各公共卫生机构对医院、社康机构开展公共卫生服务的指导、培训和考核，加强区卫生监督机构对医疗机构的监督检查。</w:t>
      </w:r>
      <w:r>
        <w:rPr>
          <w:rFonts w:hint="eastAsia" w:ascii="仿宋_GB2312" w:eastAsia="仿宋_GB2312"/>
          <w:kern w:val="0"/>
          <w:sz w:val="32"/>
          <w:szCs w:val="32"/>
        </w:rPr>
        <w:t>二级以上医疗机构要设立预防保健科。依托相关科室，强化综合性医院（含中医类医院）及相关专科医院与专业公共卫生机构防治合作。中医院要设立“治未病”科室，积极发展中医预防保健服务。</w:t>
      </w:r>
      <w:r>
        <w:rPr>
          <w:rFonts w:hint="eastAsia" w:ascii="仿宋_GB2312" w:hAnsi="仿宋_GB2312" w:eastAsia="仿宋_GB2312" w:cs="仿宋_GB2312"/>
          <w:b w:val="0"/>
          <w:bCs w:val="0"/>
          <w:color w:val="auto"/>
          <w:kern w:val="0"/>
          <w:sz w:val="32"/>
          <w:szCs w:val="32"/>
          <w:lang w:val="en-US" w:eastAsia="zh-CN" w:bidi="ar-SA"/>
        </w:rPr>
        <w:t>充分发挥社康机构预防、保健、医疗、康复、健康教育等功能。</w:t>
      </w:r>
    </w:p>
    <w:p>
      <w:pPr>
        <w:pageBreakBefore w:val="0"/>
        <w:kinsoku/>
        <w:overflowPunct/>
        <w:topLinePunct w:val="0"/>
        <w:bidi w:val="0"/>
        <w:spacing w:before="0" w:beforeLines="0" w:after="0" w:afterLines="0" w:line="560" w:lineRule="exact"/>
        <w:ind w:left="0" w:leftChars="0" w:firstLine="0" w:firstLineChars="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 xml:space="preserve">    （二）分级诊疗。</w:t>
      </w:r>
      <w:r>
        <w:rPr>
          <w:rFonts w:hint="eastAsia" w:ascii="仿宋_GB2312" w:hAnsi="仿宋_GB2312" w:eastAsia="仿宋_GB2312" w:cs="仿宋_GB2312"/>
          <w:b w:val="0"/>
          <w:bCs w:val="0"/>
          <w:color w:val="auto"/>
          <w:kern w:val="0"/>
          <w:sz w:val="32"/>
          <w:szCs w:val="32"/>
          <w:lang w:val="en-US" w:eastAsia="zh-CN" w:bidi="ar-SA"/>
        </w:rPr>
        <w:t>组建“1+X”区域医联体建设，加快完善分级诊疗制度，逐步建立“基层首诊、双向转诊、急慢分治、上下联动”的分级诊疗模式，实现“小病在社区、大病到医院、康复回社区”的合理就医秩序。推进居民或家庭自愿与家庭医生团队签订服务协议，优先覆盖老年人和高血压、糖尿病等慢性病病人、严重精神障碍病人、孕产妇、儿童以及残疾人等重点人群，并逐步扩展到普通人群，夯实分级诊疗群众基础。以区属医院、</w:t>
      </w:r>
      <w:r>
        <w:rPr>
          <w:rFonts w:hint="eastAsia" w:ascii="仿宋_GB2312" w:hAnsi="仿宋_GB2312" w:eastAsia="仿宋_GB2312" w:cs="仿宋_GB2312"/>
          <w:bCs/>
          <w:color w:val="auto"/>
          <w:kern w:val="0"/>
          <w:sz w:val="32"/>
          <w:szCs w:val="32"/>
          <w:lang w:eastAsia="zh-CN"/>
        </w:rPr>
        <w:t>社康机构</w:t>
      </w:r>
      <w:r>
        <w:rPr>
          <w:rFonts w:hint="eastAsia" w:ascii="仿宋_GB2312" w:hAnsi="仿宋_GB2312" w:eastAsia="仿宋_GB2312" w:cs="仿宋_GB2312"/>
          <w:b w:val="0"/>
          <w:bCs w:val="0"/>
          <w:color w:val="auto"/>
          <w:kern w:val="0"/>
          <w:sz w:val="32"/>
          <w:szCs w:val="32"/>
          <w:lang w:val="en-US" w:eastAsia="zh-CN" w:bidi="ar-SA"/>
        </w:rPr>
        <w:t>为主，逐步扩展到市属医院和社会办医疗卫生机构。在家庭医生签约基础上，推广以社康机构全科医生为核心，专科医生、全科护士等参与的“1+N”团队签约服务模式，</w:t>
      </w:r>
      <w:r>
        <w:rPr>
          <w:rFonts w:hint="eastAsia" w:ascii="仿宋_GB2312" w:hAnsi="仿宋_GB2312" w:eastAsia="仿宋_GB2312" w:cs="仿宋_GB2312"/>
          <w:bCs/>
          <w:color w:val="auto"/>
          <w:spacing w:val="10"/>
          <w:sz w:val="32"/>
          <w:szCs w:val="32"/>
        </w:rPr>
        <w:t>将日常医疗服务与公共卫生服务相结合，</w:t>
      </w:r>
      <w:r>
        <w:rPr>
          <w:rFonts w:hint="eastAsia" w:ascii="仿宋_GB2312" w:hAnsi="仿宋_GB2312" w:eastAsia="仿宋_GB2312" w:cs="仿宋_GB2312"/>
          <w:bCs/>
          <w:color w:val="auto"/>
          <w:spacing w:val="10"/>
          <w:sz w:val="32"/>
          <w:szCs w:val="32"/>
          <w:lang w:val="en-US" w:eastAsia="zh-CN"/>
        </w:rPr>
        <w:t>为居民</w:t>
      </w:r>
      <w:r>
        <w:rPr>
          <w:rFonts w:hint="eastAsia" w:ascii="仿宋_GB2312" w:hAnsi="仿宋_GB2312" w:eastAsia="仿宋_GB2312" w:cs="仿宋_GB2312"/>
          <w:bCs/>
          <w:color w:val="auto"/>
          <w:spacing w:val="10"/>
          <w:sz w:val="32"/>
          <w:szCs w:val="32"/>
        </w:rPr>
        <w:t>提供综合、连续、动态的健康管理、疾病诊疗等服务</w:t>
      </w:r>
      <w:r>
        <w:rPr>
          <w:rFonts w:hint="eastAsia" w:ascii="仿宋_GB2312" w:hAnsi="仿宋_GB2312" w:eastAsia="仿宋_GB2312" w:cs="仿宋_GB2312"/>
          <w:bCs/>
          <w:color w:val="auto"/>
          <w:spacing w:val="10"/>
          <w:sz w:val="32"/>
          <w:szCs w:val="32"/>
          <w:lang w:eastAsia="zh-CN"/>
        </w:rPr>
        <w:t>。</w:t>
      </w:r>
      <w:r>
        <w:rPr>
          <w:rFonts w:hint="eastAsia" w:ascii="仿宋_GB2312" w:hAnsi="仿宋_GB2312" w:eastAsia="仿宋_GB2312" w:cs="仿宋_GB2312"/>
          <w:bCs/>
          <w:color w:val="auto"/>
          <w:spacing w:val="10"/>
          <w:sz w:val="32"/>
          <w:szCs w:val="32"/>
          <w:lang w:val="en-US" w:eastAsia="zh-CN"/>
        </w:rPr>
        <w:t>各医院必须明确一名医院领导负责分级诊疗工作，设立全科医学科，将医院的专科号源优先配置给基层医疗卫生机构，对基层医疗卫生机构上传的病人实行优先预约、优先接诊、优先检查、优先住院。</w:t>
      </w:r>
      <w:r>
        <w:rPr>
          <w:rFonts w:hint="eastAsia" w:ascii="仿宋_GB2312" w:hAnsi="仿宋_GB2312" w:eastAsia="仿宋_GB2312" w:cs="仿宋_GB2312"/>
          <w:b w:val="0"/>
          <w:bCs w:val="0"/>
          <w:color w:val="auto"/>
          <w:kern w:val="0"/>
          <w:sz w:val="32"/>
          <w:szCs w:val="32"/>
          <w:lang w:val="en-US" w:eastAsia="zh-CN" w:bidi="ar-SA"/>
        </w:rPr>
        <w:t>鼓励二级以上医院医师到基层医疗卫生机构开设工作室，或者定期出诊、巡诊，提高基层服务能力。充分利用信息化手段，推动优质资源下沉。完善社康机构分级诊疗试点病种药品目录，确保医院与社康机构之间的用药连续性。控制公立医院普通门诊规模，鼓励并逐步规范常见病、多发病病人首先到基层医疗卫生机构就诊。建立不同级别医院之间，医院与基层医疗卫生机构、接续性医疗机构之间的分工协作机制。完善治疗-康复-长期护理服务链，支持发展康复、老年、长期护理、慢性病管理、临终关怀等接续性医疗机构。　　</w:t>
      </w:r>
    </w:p>
    <w:p>
      <w:pPr>
        <w:pageBreakBefore w:val="0"/>
        <w:kinsoku/>
        <w:overflowPunct/>
        <w:topLinePunct w:val="0"/>
        <w:bidi w:val="0"/>
        <w:spacing w:before="0" w:beforeLines="0" w:after="0" w:afterLines="0" w:line="560" w:lineRule="exact"/>
        <w:ind w:left="0" w:leftChars="0" w:firstLine="0" w:firstLineChars="0"/>
        <w:textAlignment w:val="auto"/>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 xml:space="preserve">    （三）中西医并重。</w:t>
      </w:r>
      <w:r>
        <w:rPr>
          <w:rFonts w:hint="eastAsia" w:ascii="仿宋_GB2312" w:hAnsi="仿宋_GB2312" w:eastAsia="仿宋_GB2312" w:cs="仿宋_GB2312"/>
          <w:b w:val="0"/>
          <w:bCs w:val="0"/>
          <w:color w:val="auto"/>
          <w:kern w:val="0"/>
          <w:sz w:val="32"/>
          <w:szCs w:val="32"/>
          <w:lang w:val="en-US" w:eastAsia="zh-CN" w:bidi="ar-SA"/>
        </w:rPr>
        <w:t>坚持中西医并重，合理配置中医药资源。结合中医药强省建设，加快中医医疗机构建设与发展，不断完善中医医疗机构、基层中医药服务提供机构和其他中医药服务提供机构共同组成的中医医疗服务体系。加强综合性医院、专科医院中医临床科室和中药房设置，增强中医科室服务能力。实施基层中医药服务提升工程，巩固全国基层中医药工作先进单位创建成果，加大中医药服务进社区的工作力度，结合家庭医生服务和65岁以上老人免费健康体检工作，开展老年人中医体质辨识服务。</w:t>
      </w:r>
      <w:r>
        <w:rPr>
          <w:rFonts w:hint="eastAsia" w:ascii="仿宋_GB2312" w:hAnsi="仿宋_GB2312" w:eastAsia="仿宋_GB2312" w:cs="仿宋_GB2312"/>
          <w:kern w:val="0"/>
          <w:sz w:val="32"/>
          <w:szCs w:val="32"/>
        </w:rPr>
        <w:t>鼓励社会力量开办中医馆、中医坐堂诊所、名中医诊疗中心等。到2020年，依托广州中医药大学及其附属医院的学科优势，将广州中医药大学深圳医院建成区域性中医医疗中心、中医临床研究基地、中医药文化宣传教育基地、中医住院医师规范化培训基地、中医适宜技术推广基地和“治未病”服务示范试点单位。并以广州中医药大学深圳医院为龙头，联合辖区内各级各类中医医疗机构，组建中医药学科联盟，提高中医药服务能力。</w:t>
      </w:r>
      <w:r>
        <w:rPr>
          <w:rFonts w:hint="eastAsia" w:ascii="仿宋_GB2312" w:hAnsi="仿宋_GB2312" w:eastAsia="仿宋_GB2312" w:cs="仿宋_GB2312"/>
          <w:b/>
          <w:bCs/>
          <w:color w:val="auto"/>
          <w:kern w:val="0"/>
          <w:sz w:val="32"/>
          <w:szCs w:val="32"/>
          <w:lang w:val="en-US" w:eastAsia="zh-CN" w:bidi="ar-SA"/>
        </w:rPr>
        <w:t xml:space="preserve">        </w:t>
      </w:r>
    </w:p>
    <w:p>
      <w:pPr>
        <w:pageBreakBefore w:val="0"/>
        <w:kinsoku/>
        <w:overflowPunct/>
        <w:topLinePunct w:val="0"/>
        <w:bidi w:val="0"/>
        <w:spacing w:before="0" w:beforeLines="0" w:after="0" w:afterLines="0" w:line="560" w:lineRule="exact"/>
        <w:ind w:left="0" w:leftChars="0" w:firstLine="0" w:firstLineChars="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 xml:space="preserve">    （四）多元发展。</w:t>
      </w:r>
      <w:r>
        <w:rPr>
          <w:rFonts w:hint="eastAsia" w:ascii="仿宋_GB2312" w:hAnsi="仿宋_GB2312" w:eastAsia="仿宋_GB2312" w:cs="仿宋_GB2312"/>
          <w:b w:val="0"/>
          <w:bCs w:val="0"/>
          <w:color w:val="auto"/>
          <w:kern w:val="0"/>
          <w:sz w:val="32"/>
          <w:szCs w:val="32"/>
          <w:lang w:val="en-US" w:eastAsia="zh-CN" w:bidi="ar-SA"/>
        </w:rPr>
        <w:t>加强社会办医疗机构与公立医疗卫生机构的协调发展，提高医疗卫生资源的整体效率。社会力量可以直接投向资源稀缺及满足多元需求的服务领域，也可以采用多种形式参与国有企业所办医疗机构等部分公立医院改制重组。鼓励公立医院与社会力量以合资合作的方式共同举办新的非营利性医疗机构，满足群众多层次医疗服务需求。鼓励社会力量举办中医类专科医院、康复医院、护理院（站）、口腔疾病、老年病和慢性病等诊疗机构，以及独立的医学检验检查机构、病理诊断等机构。通过政府购买服务等方式，鼓励和支持社会力量参与公共卫生工作。　</w:t>
      </w:r>
    </w:p>
    <w:p>
      <w:pPr>
        <w:pageBreakBefore w:val="0"/>
        <w:kinsoku/>
        <w:overflowPunct/>
        <w:topLinePunct w:val="0"/>
        <w:bidi w:val="0"/>
        <w:spacing w:before="0" w:beforeLines="0" w:after="0" w:afterLines="0" w:line="560" w:lineRule="exact"/>
        <w:ind w:left="0" w:leftChars="0" w:firstLine="0" w:firstLineChars="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 xml:space="preserve">    （五）医养结合。</w:t>
      </w:r>
      <w:r>
        <w:rPr>
          <w:rFonts w:hint="eastAsia" w:ascii="仿宋_GB2312" w:hAnsi="仿宋_GB2312" w:eastAsia="仿宋_GB2312" w:cs="仿宋_GB2312"/>
          <w:color w:val="auto"/>
          <w:kern w:val="0"/>
          <w:sz w:val="32"/>
          <w:szCs w:val="32"/>
        </w:rPr>
        <w:t>全面推行医养结合“居家养老”、“社区养老”、“机构养老”三种医疗服务开展方式，满足老年人群不同层次的医疗护理服务需求。以</w:t>
      </w:r>
      <w:r>
        <w:rPr>
          <w:rFonts w:hint="eastAsia" w:ascii="仿宋_GB2312" w:hAnsi="仿宋_GB2312" w:eastAsia="仿宋_GB2312" w:cs="仿宋_GB2312"/>
          <w:color w:val="auto"/>
          <w:kern w:val="0"/>
          <w:sz w:val="32"/>
          <w:szCs w:val="32"/>
          <w:lang w:eastAsia="zh-CN"/>
        </w:rPr>
        <w:t>社康机构</w:t>
      </w:r>
      <w:r>
        <w:rPr>
          <w:rFonts w:hint="eastAsia" w:ascii="仿宋_GB2312" w:hAnsi="仿宋_GB2312" w:eastAsia="仿宋_GB2312" w:cs="仿宋_GB2312"/>
          <w:color w:val="auto"/>
          <w:kern w:val="0"/>
          <w:sz w:val="32"/>
          <w:szCs w:val="32"/>
        </w:rPr>
        <w:t>为依托，家庭医生服务团队为社区居家养老老年人提供免费体检、预约诊疗、转诊转介、上门巡诊、健康评估、健康教育、健康干预等专业服务，建立普惠型社区居家老人健康管理工作机制，提升老年人健康水平；加强与民政部门协调沟通合作，建立健全医疗机构与养老机构之间的业务协作机制，依照自愿协商原则，</w:t>
      </w:r>
      <w:r>
        <w:rPr>
          <w:rFonts w:hint="eastAsia" w:ascii="仿宋_GB2312" w:hAnsi="仿宋_GB2312" w:eastAsia="仿宋_GB2312" w:cs="仿宋_GB2312"/>
          <w:color w:val="auto"/>
          <w:kern w:val="0"/>
          <w:sz w:val="32"/>
          <w:szCs w:val="32"/>
          <w:lang w:eastAsia="zh-CN"/>
        </w:rPr>
        <w:t>社康机构</w:t>
      </w:r>
      <w:r>
        <w:rPr>
          <w:rFonts w:hint="eastAsia" w:ascii="仿宋_GB2312" w:hAnsi="仿宋_GB2312" w:eastAsia="仿宋_GB2312" w:cs="仿宋_GB2312"/>
          <w:color w:val="auto"/>
          <w:kern w:val="0"/>
          <w:sz w:val="32"/>
          <w:szCs w:val="32"/>
        </w:rPr>
        <w:t>覆盖全区所有正常运营的托养机构，签署合作协议，共建“医养结合工作室”，为托养机构开通预约就诊绿色通道，由家庭医生服务团队为入住老年人建立健康档案，提供预约转诊、上门巡诊、护理康复、健康体检、健康评估、心理疏导、中医养生保健等服务，确保入住老年人能得到及时有效的医疗健康服务；加快推进老人康复</w:t>
      </w:r>
      <w:r>
        <w:rPr>
          <w:rFonts w:hint="eastAsia" w:ascii="仿宋_GB2312" w:hAnsi="仿宋_GB2312" w:eastAsia="仿宋_GB2312" w:cs="仿宋_GB2312"/>
          <w:color w:val="auto"/>
          <w:kern w:val="0"/>
          <w:sz w:val="32"/>
          <w:szCs w:val="32"/>
          <w:lang w:eastAsia="zh-CN"/>
        </w:rPr>
        <w:t>护理院</w:t>
      </w:r>
      <w:r>
        <w:rPr>
          <w:rFonts w:hint="eastAsia" w:ascii="仿宋_GB2312" w:hAnsi="仿宋_GB2312" w:eastAsia="仿宋_GB2312" w:cs="仿宋_GB2312"/>
          <w:color w:val="auto"/>
          <w:kern w:val="0"/>
          <w:sz w:val="32"/>
          <w:szCs w:val="32"/>
        </w:rPr>
        <w:t>建设，为长期卧床患者、晚期姑息治疗患者、慢性病患者（生活不能自理）的老年人以及其他需要长期护理服务的患者提供医疗护理、康复促进、临终关怀等服务。</w:t>
      </w:r>
    </w:p>
    <w:p>
      <w:pPr>
        <w:pStyle w:val="2"/>
        <w:pageBreakBefore w:val="0"/>
        <w:kinsoku/>
        <w:overflowPunct/>
        <w:topLinePunct w:val="0"/>
        <w:bidi w:val="0"/>
        <w:spacing w:line="560" w:lineRule="exact"/>
        <w:jc w:val="center"/>
        <w:textAlignment w:val="auto"/>
        <w:rPr>
          <w:rFonts w:hint="eastAsia" w:ascii="仿宋_GB2312" w:hAnsi="仿宋_GB2312" w:eastAsia="仿宋_GB2312" w:cs="仿宋_GB2312"/>
          <w:b w:val="0"/>
          <w:bCs w:val="0"/>
          <w:color w:val="auto"/>
          <w:kern w:val="0"/>
          <w:sz w:val="32"/>
          <w:szCs w:val="32"/>
          <w:lang w:val="en-US" w:eastAsia="zh-CN" w:bidi="ar-SA"/>
        </w:rPr>
      </w:pPr>
      <w:bookmarkStart w:id="15" w:name="_Toc433626965"/>
      <w:bookmarkStart w:id="16" w:name="_Toc432964851"/>
      <w:r>
        <w:rPr>
          <w:rFonts w:hint="eastAsia" w:ascii="黑体" w:hAnsi="黑体" w:eastAsia="黑体" w:cs="黑体"/>
          <w:b w:val="0"/>
          <w:bCs w:val="0"/>
          <w:color w:val="auto"/>
          <w:kern w:val="0"/>
          <w:sz w:val="32"/>
          <w:szCs w:val="32"/>
          <w:lang w:val="en-US" w:eastAsia="zh-CN" w:bidi="ar-SA"/>
        </w:rPr>
        <w:t>第九章  保障措施</w:t>
      </w:r>
      <w:bookmarkEnd w:id="15"/>
      <w:bookmarkEnd w:id="16"/>
    </w:p>
    <w:p>
      <w:pPr>
        <w:keepNext w:val="0"/>
        <w:keepLines w:val="0"/>
        <w:pageBreakBefore w:val="0"/>
        <w:widowControl/>
        <w:kinsoku/>
        <w:wordWrap w:val="0"/>
        <w:overflowPunct/>
        <w:topLinePunct w:val="0"/>
        <w:autoSpaceDE/>
        <w:autoSpaceDN/>
        <w:bidi w:val="0"/>
        <w:adjustRightInd/>
        <w:snapToGrid/>
        <w:spacing w:beforeAutospacing="0" w:afterAutospacing="0" w:line="560" w:lineRule="exact"/>
        <w:ind w:left="0" w:leftChars="0" w:right="0" w:rightChars="0" w:firstLine="640" w:firstLineChars="0"/>
        <w:jc w:val="left"/>
        <w:textAlignment w:val="auto"/>
        <w:outlineLvl w:val="9"/>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一、加强组织领导</w:t>
      </w:r>
    </w:p>
    <w:p>
      <w:pPr>
        <w:keepNext w:val="0"/>
        <w:keepLines w:val="0"/>
        <w:pageBreakBefore w:val="0"/>
        <w:widowControl/>
        <w:kinsoku/>
        <w:wordWrap w:val="0"/>
        <w:overflowPunct/>
        <w:topLinePunct w:val="0"/>
        <w:autoSpaceDE/>
        <w:autoSpaceDN/>
        <w:bidi w:val="0"/>
        <w:adjustRightInd/>
        <w:snapToGrid/>
        <w:spacing w:beforeAutospacing="0" w:afterAutospacing="0" w:line="560" w:lineRule="exact"/>
        <w:ind w:left="0" w:leftChars="0" w:right="0" w:rightChars="0" w:firstLine="640" w:firstLineChars="0"/>
        <w:jc w:val="left"/>
        <w:textAlignment w:val="auto"/>
        <w:outlineLvl w:val="9"/>
        <w:rPr>
          <w:rFonts w:hint="eastAsia" w:ascii="黑体" w:hAnsi="黑体" w:eastAsia="黑体" w:cs="黑体"/>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区域卫生规划是政府对卫生事业进行宏观调控的重要手段，要切实加强对区域卫生规划工作的领导，明确责任分工，建立问责制。</w:t>
      </w:r>
      <w:r>
        <w:rPr>
          <w:rFonts w:hint="eastAsia" w:ascii="仿宋_GB2312" w:hAnsi="仿宋_GB2312" w:eastAsia="仿宋_GB2312" w:cs="仿宋_GB2312"/>
          <w:b w:val="0"/>
          <w:bCs w:val="0"/>
          <w:color w:val="auto"/>
          <w:kern w:val="0"/>
          <w:sz w:val="32"/>
          <w:szCs w:val="32"/>
          <w:lang w:val="en-US" w:eastAsia="zh-CN" w:bidi="ar-SA"/>
        </w:rPr>
        <w:br w:type="textWrapping"/>
      </w:r>
      <w:r>
        <w:rPr>
          <w:rFonts w:hint="eastAsia" w:ascii="仿宋_GB2312" w:hAnsi="仿宋_GB2312" w:eastAsia="仿宋_GB2312" w:cs="仿宋_GB2312"/>
          <w:b w:val="0"/>
          <w:bCs w:val="0"/>
          <w:color w:val="auto"/>
          <w:kern w:val="0"/>
          <w:sz w:val="32"/>
          <w:szCs w:val="32"/>
          <w:lang w:val="en-US" w:eastAsia="zh-CN" w:bidi="ar-SA"/>
        </w:rPr>
        <w:t>　　</w:t>
      </w:r>
      <w:r>
        <w:rPr>
          <w:rFonts w:hint="eastAsia" w:ascii="黑体" w:hAnsi="黑体" w:eastAsia="黑体" w:cs="黑体"/>
          <w:b w:val="0"/>
          <w:bCs w:val="0"/>
          <w:color w:val="auto"/>
          <w:kern w:val="0"/>
          <w:sz w:val="32"/>
          <w:szCs w:val="32"/>
          <w:lang w:val="en-US" w:eastAsia="zh-CN" w:bidi="ar-SA"/>
        </w:rPr>
        <w:t>二、落实各级责任</w:t>
      </w:r>
    </w:p>
    <w:p>
      <w:pPr>
        <w:keepNext w:val="0"/>
        <w:keepLines w:val="0"/>
        <w:pageBreakBefore w:val="0"/>
        <w:widowControl/>
        <w:kinsoku/>
        <w:wordWrap w:val="0"/>
        <w:overflowPunct/>
        <w:topLinePunct w:val="0"/>
        <w:autoSpaceDE/>
        <w:autoSpaceDN/>
        <w:bidi w:val="0"/>
        <w:adjustRightInd/>
        <w:snapToGrid/>
        <w:spacing w:beforeAutospacing="0" w:afterAutospacing="0" w:line="560" w:lineRule="exact"/>
        <w:ind w:left="0" w:leftChars="0" w:right="0" w:rightChars="0" w:firstLine="640" w:firstLineChars="0"/>
        <w:jc w:val="left"/>
        <w:textAlignment w:val="auto"/>
        <w:outlineLvl w:val="9"/>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 xml:space="preserve">依据省、市的区域卫生规划和医疗机构设置规划要求，编制区域医疗卫生服务体系规划，负责辖区区属医院、区属专业公共卫生机构及基层医疗卫生机构的设置。 </w:t>
      </w:r>
      <w:r>
        <w:rPr>
          <w:rFonts w:hint="eastAsia" w:ascii="仿宋_GB2312" w:hAnsi="仿宋_GB2312" w:eastAsia="仿宋_GB2312" w:cs="仿宋_GB2312"/>
          <w:b w:val="0"/>
          <w:bCs w:val="0"/>
          <w:color w:val="auto"/>
          <w:kern w:val="0"/>
          <w:sz w:val="32"/>
          <w:szCs w:val="32"/>
          <w:lang w:val="en-US" w:eastAsia="zh-CN" w:bidi="ar-SA"/>
        </w:rPr>
        <w:br w:type="textWrapping"/>
      </w:r>
      <w:r>
        <w:rPr>
          <w:rFonts w:hint="eastAsia" w:ascii="仿宋_GB2312" w:hAnsi="仿宋_GB2312" w:eastAsia="仿宋_GB2312" w:cs="仿宋_GB2312"/>
          <w:b w:val="0"/>
          <w:bCs w:val="0"/>
          <w:color w:val="auto"/>
          <w:kern w:val="0"/>
          <w:sz w:val="32"/>
          <w:szCs w:val="32"/>
          <w:lang w:val="en-US" w:eastAsia="zh-CN" w:bidi="ar-SA"/>
        </w:rPr>
        <w:t>　　</w:t>
      </w:r>
      <w:r>
        <w:rPr>
          <w:rFonts w:hint="eastAsia" w:ascii="黑体" w:hAnsi="黑体" w:eastAsia="黑体" w:cs="黑体"/>
          <w:b w:val="0"/>
          <w:bCs w:val="0"/>
          <w:color w:val="auto"/>
          <w:kern w:val="0"/>
          <w:sz w:val="32"/>
          <w:szCs w:val="32"/>
          <w:lang w:val="en-US" w:eastAsia="zh-CN" w:bidi="ar-SA"/>
        </w:rPr>
        <w:t>三、严格规划实施</w:t>
      </w:r>
    </w:p>
    <w:p>
      <w:pPr>
        <w:keepNext w:val="0"/>
        <w:keepLines w:val="0"/>
        <w:pageBreakBefore w:val="0"/>
        <w:widowControl/>
        <w:kinsoku/>
        <w:wordWrap w:val="0"/>
        <w:overflowPunct/>
        <w:topLinePunct w:val="0"/>
        <w:autoSpaceDE/>
        <w:autoSpaceDN/>
        <w:bidi w:val="0"/>
        <w:adjustRightInd/>
        <w:snapToGrid/>
        <w:spacing w:beforeAutospacing="0" w:afterAutospacing="0" w:line="560" w:lineRule="exact"/>
        <w:ind w:left="0" w:leftChars="0" w:right="0" w:rightChars="0" w:firstLine="640" w:firstLineChars="0"/>
        <w:jc w:val="left"/>
        <w:textAlignment w:val="auto"/>
        <w:outlineLvl w:val="9"/>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及时发布机构设置和规划布局调整等信息，所有新增医疗卫生资源，特别是公立医院的设置和改扩建、病床规模的扩大、大型医疗设备的购置，依据区域卫生规划的要求和程序严格管理。</w:t>
      </w:r>
    </w:p>
    <w:p>
      <w:pPr>
        <w:keepNext w:val="0"/>
        <w:keepLines w:val="0"/>
        <w:pageBreakBefore w:val="0"/>
        <w:widowControl/>
        <w:kinsoku/>
        <w:wordWrap w:val="0"/>
        <w:overflowPunct/>
        <w:topLinePunct w:val="0"/>
        <w:autoSpaceDE/>
        <w:autoSpaceDN/>
        <w:bidi w:val="0"/>
        <w:adjustRightInd/>
        <w:snapToGrid/>
        <w:spacing w:beforeAutospacing="0" w:afterAutospacing="0" w:line="560" w:lineRule="exact"/>
        <w:ind w:left="0" w:leftChars="0" w:right="0" w:rightChars="0" w:firstLine="640" w:firstLineChars="0"/>
        <w:jc w:val="left"/>
        <w:textAlignment w:val="auto"/>
        <w:outlineLvl w:val="9"/>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四、强化监督评价</w:t>
      </w:r>
    </w:p>
    <w:p>
      <w:pPr>
        <w:keepNext w:val="0"/>
        <w:keepLines w:val="0"/>
        <w:pageBreakBefore w:val="0"/>
        <w:widowControl/>
        <w:kinsoku/>
        <w:wordWrap w:val="0"/>
        <w:overflowPunct/>
        <w:topLinePunct w:val="0"/>
        <w:autoSpaceDE/>
        <w:autoSpaceDN/>
        <w:bidi w:val="0"/>
        <w:adjustRightInd/>
        <w:snapToGrid/>
        <w:spacing w:beforeAutospacing="0" w:afterAutospacing="0" w:line="560" w:lineRule="exact"/>
        <w:ind w:left="0" w:leftChars="0" w:right="0" w:rightChars="0" w:firstLine="640" w:firstLineChars="0"/>
        <w:jc w:val="left"/>
        <w:textAlignment w:val="auto"/>
        <w:outlineLvl w:val="9"/>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val="0"/>
          <w:color w:val="auto"/>
          <w:kern w:val="0"/>
          <w:sz w:val="32"/>
          <w:szCs w:val="32"/>
          <w:lang w:val="en-US" w:eastAsia="zh-CN" w:bidi="ar-SA"/>
        </w:rPr>
        <w:t>建立区域卫生规划和资源配置监督评价机制，开展区域卫生规划实施进度和效果评价，及时发现问题，研究解决对策。</w:t>
      </w:r>
    </w:p>
    <w:p>
      <w:pPr>
        <w:pageBreakBefore w:val="0"/>
        <w:kinsoku/>
        <w:overflowPunct/>
        <w:topLinePunct w:val="0"/>
        <w:bidi w:val="0"/>
        <w:spacing w:line="560" w:lineRule="exact"/>
        <w:ind w:left="0"/>
        <w:jc w:val="center"/>
        <w:textAlignment w:val="auto"/>
        <w:rPr>
          <w:rFonts w:hint="eastAsia" w:ascii="仿宋_GB2312" w:hAnsi="仿宋_GB2312" w:eastAsia="仿宋_GB2312" w:cs="仿宋_GB2312"/>
          <w:b w:val="0"/>
          <w:color w:val="auto"/>
          <w:kern w:val="0"/>
          <w:sz w:val="32"/>
          <w:szCs w:val="32"/>
          <w:lang w:val="en-US" w:eastAsia="zh-CN" w:bidi="ar-SA"/>
        </w:rPr>
      </w:pPr>
    </w:p>
    <w:p>
      <w:pPr>
        <w:pageBreakBefore w:val="0"/>
        <w:kinsoku/>
        <w:overflowPunct/>
        <w:topLinePunct w:val="0"/>
        <w:bidi w:val="0"/>
        <w:spacing w:line="560" w:lineRule="exact"/>
        <w:textAlignment w:val="auto"/>
        <w:rPr>
          <w:color w:val="auto"/>
        </w:rPr>
      </w:pPr>
    </w:p>
    <w:p/>
    <w:p/>
    <w:sectPr>
      <w:headerReference r:id="rId6" w:type="first"/>
      <w:footerReference r:id="rId8" w:type="first"/>
      <w:headerReference r:id="rId5" w:type="default"/>
      <w:footerReference r:id="rId7" w:type="default"/>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rPr>
        <w:lang w:val="zh-CN"/>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lang w:val="en-US" w:eastAsia="zh-CN"/>
      </w:rPr>
      <w:t>福田区</w:t>
    </w:r>
    <w:r>
      <w:rPr>
        <w:rFonts w:hint="eastAsia"/>
      </w:rPr>
      <w:t>医疗卫生服务体系规划（</w:t>
    </w:r>
    <w:r>
      <w:t>201</w:t>
    </w:r>
    <w:r>
      <w:rPr>
        <w:rFonts w:hint="eastAsia"/>
        <w:lang w:val="en-US" w:eastAsia="zh-CN"/>
      </w:rPr>
      <w:t>6</w:t>
    </w:r>
    <w:r>
      <w:rPr>
        <w:rFonts w:hint="eastAsia"/>
      </w:rPr>
      <w:t>～</w:t>
    </w:r>
    <w:r>
      <w:t>2020</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0"/>
    </w:pPr>
    <w:r>
      <w:rPr>
        <w:rFonts w:hint="eastAsia"/>
      </w:rPr>
      <w:t>茶陵县医疗卫生服务体系规划（</w:t>
    </w:r>
    <w:r>
      <w:t>201</w:t>
    </w:r>
    <w:r>
      <w:rPr>
        <w:rFonts w:hint="eastAsia"/>
      </w:rPr>
      <w:t>5～</w:t>
    </w:r>
    <w:r>
      <w:t>2020</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754209"/>
    <w:multiLevelType w:val="multilevel"/>
    <w:tmpl w:val="63754209"/>
    <w:lvl w:ilvl="0" w:tentative="0">
      <w:start w:val="1"/>
      <w:numFmt w:val="decimal"/>
      <w:pStyle w:val="11"/>
      <w:lvlText w:val="%1、"/>
      <w:lvlJc w:val="left"/>
      <w:pPr>
        <w:ind w:left="900" w:hanging="420"/>
      </w:pPr>
      <w:rPr>
        <w:rFonts w:hint="eastAsia"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yYjdlNzU3NGZmZGMwMzVjYzk4MmUyMGVmNjM4MjAifQ=="/>
  </w:docVars>
  <w:rsids>
    <w:rsidRoot w:val="0DDF427F"/>
    <w:rsid w:val="001E4AD1"/>
    <w:rsid w:val="03A13833"/>
    <w:rsid w:val="04166921"/>
    <w:rsid w:val="07B85E3C"/>
    <w:rsid w:val="07C9584C"/>
    <w:rsid w:val="099A6298"/>
    <w:rsid w:val="0C275F2B"/>
    <w:rsid w:val="0DDF427F"/>
    <w:rsid w:val="12032DE5"/>
    <w:rsid w:val="13210CA0"/>
    <w:rsid w:val="147C7874"/>
    <w:rsid w:val="15EB2480"/>
    <w:rsid w:val="179D7C50"/>
    <w:rsid w:val="18A225F5"/>
    <w:rsid w:val="1B0C4C70"/>
    <w:rsid w:val="1BFC5C27"/>
    <w:rsid w:val="23832672"/>
    <w:rsid w:val="23D977B2"/>
    <w:rsid w:val="251D3801"/>
    <w:rsid w:val="2672500B"/>
    <w:rsid w:val="2BA11054"/>
    <w:rsid w:val="32C917EA"/>
    <w:rsid w:val="3D3458F5"/>
    <w:rsid w:val="3F315148"/>
    <w:rsid w:val="411736B4"/>
    <w:rsid w:val="43F048AC"/>
    <w:rsid w:val="46822D18"/>
    <w:rsid w:val="4B3F3DB7"/>
    <w:rsid w:val="4BBC1EE3"/>
    <w:rsid w:val="4E923C87"/>
    <w:rsid w:val="5284511E"/>
    <w:rsid w:val="54C8511A"/>
    <w:rsid w:val="56AA3B6F"/>
    <w:rsid w:val="58A5619E"/>
    <w:rsid w:val="594D1FE6"/>
    <w:rsid w:val="59D01FD7"/>
    <w:rsid w:val="5CC04B16"/>
    <w:rsid w:val="5D744309"/>
    <w:rsid w:val="603653B8"/>
    <w:rsid w:val="6C7400A0"/>
    <w:rsid w:val="6EEE2719"/>
    <w:rsid w:val="6FBC189D"/>
    <w:rsid w:val="73A56524"/>
    <w:rsid w:val="74A076C1"/>
    <w:rsid w:val="768635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420"/>
      <w:jc w:val="both"/>
    </w:pPr>
    <w:rPr>
      <w:rFonts w:ascii="Calibri" w:hAnsi="Calibr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line="240" w:lineRule="auto"/>
      <w:ind w:left="0"/>
      <w:outlineLvl w:val="1"/>
    </w:pPr>
    <w:rPr>
      <w:rFonts w:ascii="Cambria" w:hAnsi="Cambria"/>
      <w:bCs/>
      <w:kern w:val="0"/>
      <w:sz w:val="32"/>
      <w:szCs w:val="32"/>
    </w:rPr>
  </w:style>
  <w:style w:type="paragraph" w:styleId="3">
    <w:name w:val="heading 3"/>
    <w:basedOn w:val="1"/>
    <w:next w:val="1"/>
    <w:unhideWhenUsed/>
    <w:qFormat/>
    <w:uiPriority w:val="0"/>
    <w:pPr>
      <w:keepNext/>
      <w:keepLines/>
      <w:spacing w:before="260" w:after="260" w:line="416" w:lineRule="auto"/>
      <w:outlineLvl w:val="2"/>
    </w:pPr>
    <w:rPr>
      <w:rFonts w:ascii="Times New Roman" w:hAnsi="Times New Roman"/>
      <w:b/>
      <w:bCs/>
      <w:kern w:val="0"/>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pPr>
      <w:spacing w:line="240" w:lineRule="auto"/>
      <w:ind w:left="0" w:right="-31" w:rightChars="-15"/>
    </w:pPr>
    <w:rPr>
      <w:rFonts w:ascii="宋体" w:hAnsi="Courier New" w:eastAsia="华文宋体"/>
      <w:kern w:val="0"/>
      <w:sz w:val="20"/>
      <w:szCs w:val="21"/>
    </w:rPr>
  </w:style>
  <w:style w:type="paragraph" w:styleId="5">
    <w:name w:val="footer"/>
    <w:basedOn w:val="1"/>
    <w:qFormat/>
    <w:uiPriority w:val="0"/>
    <w:pPr>
      <w:tabs>
        <w:tab w:val="center" w:pos="4153"/>
        <w:tab w:val="right" w:pos="8306"/>
      </w:tabs>
      <w:snapToGrid w:val="0"/>
      <w:spacing w:line="240" w:lineRule="auto"/>
      <w:jc w:val="left"/>
    </w:pPr>
    <w:rPr>
      <w:rFonts w:ascii="Times New Roman" w:hAnsi="Times New Roman"/>
      <w:kern w:val="0"/>
      <w:sz w:val="18"/>
      <w:szCs w:val="18"/>
    </w:rPr>
  </w:style>
  <w:style w:type="paragraph" w:styleId="6">
    <w:name w:val="header"/>
    <w:basedOn w:val="1"/>
    <w:qFormat/>
    <w:uiPriority w:val="0"/>
    <w:pPr>
      <w:pBdr>
        <w:bottom w:val="single" w:color="auto" w:sz="6" w:space="1"/>
      </w:pBdr>
      <w:tabs>
        <w:tab w:val="center" w:pos="4153"/>
        <w:tab w:val="right" w:pos="8306"/>
      </w:tabs>
      <w:snapToGrid w:val="0"/>
      <w:spacing w:line="240" w:lineRule="auto"/>
      <w:jc w:val="center"/>
    </w:pPr>
    <w:rPr>
      <w:rFonts w:ascii="Times New Roman" w:hAnsi="Times New Roman"/>
      <w:kern w:val="0"/>
      <w:sz w:val="18"/>
      <w:szCs w:val="18"/>
    </w:rPr>
  </w:style>
  <w:style w:type="paragraph" w:styleId="7">
    <w:name w:val="toc 2"/>
    <w:basedOn w:val="1"/>
    <w:next w:val="1"/>
    <w:qFormat/>
    <w:uiPriority w:val="0"/>
    <w:pPr>
      <w:tabs>
        <w:tab w:val="left" w:pos="1680"/>
        <w:tab w:val="right" w:leader="dot" w:pos="9917"/>
      </w:tabs>
      <w:spacing w:beforeLines="50" w:line="240" w:lineRule="auto"/>
      <w:ind w:left="0"/>
      <w:jc w:val="center"/>
    </w:pPr>
    <w:rPr>
      <w:rFonts w:ascii="黑体" w:hAnsi="Times New Roman" w:eastAsia="黑体"/>
      <w:b/>
      <w:sz w:val="24"/>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Default"/>
    <w:qFormat/>
    <w:uiPriority w:val="99"/>
    <w:pPr>
      <w:widowControl w:val="0"/>
      <w:numPr>
        <w:ilvl w:val="0"/>
        <w:numId w:val="1"/>
      </w:numPr>
      <w:autoSpaceDE w:val="0"/>
      <w:autoSpaceDN w:val="0"/>
      <w:adjustRightInd w:val="0"/>
      <w:spacing w:line="360" w:lineRule="auto"/>
    </w:pPr>
    <w:rPr>
      <w:rFonts w:ascii="Calibri" w:hAnsi="Calibri" w:cs="Calibr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14939</Words>
  <Characters>15301</Characters>
  <Lines>0</Lines>
  <Paragraphs>0</Paragraphs>
  <TotalTime>0</TotalTime>
  <ScaleCrop>false</ScaleCrop>
  <LinksUpToDate>false</LinksUpToDate>
  <CharactersWithSpaces>15451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2017-01-20T01:12:00Z</dcterms:created>
  <dc:creator>user</dc:creator>
  <cp:lastModifiedBy>-Jus</cp:lastModifiedBy>
  <dcterms:modified xsi:type="dcterms:W3CDTF">2022-08-08T03:34:33Z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10E1CF6DDAC9431DAA2232CFF2A41EBD</vt:lpwstr>
  </property>
</Properties>
</file>