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b w:val="0"/>
          <w:bCs w:val="0"/>
        </w:rPr>
      </w:pPr>
      <w:r>
        <w:rPr>
          <w:rFonts w:hint="eastAsia" w:ascii="方正小标宋简体"/>
          <w:b w:val="0"/>
          <w:bCs w:val="0"/>
        </w:rPr>
        <w:t>深圳市福田区发展研究中心</w:t>
      </w:r>
      <w:r>
        <w:rPr>
          <w:rFonts w:hint="eastAsia" w:ascii="方正小标宋简体"/>
          <w:b w:val="0"/>
          <w:bCs w:val="0"/>
        </w:rPr>
        <w:br w:type="textWrapping" w:clear="all"/>
      </w:r>
      <w:r>
        <w:rPr>
          <w:rFonts w:hint="eastAsia" w:ascii="方正小标宋简体"/>
          <w:b w:val="0"/>
          <w:bCs w:val="0"/>
        </w:rPr>
        <w:t>2021年项目支出部门评价报告</w:t>
      </w:r>
      <w:r>
        <w:rPr>
          <w:rFonts w:hint="eastAsia" w:ascii="方正小标宋简体"/>
          <w:b w:val="0"/>
          <w:bCs w:val="0"/>
        </w:rPr>
        <w:br w:type="textWrapping" w:clear="all"/>
      </w:r>
      <w:r>
        <w:rPr>
          <w:rFonts w:hint="eastAsia" w:ascii="方正小标宋简体"/>
          <w:b w:val="0"/>
          <w:bCs w:val="0"/>
        </w:rPr>
        <w:t>（改革宣传项目）</w:t>
      </w:r>
    </w:p>
    <w:p>
      <w:pPr>
        <w:ind w:firstLine="0" w:firstLineChars="0"/>
      </w:pPr>
    </w:p>
    <w:p>
      <w:pPr>
        <w:pStyle w:val="3"/>
        <w:ind w:firstLine="640"/>
      </w:pPr>
      <w:r>
        <w:rPr>
          <w:rFonts w:hint="eastAsia"/>
        </w:rPr>
        <w:t>一、基本情况</w:t>
      </w:r>
    </w:p>
    <w:p>
      <w:pPr>
        <w:pStyle w:val="4"/>
        <w:ind w:firstLine="643"/>
      </w:pPr>
      <w:r>
        <w:rPr>
          <w:rFonts w:hint="eastAsia"/>
        </w:rPr>
        <w:t>（一）项目概况</w:t>
      </w:r>
    </w:p>
    <w:p>
      <w:pPr>
        <w:pStyle w:val="5"/>
        <w:ind w:firstLine="643"/>
      </w:pPr>
      <w:r>
        <w:rPr>
          <w:rFonts w:hint="eastAsia"/>
        </w:rPr>
        <w:t>1</w:t>
      </w:r>
      <w:r>
        <w:t>.</w:t>
      </w:r>
      <w:r>
        <w:rPr>
          <w:rFonts w:hint="eastAsia"/>
        </w:rPr>
        <w:t>项目背景</w:t>
      </w:r>
    </w:p>
    <w:p>
      <w:pPr>
        <w:ind w:firstLine="640"/>
      </w:pPr>
      <w:r>
        <w:rPr>
          <w:rFonts w:hint="eastAsia"/>
        </w:rPr>
        <w:t>从全局的角度看，全区在以习近平同志为核心的党中央坚强领导下，各项改革进展顺利，在践行新发展理念的各个方面都有一系列突破性改革成果，积累了许多经验做法，需要进行广泛宣传和推广。从改革进程看，当前已进入改革的关键阶段，需要通过宣传来增进共识，凝聚合力。我中心负责统筹协调全区体制改革工作，参与重大政策问题研究和重大调研活动，为改革的深入开展发挥了重要作用，需要继续把宣传作用发挥好，结合国家、省、市改革精神与工作部署，及时总结提炼改革工作、改革成效和改革亮点，选取一批体现福田改革担当、彰显福田改革特色、服务全国改革大局的改革成果进行宣传。</w:t>
      </w:r>
    </w:p>
    <w:p>
      <w:pPr>
        <w:pStyle w:val="5"/>
        <w:ind w:firstLine="643"/>
      </w:pPr>
      <w:r>
        <w:rPr>
          <w:rFonts w:hint="eastAsia"/>
        </w:rPr>
        <w:t>2</w:t>
      </w:r>
      <w:r>
        <w:t>.</w:t>
      </w:r>
      <w:r>
        <w:rPr>
          <w:rFonts w:hint="eastAsia"/>
        </w:rPr>
        <w:t>项目内容</w:t>
      </w:r>
    </w:p>
    <w:p>
      <w:pPr>
        <w:ind w:firstLine="640"/>
      </w:pPr>
      <w:r>
        <w:rPr>
          <w:rFonts w:hint="eastAsia"/>
        </w:rPr>
        <w:t>我中心在二级预算项目“改革专项”中设置子项目“改革宣传”，用于支付改革方面的宣传支出。一方面通过省、市级党政报刊、电视台等新闻媒体进行3</w:t>
      </w:r>
      <w:r>
        <w:t>-4</w:t>
      </w:r>
      <w:r>
        <w:rPr>
          <w:rFonts w:hint="eastAsia"/>
        </w:rPr>
        <w:t>个版面的专版报道，另一方面编印《福田</w:t>
      </w:r>
      <w:r>
        <w:t>2020改革报告》</w:t>
      </w:r>
      <w:r>
        <w:rPr>
          <w:rFonts w:hint="eastAsia"/>
        </w:rPr>
        <w:t>不少于3</w:t>
      </w:r>
      <w:r>
        <w:t>00</w:t>
      </w:r>
      <w:r>
        <w:rPr>
          <w:rFonts w:hint="eastAsia"/>
        </w:rPr>
        <w:t>册进行发放。</w:t>
      </w:r>
    </w:p>
    <w:p>
      <w:pPr>
        <w:pStyle w:val="5"/>
        <w:ind w:firstLine="643"/>
      </w:pPr>
      <w:r>
        <w:t>3.</w:t>
      </w:r>
      <w:r>
        <w:rPr>
          <w:rFonts w:hint="eastAsia"/>
        </w:rPr>
        <w:t>资金使用情况</w:t>
      </w:r>
    </w:p>
    <w:p>
      <w:pPr>
        <w:ind w:firstLine="640"/>
      </w:pPr>
      <w:r>
        <w:rPr>
          <w:rFonts w:hint="eastAsia"/>
        </w:rPr>
        <w:t>2</w:t>
      </w:r>
      <w:r>
        <w:t>021</w:t>
      </w:r>
      <w:r>
        <w:rPr>
          <w:rFonts w:hint="eastAsia"/>
        </w:rPr>
        <w:t>年该项目在预算申报阶段申请预算金额为3</w:t>
      </w:r>
      <w:r>
        <w:t>4.25</w:t>
      </w:r>
      <w:r>
        <w:rPr>
          <w:rFonts w:hint="eastAsia"/>
        </w:rPr>
        <w:t>万元，全部来自财政拨款，经区财政部门批准后年初下达预算指标3</w:t>
      </w:r>
      <w:r>
        <w:t>4.25</w:t>
      </w:r>
      <w:r>
        <w:rPr>
          <w:rFonts w:hint="eastAsia"/>
        </w:rPr>
        <w:t>万元。</w:t>
      </w:r>
    </w:p>
    <w:p>
      <w:pPr>
        <w:ind w:firstLine="640"/>
      </w:pPr>
      <w:r>
        <w:rPr>
          <w:rFonts w:hint="eastAsia"/>
        </w:rPr>
        <w:t>项目启动后，由于实际工作需要从所属二级预算项目下其他子项目预算中通过调剂程序，向本项目调入6</w:t>
      </w:r>
      <w:r>
        <w:t>.72</w:t>
      </w:r>
      <w:r>
        <w:rPr>
          <w:rFonts w:hint="eastAsia"/>
        </w:rPr>
        <w:t>万元，最终项目支出共</w:t>
      </w:r>
      <w:r>
        <w:t>40.97</w:t>
      </w:r>
      <w:r>
        <w:rPr>
          <w:rFonts w:hint="eastAsia"/>
        </w:rPr>
        <w:t>万元，预算执行率为1</w:t>
      </w:r>
      <w:r>
        <w:t>00.00%</w:t>
      </w:r>
      <w:r>
        <w:rPr>
          <w:rFonts w:hint="eastAsia"/>
        </w:rPr>
        <w:t>。其中新闻媒体宣传费用3</w:t>
      </w:r>
      <w:r>
        <w:t>6.4</w:t>
      </w:r>
      <w:r>
        <w:rPr>
          <w:rFonts w:hint="eastAsia"/>
        </w:rPr>
        <w:t>0万元，《福田</w:t>
      </w:r>
      <w:r>
        <w:t>2020改革报告》</w:t>
      </w:r>
      <w:r>
        <w:rPr>
          <w:rFonts w:hint="eastAsia"/>
        </w:rPr>
        <w:t>制作费用4</w:t>
      </w:r>
      <w:r>
        <w:t>.57</w:t>
      </w:r>
      <w:r>
        <w:rPr>
          <w:rFonts w:hint="eastAsia"/>
        </w:rPr>
        <w:t>万元。项目支出明细如下：</w:t>
      </w:r>
    </w:p>
    <w:p>
      <w:pPr>
        <w:ind w:firstLine="0" w:firstLineChars="0"/>
        <w:jc w:val="center"/>
        <w:rPr>
          <w:rFonts w:ascii="黑体" w:hAnsi="黑体" w:eastAsia="黑体" w:cs="黑体"/>
          <w:sz w:val="28"/>
          <w:szCs w:val="28"/>
        </w:rPr>
      </w:pPr>
      <w:r>
        <w:tab/>
      </w:r>
      <w:r>
        <w:rPr>
          <w:rFonts w:hint="eastAsia" w:ascii="黑体" w:hAnsi="黑体" w:eastAsia="黑体" w:cs="黑体"/>
          <w:sz w:val="28"/>
          <w:szCs w:val="28"/>
        </w:rPr>
        <w:t>表1-</w:t>
      </w:r>
      <w:r>
        <w:rPr>
          <w:rFonts w:ascii="黑体" w:hAnsi="黑体" w:eastAsia="黑体" w:cs="黑体"/>
          <w:sz w:val="28"/>
          <w:szCs w:val="28"/>
        </w:rPr>
        <w:t>1</w:t>
      </w:r>
      <w:r>
        <w:rPr>
          <w:rFonts w:hint="eastAsia" w:ascii="黑体" w:hAnsi="黑体" w:eastAsia="黑体" w:cs="黑体"/>
          <w:sz w:val="28"/>
          <w:szCs w:val="28"/>
        </w:rPr>
        <w:t>：项目费用支出明细表（单位：元）</w:t>
      </w:r>
    </w:p>
    <w:tbl>
      <w:tblPr>
        <w:tblStyle w:val="11"/>
        <w:tblW w:w="8793" w:type="dxa"/>
        <w:jc w:val="center"/>
        <w:tblInd w:w="0" w:type="dxa"/>
        <w:tblLayout w:type="fixed"/>
        <w:tblCellMar>
          <w:top w:w="0" w:type="dxa"/>
          <w:left w:w="108" w:type="dxa"/>
          <w:bottom w:w="0" w:type="dxa"/>
          <w:right w:w="108" w:type="dxa"/>
        </w:tblCellMar>
      </w:tblPr>
      <w:tblGrid>
        <w:gridCol w:w="4370"/>
        <w:gridCol w:w="4423"/>
      </w:tblGrid>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spacing w:line="240" w:lineRule="auto"/>
              <w:ind w:firstLine="0" w:firstLineChars="0"/>
              <w:jc w:val="center"/>
              <w:textAlignment w:val="center"/>
              <w:rPr>
                <w:rFonts w:ascii="宋体" w:hAnsi="宋体" w:eastAsia="宋体" w:cs="等线"/>
                <w:b/>
                <w:bCs/>
                <w:color w:val="000000"/>
                <w:sz w:val="22"/>
                <w:szCs w:val="22"/>
              </w:rPr>
            </w:pPr>
            <w:r>
              <w:rPr>
                <w:rFonts w:hint="eastAsia" w:ascii="宋体" w:hAnsi="宋体" w:eastAsia="宋体" w:cs="等线"/>
                <w:b/>
                <w:bCs/>
                <w:color w:val="000000"/>
                <w:kern w:val="0"/>
                <w:sz w:val="22"/>
                <w:szCs w:val="22"/>
                <w:lang w:bidi="ar"/>
              </w:rPr>
              <w:t>用途</w:t>
            </w:r>
          </w:p>
        </w:tc>
        <w:tc>
          <w:tcPr>
            <w:tcW w:w="44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spacing w:line="240" w:lineRule="auto"/>
              <w:ind w:firstLine="0" w:firstLineChars="0"/>
              <w:jc w:val="center"/>
              <w:textAlignment w:val="center"/>
              <w:rPr>
                <w:rFonts w:ascii="宋体" w:hAnsi="宋体" w:eastAsia="宋体" w:cs="等线"/>
                <w:b/>
                <w:bCs/>
                <w:color w:val="000000"/>
                <w:sz w:val="22"/>
                <w:szCs w:val="22"/>
              </w:rPr>
            </w:pPr>
            <w:r>
              <w:rPr>
                <w:rFonts w:hint="eastAsia" w:ascii="宋体" w:hAnsi="宋体" w:eastAsia="宋体" w:cs="等线"/>
                <w:b/>
                <w:bCs/>
                <w:color w:val="000000"/>
                <w:kern w:val="0"/>
                <w:sz w:val="22"/>
                <w:szCs w:val="22"/>
                <w:lang w:bidi="ar"/>
              </w:rPr>
              <w:t>具体金额（元）</w:t>
            </w:r>
          </w:p>
        </w:tc>
      </w:tr>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hint="eastAsia" w:ascii="宋体" w:hAnsi="宋体" w:eastAsia="宋体" w:cstheme="minorEastAsia"/>
                <w:color w:val="000000"/>
                <w:kern w:val="0"/>
                <w:sz w:val="22"/>
                <w:szCs w:val="22"/>
                <w:lang w:bidi="ar"/>
              </w:rPr>
              <w:t>特区报宣传费</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ascii="宋体" w:hAnsi="宋体" w:eastAsia="宋体" w:cstheme="minorEastAsia"/>
                <w:color w:val="000000"/>
                <w:kern w:val="0"/>
                <w:sz w:val="22"/>
                <w:szCs w:val="22"/>
                <w:lang w:bidi="ar"/>
              </w:rPr>
              <w:t>98,000.00</w:t>
            </w:r>
          </w:p>
        </w:tc>
      </w:tr>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hint="eastAsia" w:ascii="宋体" w:hAnsi="宋体" w:eastAsia="宋体" w:cstheme="minorEastAsia"/>
                <w:color w:val="000000"/>
                <w:kern w:val="0"/>
                <w:sz w:val="22"/>
                <w:szCs w:val="22"/>
                <w:lang w:bidi="ar"/>
              </w:rPr>
              <w:t>南方日报宣传费</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ascii="宋体" w:hAnsi="宋体" w:eastAsia="宋体" w:cstheme="minorEastAsia"/>
                <w:color w:val="000000"/>
                <w:kern w:val="0"/>
                <w:sz w:val="22"/>
                <w:szCs w:val="22"/>
                <w:lang w:bidi="ar"/>
              </w:rPr>
              <w:t>168,000.00</w:t>
            </w:r>
          </w:p>
        </w:tc>
      </w:tr>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hint="eastAsia" w:ascii="宋体" w:hAnsi="宋体" w:eastAsia="宋体" w:cstheme="minorEastAsia"/>
                <w:color w:val="000000"/>
                <w:kern w:val="0"/>
                <w:sz w:val="22"/>
                <w:szCs w:val="22"/>
                <w:lang w:bidi="ar"/>
              </w:rPr>
              <w:t>《中国改革报》宣传服务费</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ascii="宋体" w:hAnsi="宋体" w:eastAsia="宋体" w:cstheme="minorEastAsia"/>
                <w:color w:val="000000"/>
                <w:kern w:val="0"/>
                <w:sz w:val="22"/>
                <w:szCs w:val="22"/>
                <w:lang w:bidi="ar"/>
              </w:rPr>
              <w:t>98,000.00</w:t>
            </w:r>
          </w:p>
        </w:tc>
      </w:tr>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hint="eastAsia" w:ascii="宋体" w:hAnsi="宋体" w:eastAsia="宋体" w:cstheme="minorEastAsia"/>
                <w:color w:val="000000"/>
                <w:kern w:val="0"/>
                <w:sz w:val="22"/>
                <w:szCs w:val="22"/>
                <w:lang w:bidi="ar"/>
              </w:rPr>
              <w:t>排版制作费</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ascii="宋体" w:hAnsi="宋体" w:eastAsia="宋体" w:cstheme="minorEastAsia"/>
                <w:color w:val="000000"/>
                <w:kern w:val="0"/>
                <w:sz w:val="22"/>
                <w:szCs w:val="22"/>
                <w:lang w:bidi="ar"/>
              </w:rPr>
              <w:t>9,780.00</w:t>
            </w:r>
          </w:p>
        </w:tc>
      </w:tr>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hint="eastAsia" w:ascii="宋体" w:hAnsi="宋体" w:eastAsia="宋体" w:cstheme="minorEastAsia"/>
                <w:color w:val="000000"/>
                <w:kern w:val="0"/>
                <w:sz w:val="22"/>
                <w:szCs w:val="22"/>
                <w:lang w:bidi="ar"/>
              </w:rPr>
              <w:t>印刷费</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color w:val="000000"/>
                <w:kern w:val="0"/>
                <w:sz w:val="22"/>
                <w:szCs w:val="22"/>
                <w:lang w:bidi="ar"/>
              </w:rPr>
            </w:pPr>
            <w:r>
              <w:rPr>
                <w:rFonts w:ascii="宋体" w:hAnsi="宋体" w:eastAsia="宋体" w:cstheme="minorEastAsia"/>
                <w:color w:val="000000"/>
                <w:kern w:val="0"/>
                <w:sz w:val="22"/>
                <w:szCs w:val="22"/>
                <w:lang w:bidi="ar"/>
              </w:rPr>
              <w:t>35,920.00</w:t>
            </w:r>
          </w:p>
        </w:tc>
      </w:tr>
      <w:tr>
        <w:tblPrEx>
          <w:tblLayout w:type="fixed"/>
          <w:tblCellMar>
            <w:top w:w="0" w:type="dxa"/>
            <w:left w:w="108" w:type="dxa"/>
            <w:bottom w:w="0" w:type="dxa"/>
            <w:right w:w="108" w:type="dxa"/>
          </w:tblCellMar>
        </w:tblPrEx>
        <w:trPr>
          <w:trHeight w:val="510" w:hRule="atLeast"/>
          <w:jc w:val="center"/>
        </w:trPr>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b/>
                <w:bCs/>
                <w:color w:val="000000"/>
                <w:kern w:val="0"/>
                <w:sz w:val="22"/>
                <w:szCs w:val="22"/>
                <w:lang w:bidi="ar"/>
              </w:rPr>
            </w:pPr>
            <w:r>
              <w:rPr>
                <w:rFonts w:hint="eastAsia" w:ascii="宋体" w:hAnsi="宋体" w:eastAsia="宋体" w:cstheme="minorEastAsia"/>
                <w:b/>
                <w:bCs/>
                <w:color w:val="000000"/>
                <w:kern w:val="0"/>
                <w:sz w:val="22"/>
                <w:szCs w:val="22"/>
                <w:lang w:bidi="ar"/>
              </w:rPr>
              <w:t>合计</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theme="minorEastAsia"/>
                <w:b/>
                <w:bCs/>
                <w:color w:val="000000"/>
                <w:kern w:val="0"/>
                <w:sz w:val="22"/>
                <w:szCs w:val="22"/>
                <w:lang w:bidi="ar"/>
              </w:rPr>
            </w:pPr>
            <w:r>
              <w:rPr>
                <w:rFonts w:ascii="宋体" w:hAnsi="宋体" w:eastAsia="宋体" w:cstheme="minorEastAsia"/>
                <w:b/>
                <w:bCs/>
                <w:color w:val="000000"/>
                <w:kern w:val="0"/>
                <w:sz w:val="22"/>
                <w:szCs w:val="22"/>
                <w:lang w:bidi="ar"/>
              </w:rPr>
              <w:t>409,700.00</w:t>
            </w:r>
          </w:p>
        </w:tc>
      </w:tr>
    </w:tbl>
    <w:p>
      <w:pPr>
        <w:ind w:firstLine="643"/>
      </w:pPr>
      <w:r>
        <w:rPr>
          <w:rStyle w:val="14"/>
          <w:rFonts w:hint="eastAsia"/>
        </w:rPr>
        <w:t>（二）项目绩效目标</w:t>
      </w:r>
    </w:p>
    <w:p>
      <w:pPr>
        <w:ind w:firstLine="640"/>
      </w:pPr>
      <w:r>
        <w:rPr>
          <w:rFonts w:hint="eastAsia"/>
        </w:rPr>
        <w:t>我中心严格按照区财政部门要求编制预算项目支出绩效目标申报表，设置如下项目绩效目标：</w:t>
      </w:r>
    </w:p>
    <w:p>
      <w:pPr>
        <w:pStyle w:val="5"/>
        <w:ind w:firstLine="643"/>
      </w:pPr>
      <w:r>
        <w:t>1.</w:t>
      </w:r>
      <w:r>
        <w:rPr>
          <w:rFonts w:hint="eastAsia"/>
        </w:rPr>
        <w:t>项目中期目标</w:t>
      </w:r>
    </w:p>
    <w:p>
      <w:pPr>
        <w:ind w:firstLine="640"/>
      </w:pPr>
      <w:r>
        <w:rPr>
          <w:rFonts w:hint="eastAsia"/>
        </w:rPr>
        <w:t>（1）</w:t>
      </w:r>
      <w:r>
        <w:t xml:space="preserve">通过省、市级党政报刊、电视台等新闻媒体对福田改革举措、成效及典型案例进行宣传，打造全面深化改革福田品牌。                                                                                </w:t>
      </w:r>
    </w:p>
    <w:p>
      <w:pPr>
        <w:ind w:firstLine="640"/>
      </w:pPr>
      <w:r>
        <w:rPr>
          <w:rFonts w:hint="eastAsia"/>
        </w:rPr>
        <w:t>（2）</w:t>
      </w:r>
      <w:r>
        <w:t>通过系统梳理汇总上一年度福田改革形成的制度性成果、党政媒体报道、改革项目举措对2020年度福田区重点改革项目进展及成果进行3-4个报纸版面的宣传，编印改革报告与</w:t>
      </w:r>
      <w:r>
        <w:rPr>
          <w:rFonts w:hint="eastAsia"/>
        </w:rPr>
        <w:t>改革</w:t>
      </w:r>
      <w:r>
        <w:t>成效等，形成《福田2020改革报告》，系统总结福田改革经</w:t>
      </w:r>
      <w:r>
        <w:rPr>
          <w:rFonts w:hint="eastAsia"/>
        </w:rPr>
        <w:t>验。</w:t>
      </w:r>
    </w:p>
    <w:p>
      <w:pPr>
        <w:pStyle w:val="5"/>
        <w:ind w:firstLine="643"/>
      </w:pPr>
      <w:r>
        <w:rPr>
          <w:rFonts w:hint="eastAsia"/>
        </w:rPr>
        <w:t>2</w:t>
      </w:r>
      <w:r>
        <w:t>.</w:t>
      </w:r>
      <w:r>
        <w:rPr>
          <w:rFonts w:hint="eastAsia"/>
        </w:rPr>
        <w:t>项目年度目标</w:t>
      </w:r>
    </w:p>
    <w:p>
      <w:pPr>
        <w:ind w:firstLine="640"/>
      </w:pPr>
      <w:r>
        <w:rPr>
          <w:rFonts w:hint="eastAsia"/>
        </w:rPr>
        <w:t>对</w:t>
      </w:r>
      <w:r>
        <w:t>2020年度福田区重点改革项目进展及成果进行3-4个报纸版面的宣传，编印《福田2020改革报告</w:t>
      </w:r>
      <w:r>
        <w:rPr>
          <w:rFonts w:hint="eastAsia"/>
        </w:rPr>
        <w:t>》，积极发挥改革宣传作用。</w:t>
      </w:r>
    </w:p>
    <w:p>
      <w:pPr>
        <w:pStyle w:val="3"/>
        <w:ind w:firstLine="640"/>
      </w:pPr>
      <w:r>
        <w:rPr>
          <w:rFonts w:hint="eastAsia"/>
        </w:rPr>
        <w:t>二、绩效评价工作开展情况</w:t>
      </w:r>
    </w:p>
    <w:p>
      <w:pPr>
        <w:pStyle w:val="4"/>
        <w:ind w:firstLine="643"/>
      </w:pPr>
      <w:r>
        <w:rPr>
          <w:rFonts w:hint="eastAsia"/>
        </w:rPr>
        <w:t>（一）绩效评价目的、对象和范围</w:t>
      </w:r>
    </w:p>
    <w:p>
      <w:pPr>
        <w:ind w:firstLine="640"/>
      </w:pPr>
      <w:r>
        <w:rPr>
          <w:rFonts w:hint="eastAsia"/>
        </w:rPr>
        <w:t>通过开展项目绩效评价工作，运用科学、合理的绩效评价指标、评价标准和评价方法，对“改革宣传”项目的合规性、可操作性、经济性、效率性和效益性进行客观、公正的评价，并总结经验，分析存在问题，有针对性地采取有效措施，进一步改进和加强财政支出项目管理，不断提高财政资金管理水平和使用效益。</w:t>
      </w:r>
    </w:p>
    <w:p>
      <w:pPr>
        <w:ind w:firstLine="640"/>
      </w:pPr>
      <w:r>
        <w:rPr>
          <w:rFonts w:hint="eastAsia"/>
        </w:rPr>
        <w:t>本次绩效评价对象为</w:t>
      </w:r>
      <w:r>
        <w:t>2021年度我</w:t>
      </w:r>
      <w:r>
        <w:rPr>
          <w:rFonts w:hint="eastAsia"/>
        </w:rPr>
        <w:t>中心</w:t>
      </w:r>
      <w:r>
        <w:t>履职类项目“</w:t>
      </w:r>
      <w:r>
        <w:rPr>
          <w:rFonts w:hint="eastAsia"/>
        </w:rPr>
        <w:t>改革宣传</w:t>
      </w:r>
      <w:r>
        <w:t>”，评价范围包括该项目前期决策和资金投入、过程中的财务和执行管理、产出以及实际运行效果全过程。</w:t>
      </w:r>
    </w:p>
    <w:p>
      <w:pPr>
        <w:pStyle w:val="4"/>
        <w:ind w:firstLine="643"/>
      </w:pPr>
      <w:r>
        <w:rPr>
          <w:rFonts w:hint="eastAsia"/>
        </w:rPr>
        <w:t>（二）绩效评价原则</w:t>
      </w:r>
    </w:p>
    <w:p>
      <w:pPr>
        <w:ind w:firstLine="640"/>
      </w:pPr>
      <w:r>
        <w:rPr>
          <w:rFonts w:hint="eastAsia"/>
        </w:rPr>
        <w:t>本次评价工作遵循“客观、公正、科学、规范”的原则，对项目的合规性、效率性、有效性进行分析。</w:t>
      </w:r>
    </w:p>
    <w:p>
      <w:pPr>
        <w:pStyle w:val="4"/>
        <w:ind w:firstLine="643"/>
      </w:pPr>
      <w:r>
        <w:rPr>
          <w:rFonts w:hint="eastAsia"/>
        </w:rPr>
        <w:t>（三）评价指标体系</w:t>
      </w:r>
    </w:p>
    <w:p>
      <w:pPr>
        <w:ind w:firstLine="640"/>
      </w:pPr>
      <w:r>
        <w:rPr>
          <w:rFonts w:hint="eastAsia"/>
        </w:rPr>
        <w:t>本次绩效评价根据该项目预算绩效目标、实际工作开展情况来设置评价标准，采取定量与定性结合、科学性与全面性结合、整体优化和可操作结合、绩效评价与绩效管理结合的方式设置评价指标，绩效评价指标体系主要由一级指标、二级指标、三级指标及其权重、指标解释及计分标准构成。最终设置项目决策、过程、产出和效益</w:t>
      </w:r>
      <w:r>
        <w:t>4个一级评价指标、12个二级评价指标和18个三级评价指标。</w:t>
      </w:r>
    </w:p>
    <w:p>
      <w:pPr>
        <w:ind w:firstLine="0" w:firstLineChars="0"/>
        <w:jc w:val="center"/>
        <w:rPr>
          <w:rFonts w:ascii="黑体" w:hAnsi="黑体" w:eastAsia="黑体" w:cs="黑体"/>
          <w:sz w:val="28"/>
          <w:szCs w:val="28"/>
        </w:rPr>
      </w:pPr>
      <w:r>
        <w:tab/>
      </w:r>
      <w:r>
        <w:rPr>
          <w:rFonts w:hint="eastAsia" w:ascii="黑体" w:hAnsi="黑体" w:eastAsia="黑体" w:cs="黑体"/>
          <w:sz w:val="28"/>
          <w:szCs w:val="28"/>
        </w:rPr>
        <w:t>表</w:t>
      </w:r>
      <w:r>
        <w:rPr>
          <w:rFonts w:ascii="黑体" w:hAnsi="黑体" w:eastAsia="黑体" w:cs="黑体"/>
          <w:sz w:val="28"/>
          <w:szCs w:val="28"/>
        </w:rPr>
        <w:t>2</w:t>
      </w:r>
      <w:r>
        <w:rPr>
          <w:rFonts w:hint="eastAsia" w:ascii="黑体" w:hAnsi="黑体" w:eastAsia="黑体" w:cs="黑体"/>
          <w:sz w:val="28"/>
          <w:szCs w:val="28"/>
        </w:rPr>
        <w:t>-</w:t>
      </w:r>
      <w:r>
        <w:rPr>
          <w:rFonts w:ascii="黑体" w:hAnsi="黑体" w:eastAsia="黑体" w:cs="黑体"/>
          <w:sz w:val="28"/>
          <w:szCs w:val="28"/>
        </w:rPr>
        <w:t>1</w:t>
      </w:r>
      <w:r>
        <w:rPr>
          <w:rFonts w:hint="eastAsia" w:ascii="黑体" w:hAnsi="黑体" w:eastAsia="黑体" w:cs="黑体"/>
          <w:sz w:val="28"/>
          <w:szCs w:val="28"/>
        </w:rPr>
        <w:t>：项目绩效评价指标体系</w:t>
      </w:r>
    </w:p>
    <w:tbl>
      <w:tblPr>
        <w:tblStyle w:val="11"/>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88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880" w:type="dxa"/>
            <w:shd w:val="clear" w:color="auto" w:fill="BFBFBF"/>
            <w:vAlign w:val="center"/>
          </w:tcPr>
          <w:p>
            <w:pPr>
              <w:widowControl/>
              <w:spacing w:line="240" w:lineRule="auto"/>
              <w:ind w:firstLine="0" w:firstLineChars="0"/>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lang w:bidi="ar"/>
              </w:rPr>
              <w:t>一级指标</w:t>
            </w:r>
            <w:r>
              <w:rPr>
                <w:rFonts w:hint="eastAsia" w:ascii="宋体" w:hAnsi="宋体" w:eastAsia="宋体"/>
                <w:b/>
                <w:bCs/>
                <w:color w:val="000000"/>
                <w:kern w:val="0"/>
                <w:sz w:val="22"/>
                <w:szCs w:val="22"/>
                <w:lang w:bidi="ar"/>
              </w:rPr>
              <w:br w:type="textWrapping"/>
            </w:r>
            <w:r>
              <w:rPr>
                <w:rFonts w:hint="eastAsia" w:ascii="宋体" w:hAnsi="宋体" w:eastAsia="宋体"/>
                <w:b/>
                <w:bCs/>
                <w:color w:val="000000"/>
                <w:kern w:val="0"/>
                <w:sz w:val="22"/>
                <w:szCs w:val="22"/>
                <w:lang w:bidi="ar"/>
              </w:rPr>
              <w:t>（权重）</w:t>
            </w:r>
          </w:p>
        </w:tc>
        <w:tc>
          <w:tcPr>
            <w:tcW w:w="2881" w:type="dxa"/>
            <w:shd w:val="clear" w:color="auto" w:fill="BFBFBF"/>
            <w:vAlign w:val="center"/>
          </w:tcPr>
          <w:p>
            <w:pPr>
              <w:widowControl/>
              <w:spacing w:line="240" w:lineRule="auto"/>
              <w:ind w:firstLine="0" w:firstLineChars="0"/>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lang w:bidi="ar"/>
              </w:rPr>
              <w:t>二级指标</w:t>
            </w:r>
            <w:r>
              <w:rPr>
                <w:rFonts w:hint="eastAsia" w:ascii="宋体" w:hAnsi="宋体" w:eastAsia="宋体"/>
                <w:b/>
                <w:bCs/>
                <w:color w:val="000000"/>
                <w:kern w:val="0"/>
                <w:sz w:val="22"/>
                <w:szCs w:val="22"/>
                <w:lang w:bidi="ar"/>
              </w:rPr>
              <w:br w:type="textWrapping"/>
            </w:r>
            <w:r>
              <w:rPr>
                <w:rFonts w:hint="eastAsia" w:ascii="宋体" w:hAnsi="宋体" w:eastAsia="宋体"/>
                <w:b/>
                <w:bCs/>
                <w:color w:val="000000"/>
                <w:kern w:val="0"/>
                <w:sz w:val="22"/>
                <w:szCs w:val="22"/>
                <w:lang w:bidi="ar"/>
              </w:rPr>
              <w:t>（权重）</w:t>
            </w:r>
          </w:p>
        </w:tc>
        <w:tc>
          <w:tcPr>
            <w:tcW w:w="2881" w:type="dxa"/>
            <w:shd w:val="clear" w:color="auto" w:fill="BFBFBF"/>
            <w:vAlign w:val="center"/>
          </w:tcPr>
          <w:p>
            <w:pPr>
              <w:widowControl/>
              <w:spacing w:line="240" w:lineRule="auto"/>
              <w:ind w:firstLine="0" w:firstLineChars="0"/>
              <w:jc w:val="center"/>
              <w:textAlignment w:val="center"/>
              <w:rPr>
                <w:rFonts w:ascii="宋体" w:hAnsi="宋体" w:eastAsia="宋体"/>
                <w:b/>
                <w:bCs/>
                <w:color w:val="000000"/>
                <w:kern w:val="0"/>
                <w:sz w:val="22"/>
                <w:szCs w:val="22"/>
                <w:lang w:bidi="ar"/>
              </w:rPr>
            </w:pPr>
            <w:r>
              <w:rPr>
                <w:rFonts w:hint="eastAsia" w:ascii="宋体" w:hAnsi="宋体" w:eastAsia="宋体"/>
                <w:b/>
                <w:bCs/>
                <w:color w:val="000000"/>
                <w:kern w:val="0"/>
                <w:sz w:val="22"/>
                <w:szCs w:val="22"/>
                <w:lang w:bidi="ar"/>
              </w:rPr>
              <w:t>三级指标</w:t>
            </w:r>
          </w:p>
          <w:p>
            <w:pPr>
              <w:widowControl/>
              <w:spacing w:line="240" w:lineRule="auto"/>
              <w:ind w:firstLine="0" w:firstLineChars="0"/>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决策（20）</w:t>
            </w:r>
          </w:p>
        </w:tc>
        <w:tc>
          <w:tcPr>
            <w:tcW w:w="2881"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项目立项(6)</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立项依据充分性（3）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立项程序规范性（3）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绩效目标(6)</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绩效目标合理性（3）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绩效指标明确性（3）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资金投入(8)</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预算编制科学性（4）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资金分配合理性（4）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过程（20）</w:t>
            </w:r>
          </w:p>
        </w:tc>
        <w:tc>
          <w:tcPr>
            <w:tcW w:w="2881"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资金管理(12)</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资金到位率（4）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预算执行率（4）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资金使用合规性（4）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组织实施（8）</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管理制度健全性（4）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制度执行有效性（4）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产出（30）</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产出数量(15)</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实际完成率(15)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产出质量（5）</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质量达标率(5)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产出时效（5）</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完成及时性(5)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产出成本（5）</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成本节约率（5）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restart"/>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效益(30)</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项目效益（10）</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社会效益（10)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可持续影响（10）</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可持续影响性（10）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80" w:type="dxa"/>
            <w:vMerge w:val="continue"/>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满意度（10）</w:t>
            </w:r>
          </w:p>
        </w:tc>
        <w:tc>
          <w:tcPr>
            <w:tcW w:w="2881" w:type="dxa"/>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sz w:val="22"/>
                <w:szCs w:val="22"/>
              </w:rPr>
              <w:t>服务对象满意度（10）</w:t>
            </w:r>
          </w:p>
        </w:tc>
      </w:tr>
    </w:tbl>
    <w:p>
      <w:pPr>
        <w:pStyle w:val="4"/>
        <w:ind w:firstLine="643"/>
      </w:pPr>
      <w:r>
        <w:rPr>
          <w:rFonts w:hint="eastAsia"/>
        </w:rPr>
        <w:t>（四）评价方法与评价标准</w:t>
      </w:r>
    </w:p>
    <w:p>
      <w:pPr>
        <w:ind w:firstLine="640"/>
      </w:pPr>
      <w:r>
        <w:rPr>
          <w:rFonts w:hint="eastAsia"/>
        </w:rPr>
        <w:t>评价采用定性分析与定量分析结合的方式，使用资料分析法、比较法、访谈等，确保评价结果客观、准确。</w:t>
      </w:r>
    </w:p>
    <w:p>
      <w:pPr>
        <w:pStyle w:val="4"/>
        <w:ind w:firstLine="643"/>
      </w:pPr>
      <w:r>
        <w:rPr>
          <w:rFonts w:hint="eastAsia"/>
        </w:rPr>
        <w:t>（五）绩效评价工作过程</w:t>
      </w:r>
    </w:p>
    <w:p>
      <w:pPr>
        <w:ind w:firstLine="640"/>
      </w:pPr>
      <w:r>
        <w:t>1.资料收集与访谈</w:t>
      </w:r>
    </w:p>
    <w:p>
      <w:pPr>
        <w:ind w:firstLine="640"/>
      </w:pPr>
      <w:r>
        <w:rPr>
          <w:rFonts w:hint="eastAsia"/>
        </w:rPr>
        <w:t>通过对项目相关财务凭证、档案资料进行整理，并与项目负责人、经办人、财务人员进行访谈，详细了解项目的资金使用情况和投入、实施和产出情况。</w:t>
      </w:r>
    </w:p>
    <w:p>
      <w:pPr>
        <w:ind w:firstLine="640"/>
      </w:pPr>
      <w:r>
        <w:t>2.制定绩效评价指标体系并综合分析</w:t>
      </w:r>
    </w:p>
    <w:p>
      <w:pPr>
        <w:ind w:firstLine="640"/>
      </w:pPr>
      <w:r>
        <w:rPr>
          <w:rFonts w:hint="eastAsia"/>
        </w:rPr>
        <w:t>经过对项目支出绩效目标填报表以及相关申报材料的分析，制订项目绩效评价指标体系及相关计分标准，并根据项目实际资金使用情况、完成情况对各指标进行评分。</w:t>
      </w:r>
    </w:p>
    <w:p>
      <w:pPr>
        <w:ind w:firstLine="640"/>
      </w:pPr>
      <w:r>
        <w:t>3.得出评价结论并给出建议</w:t>
      </w:r>
    </w:p>
    <w:p>
      <w:pPr>
        <w:ind w:firstLine="640"/>
      </w:pPr>
      <w:r>
        <w:rPr>
          <w:rFonts w:hint="eastAsia"/>
        </w:rPr>
        <w:t>通过对项目绩效指标得分进行整理，结合项目实际实施情况，对我中心在改革宣传事务的投入、过程、产出、效果进行了全面、综合的评价，并给出相关建议，形成项目绩效评价报告。</w:t>
      </w:r>
    </w:p>
    <w:p>
      <w:pPr>
        <w:pStyle w:val="3"/>
        <w:ind w:firstLine="640"/>
      </w:pPr>
      <w:r>
        <w:rPr>
          <w:rFonts w:hint="eastAsia"/>
        </w:rPr>
        <w:t>三、综合评价情况及评价结论</w:t>
      </w:r>
    </w:p>
    <w:p>
      <w:pPr>
        <w:ind w:firstLine="640"/>
      </w:pPr>
      <w:r>
        <w:rPr>
          <w:rFonts w:hint="eastAsia"/>
        </w:rPr>
        <w:t>项目最终绩效评价得分为</w:t>
      </w:r>
      <w:r>
        <w:t>94分，</w:t>
      </w:r>
      <w:r>
        <w:rPr>
          <w:rFonts w:hint="eastAsia"/>
        </w:rPr>
        <w:t>整体完成情况较好，基本完成我中心在项目申报时设置的各项绩效目标。项目评价扣分项为：项目及时性指标中未能按照计划在上半年完成全部编印工作，以及项目实际成本未能控制在预算申报金额之内。</w:t>
      </w:r>
      <w:r>
        <w:t>各</w:t>
      </w:r>
      <w:r>
        <w:rPr>
          <w:rFonts w:hint="eastAsia"/>
        </w:rPr>
        <w:t>项</w:t>
      </w:r>
      <w:r>
        <w:t>指标得分如下（各级评价指标内容、评分细则、扣分情况</w:t>
      </w:r>
      <w:r>
        <w:rPr>
          <w:rFonts w:hint="eastAsia"/>
        </w:rPr>
        <w:t>详</w:t>
      </w:r>
      <w:r>
        <w:t>见附件）</w:t>
      </w:r>
      <w:r>
        <w:rPr>
          <w:rFonts w:hint="eastAsia"/>
        </w:rPr>
        <w:t>：</w:t>
      </w:r>
    </w:p>
    <w:p>
      <w:pPr>
        <w:ind w:firstLine="0" w:firstLineChars="0"/>
        <w:jc w:val="center"/>
        <w:rPr>
          <w:rFonts w:ascii="黑体" w:hAnsi="黑体" w:eastAsia="黑体" w:cs="黑体"/>
          <w:sz w:val="28"/>
          <w:szCs w:val="28"/>
        </w:rPr>
      </w:pPr>
      <w:r>
        <w:tab/>
      </w:r>
      <w:r>
        <w:rPr>
          <w:rFonts w:hint="eastAsia" w:ascii="黑体" w:hAnsi="黑体" w:eastAsia="黑体" w:cs="黑体"/>
          <w:sz w:val="28"/>
          <w:szCs w:val="28"/>
        </w:rPr>
        <w:t>表</w:t>
      </w:r>
      <w:r>
        <w:rPr>
          <w:rFonts w:ascii="黑体" w:hAnsi="黑体" w:eastAsia="黑体" w:cs="黑体"/>
          <w:sz w:val="28"/>
          <w:szCs w:val="28"/>
        </w:rPr>
        <w:t>3</w:t>
      </w:r>
      <w:r>
        <w:rPr>
          <w:rFonts w:hint="eastAsia" w:ascii="黑体" w:hAnsi="黑体" w:eastAsia="黑体" w:cs="黑体"/>
          <w:sz w:val="28"/>
          <w:szCs w:val="28"/>
        </w:rPr>
        <w:t>-</w:t>
      </w:r>
      <w:r>
        <w:rPr>
          <w:rFonts w:ascii="黑体" w:hAnsi="黑体" w:eastAsia="黑体" w:cs="黑体"/>
          <w:sz w:val="28"/>
          <w:szCs w:val="28"/>
        </w:rPr>
        <w:t>1</w:t>
      </w:r>
      <w:r>
        <w:rPr>
          <w:rFonts w:hint="eastAsia" w:ascii="黑体" w:hAnsi="黑体" w:eastAsia="黑体" w:cs="黑体"/>
          <w:sz w:val="28"/>
          <w:szCs w:val="28"/>
        </w:rPr>
        <w:t>：项目绩效评价指标体系</w:t>
      </w:r>
    </w:p>
    <w:tbl>
      <w:tblPr>
        <w:tblStyle w:val="11"/>
        <w:tblW w:w="8784" w:type="dxa"/>
        <w:jc w:val="center"/>
        <w:tblInd w:w="0" w:type="dxa"/>
        <w:tblLayout w:type="fixed"/>
        <w:tblCellMar>
          <w:top w:w="0" w:type="dxa"/>
          <w:left w:w="108" w:type="dxa"/>
          <w:bottom w:w="0" w:type="dxa"/>
          <w:right w:w="108" w:type="dxa"/>
        </w:tblCellMar>
      </w:tblPr>
      <w:tblGrid>
        <w:gridCol w:w="2163"/>
        <w:gridCol w:w="2280"/>
        <w:gridCol w:w="3150"/>
        <w:gridCol w:w="1191"/>
      </w:tblGrid>
      <w:tr>
        <w:tblPrEx>
          <w:tblLayout w:type="fixed"/>
          <w:tblCellMar>
            <w:top w:w="0" w:type="dxa"/>
            <w:left w:w="108" w:type="dxa"/>
            <w:bottom w:w="0" w:type="dxa"/>
            <w:right w:w="108" w:type="dxa"/>
          </w:tblCellMar>
        </w:tblPrEx>
        <w:trPr>
          <w:trHeight w:val="1066" w:hRule="atLeast"/>
          <w:tblHeader/>
          <w:jc w:val="center"/>
        </w:trPr>
        <w:tc>
          <w:tcPr>
            <w:tcW w:w="2163"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一级指标</w:t>
            </w:r>
            <w:r>
              <w:rPr>
                <w:rFonts w:hint="eastAsia" w:ascii="宋体" w:hAnsi="宋体" w:eastAsia="宋体"/>
                <w:color w:val="000000"/>
                <w:kern w:val="0"/>
                <w:sz w:val="22"/>
                <w:szCs w:val="22"/>
                <w:lang w:bidi="ar"/>
              </w:rPr>
              <w:br w:type="textWrapping"/>
            </w:r>
            <w:r>
              <w:rPr>
                <w:rFonts w:hint="eastAsia" w:ascii="宋体" w:hAnsi="宋体" w:eastAsia="宋体"/>
                <w:color w:val="000000"/>
                <w:kern w:val="0"/>
                <w:sz w:val="22"/>
                <w:szCs w:val="22"/>
                <w:lang w:bidi="ar"/>
              </w:rPr>
              <w:t>（权重）</w:t>
            </w:r>
          </w:p>
        </w:tc>
        <w:tc>
          <w:tcPr>
            <w:tcW w:w="2280"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二级指标</w:t>
            </w:r>
            <w:r>
              <w:rPr>
                <w:rFonts w:hint="eastAsia" w:ascii="宋体" w:hAnsi="宋体" w:eastAsia="宋体"/>
                <w:color w:val="000000"/>
                <w:kern w:val="0"/>
                <w:sz w:val="22"/>
                <w:szCs w:val="22"/>
                <w:lang w:bidi="ar"/>
              </w:rPr>
              <w:br w:type="textWrapping"/>
            </w:r>
            <w:r>
              <w:rPr>
                <w:rFonts w:hint="eastAsia" w:ascii="宋体" w:hAnsi="宋体" w:eastAsia="宋体"/>
                <w:color w:val="000000"/>
                <w:kern w:val="0"/>
                <w:sz w:val="22"/>
                <w:szCs w:val="22"/>
                <w:lang w:bidi="ar"/>
              </w:rPr>
              <w:t>（权重）</w:t>
            </w:r>
          </w:p>
        </w:tc>
        <w:tc>
          <w:tcPr>
            <w:tcW w:w="3150"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三级指标</w:t>
            </w:r>
          </w:p>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（权重）</w:t>
            </w:r>
          </w:p>
        </w:tc>
        <w:tc>
          <w:tcPr>
            <w:tcW w:w="1191"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得分</w:t>
            </w:r>
          </w:p>
        </w:tc>
      </w:tr>
      <w:tr>
        <w:tblPrEx>
          <w:tblLayout w:type="fixed"/>
          <w:tblCellMar>
            <w:top w:w="0" w:type="dxa"/>
            <w:left w:w="108" w:type="dxa"/>
            <w:bottom w:w="0" w:type="dxa"/>
            <w:right w:w="108" w:type="dxa"/>
          </w:tblCellMar>
        </w:tblPrEx>
        <w:trPr>
          <w:trHeight w:val="440" w:hRule="atLeast"/>
          <w:jc w:val="center"/>
        </w:trPr>
        <w:tc>
          <w:tcPr>
            <w:tcW w:w="2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决策（20）</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项目立项(6)</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立项依据充分性（3）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3</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立项程序规范性（3）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3</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绩效目标(6)</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绩效目标合理性（3）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3</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绩效指标明确性（3）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3</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资金投入(8)</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预算编制科学性（4）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资金分配合理性（4）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586" w:hRule="atLeast"/>
          <w:jc w:val="center"/>
        </w:trPr>
        <w:tc>
          <w:tcPr>
            <w:tcW w:w="2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过程（20）</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资金管理(12)</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资金到位率（4）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预算执行率（4）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资金使用合规性（4）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组织实施（8）</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管理制度健全性（4）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制度执行有效性（4）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产出（30）</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产出数量(15)</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实际完成率(15)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b/>
                <w:bCs/>
                <w:color w:val="000000"/>
                <w:sz w:val="22"/>
                <w:szCs w:val="22"/>
              </w:rPr>
            </w:pPr>
            <w:r>
              <w:rPr>
                <w:rFonts w:hint="eastAsia" w:ascii="宋体" w:hAnsi="宋体" w:eastAsia="宋体"/>
                <w:color w:val="000000"/>
                <w:sz w:val="22"/>
                <w:szCs w:val="22"/>
              </w:rPr>
              <w:t>15</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产出质量（5）</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质量达标率(5)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5</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产出时效（5）</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完成及时性(5)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ascii="宋体" w:hAnsi="宋体" w:eastAsia="宋体"/>
                <w:color w:val="000000"/>
                <w:sz w:val="22"/>
                <w:szCs w:val="22"/>
              </w:rPr>
              <w:t>4</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产出成本（5）</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成本节约率（5）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ascii="宋体" w:hAnsi="宋体" w:eastAsia="宋体"/>
                <w:color w:val="000000"/>
                <w:sz w:val="22"/>
                <w:szCs w:val="22"/>
              </w:rPr>
              <w:t>0</w:t>
            </w:r>
          </w:p>
        </w:tc>
      </w:tr>
      <w:tr>
        <w:tblPrEx>
          <w:tblLayout w:type="fixed"/>
          <w:tblCellMar>
            <w:top w:w="0" w:type="dxa"/>
            <w:left w:w="108" w:type="dxa"/>
            <w:bottom w:w="0" w:type="dxa"/>
            <w:right w:w="108" w:type="dxa"/>
          </w:tblCellMar>
        </w:tblPrEx>
        <w:trPr>
          <w:trHeight w:val="440" w:hRule="atLeast"/>
          <w:jc w:val="center"/>
        </w:trPr>
        <w:tc>
          <w:tcPr>
            <w:tcW w:w="2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效益(30)</w:t>
            </w: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项目效益（10）</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社会效益（10)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10</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可持续影响（10）</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kern w:val="0"/>
                <w:sz w:val="22"/>
                <w:szCs w:val="22"/>
                <w:lang w:bidi="ar"/>
              </w:rPr>
            </w:pPr>
            <w:r>
              <w:rPr>
                <w:rFonts w:hint="eastAsia" w:ascii="宋体" w:hAnsi="宋体" w:eastAsia="宋体"/>
                <w:color w:val="000000"/>
                <w:kern w:val="0"/>
                <w:sz w:val="22"/>
                <w:szCs w:val="22"/>
                <w:lang w:bidi="ar"/>
              </w:rPr>
              <w:t>可持续影响性（10）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hint="eastAsia" w:ascii="宋体" w:hAnsi="宋体" w:eastAsia="宋体"/>
                <w:color w:val="000000"/>
                <w:sz w:val="22"/>
                <w:szCs w:val="22"/>
              </w:rPr>
              <w:t>10</w:t>
            </w:r>
          </w:p>
        </w:tc>
      </w:tr>
      <w:tr>
        <w:tblPrEx>
          <w:tblLayout w:type="fixed"/>
          <w:tblCellMar>
            <w:top w:w="0" w:type="dxa"/>
            <w:left w:w="108" w:type="dxa"/>
            <w:bottom w:w="0" w:type="dxa"/>
            <w:right w:w="108" w:type="dxa"/>
          </w:tblCellMar>
        </w:tblPrEx>
        <w:trPr>
          <w:trHeight w:val="440" w:hRule="atLeast"/>
          <w:jc w:val="center"/>
        </w:trPr>
        <w:tc>
          <w:tcPr>
            <w:tcW w:w="21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p>
        </w:tc>
        <w:tc>
          <w:tcPr>
            <w:tcW w:w="2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kern w:val="0"/>
                <w:sz w:val="22"/>
                <w:szCs w:val="22"/>
                <w:lang w:bidi="ar"/>
              </w:rPr>
              <w:t>满意度（10）</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color w:val="000000"/>
                <w:sz w:val="22"/>
                <w:szCs w:val="22"/>
              </w:rPr>
            </w:pPr>
            <w:r>
              <w:rPr>
                <w:rFonts w:hint="eastAsia" w:ascii="宋体" w:hAnsi="宋体" w:eastAsia="宋体"/>
                <w:color w:val="000000"/>
                <w:sz w:val="22"/>
                <w:szCs w:val="22"/>
              </w:rPr>
              <w:t>服务对象满意度（10）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olor w:val="000000"/>
                <w:sz w:val="22"/>
                <w:szCs w:val="22"/>
              </w:rPr>
            </w:pPr>
            <w:r>
              <w:rPr>
                <w:rFonts w:ascii="宋体" w:hAnsi="宋体" w:eastAsia="宋体"/>
                <w:color w:val="000000"/>
                <w:sz w:val="22"/>
                <w:szCs w:val="22"/>
              </w:rPr>
              <w:t>10</w:t>
            </w:r>
          </w:p>
        </w:tc>
      </w:tr>
      <w:tr>
        <w:tblPrEx>
          <w:tblLayout w:type="fixed"/>
          <w:tblCellMar>
            <w:top w:w="0" w:type="dxa"/>
            <w:left w:w="108" w:type="dxa"/>
            <w:bottom w:w="0" w:type="dxa"/>
            <w:right w:w="108" w:type="dxa"/>
          </w:tblCellMar>
        </w:tblPrEx>
        <w:trPr>
          <w:trHeight w:val="295" w:hRule="atLeast"/>
          <w:jc w:val="center"/>
        </w:trPr>
        <w:tc>
          <w:tcPr>
            <w:tcW w:w="75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eastAsia="宋体"/>
                <w:b/>
                <w:bCs/>
                <w:color w:val="000000"/>
                <w:sz w:val="22"/>
                <w:szCs w:val="22"/>
              </w:rPr>
            </w:pPr>
            <w:r>
              <w:rPr>
                <w:rFonts w:hint="eastAsia" w:ascii="宋体" w:hAnsi="宋体" w:eastAsia="宋体"/>
                <w:b/>
                <w:bCs/>
                <w:color w:val="000000"/>
                <w:kern w:val="0"/>
                <w:sz w:val="22"/>
                <w:szCs w:val="22"/>
                <w:lang w:bidi="ar"/>
              </w:rPr>
              <w:t>合计</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b/>
                <w:bCs/>
                <w:color w:val="000000"/>
                <w:sz w:val="22"/>
                <w:szCs w:val="22"/>
              </w:rPr>
            </w:pPr>
            <w:r>
              <w:rPr>
                <w:rFonts w:ascii="宋体" w:hAnsi="宋体" w:eastAsia="宋体"/>
                <w:color w:val="000000"/>
                <w:sz w:val="22"/>
                <w:szCs w:val="22"/>
              </w:rPr>
              <w:t>94</w:t>
            </w:r>
          </w:p>
        </w:tc>
      </w:tr>
    </w:tbl>
    <w:p>
      <w:pPr>
        <w:pStyle w:val="3"/>
        <w:ind w:firstLine="640"/>
      </w:pPr>
      <w:r>
        <w:rPr>
          <w:rFonts w:hint="eastAsia"/>
        </w:rPr>
        <w:t>四、绩效评价指标分析</w:t>
      </w:r>
    </w:p>
    <w:p>
      <w:pPr>
        <w:pStyle w:val="4"/>
        <w:ind w:firstLine="643"/>
      </w:pPr>
      <w:r>
        <w:rPr>
          <w:rFonts w:hint="eastAsia"/>
        </w:rPr>
        <w:t>（一）项目决策情况</w:t>
      </w:r>
    </w:p>
    <w:p>
      <w:pPr>
        <w:pStyle w:val="5"/>
        <w:ind w:firstLine="643"/>
        <w:rPr>
          <w:highlight w:val="none"/>
        </w:rPr>
      </w:pPr>
      <w:r>
        <w:rPr>
          <w:rFonts w:hint="eastAsia"/>
          <w:highlight w:val="none"/>
        </w:rPr>
        <w:t>1</w:t>
      </w:r>
      <w:r>
        <w:rPr>
          <w:highlight w:val="none"/>
        </w:rPr>
        <w:t>.</w:t>
      </w:r>
      <w:r>
        <w:rPr>
          <w:rFonts w:hint="eastAsia"/>
          <w:highlight w:val="none"/>
        </w:rPr>
        <w:t>项目立项</w:t>
      </w:r>
    </w:p>
    <w:p>
      <w:pPr>
        <w:ind w:firstLine="640"/>
        <w:rPr>
          <w:rFonts w:hint="eastAsia"/>
          <w:highlight w:val="none"/>
        </w:rPr>
      </w:pPr>
      <w:r>
        <w:rPr>
          <w:rFonts w:hint="eastAsia"/>
          <w:highlight w:val="none"/>
        </w:rPr>
        <w:t>中心承担统筹协调全区体制改革工作的职责。为持续推进深化改革工作、进一步增强改革效能，开设“改革宣传”项目，对全区取得的一系列改革成果开展宣传，进一步扩大了福田改革的影响力。“改革宣传”项目的设立和执行均严格按照我中心相关审批程序执行，立项依据充分，决策程序规范、决策材料完整。</w:t>
      </w:r>
    </w:p>
    <w:p>
      <w:pPr>
        <w:pStyle w:val="5"/>
        <w:ind w:firstLine="643"/>
        <w:rPr>
          <w:highlight w:val="none"/>
        </w:rPr>
      </w:pPr>
      <w:r>
        <w:rPr>
          <w:rFonts w:hint="eastAsia"/>
          <w:highlight w:val="none"/>
        </w:rPr>
        <w:t>2</w:t>
      </w:r>
      <w:r>
        <w:rPr>
          <w:highlight w:val="none"/>
        </w:rPr>
        <w:t>.</w:t>
      </w:r>
      <w:r>
        <w:rPr>
          <w:rFonts w:hint="eastAsia"/>
          <w:highlight w:val="none"/>
        </w:rPr>
        <w:t>绩效目标</w:t>
      </w:r>
    </w:p>
    <w:p>
      <w:pPr>
        <w:ind w:firstLine="640"/>
        <w:rPr>
          <w:highlight w:val="none"/>
        </w:rPr>
      </w:pPr>
      <w:r>
        <w:rPr>
          <w:rFonts w:hint="eastAsia"/>
          <w:highlight w:val="none"/>
        </w:rPr>
        <w:t>根据项目工作实际，该项目目标可分为完成一定数量的报告编印和新闻报道版面。在项目预算绩效申报时，清晰列明了项目总目标和年度绩效目标，并对各部分工作内容分别进行了测算，根据实际工作经验设置了的较为合理的、可量化的产出指标和质量指标，实现了对项目内容的全面覆盖。</w:t>
      </w:r>
    </w:p>
    <w:p>
      <w:pPr>
        <w:pStyle w:val="5"/>
        <w:ind w:firstLine="643"/>
        <w:rPr>
          <w:highlight w:val="none"/>
        </w:rPr>
      </w:pPr>
      <w:r>
        <w:rPr>
          <w:rFonts w:hint="eastAsia"/>
          <w:highlight w:val="none"/>
        </w:rPr>
        <w:t>3</w:t>
      </w:r>
      <w:r>
        <w:rPr>
          <w:highlight w:val="none"/>
        </w:rPr>
        <w:t>.</w:t>
      </w:r>
      <w:r>
        <w:rPr>
          <w:rFonts w:hint="eastAsia"/>
          <w:highlight w:val="none"/>
        </w:rPr>
        <w:t>资金分配</w:t>
      </w:r>
    </w:p>
    <w:p>
      <w:pPr>
        <w:ind w:firstLine="640"/>
        <w:rPr>
          <w:highlight w:val="none"/>
        </w:rPr>
      </w:pPr>
      <w:r>
        <w:rPr>
          <w:rFonts w:hint="eastAsia"/>
          <w:highlight w:val="none"/>
        </w:rPr>
        <w:t>项目预算编制经过科学论证、有明确标准，资金额度与年度目标相适应，项目预算编制较为科学、合理。项目预算资金根据各部分工作内容的测算合理分配，项目资金支付严格按照预算批复的金额和范围使用。</w:t>
      </w:r>
    </w:p>
    <w:p>
      <w:pPr>
        <w:pStyle w:val="4"/>
        <w:ind w:firstLine="643"/>
        <w:rPr>
          <w:highlight w:val="none"/>
        </w:rPr>
      </w:pPr>
      <w:r>
        <w:rPr>
          <w:rFonts w:hint="eastAsia"/>
          <w:highlight w:val="none"/>
        </w:rPr>
        <w:t>（二）项目过程情况</w:t>
      </w:r>
    </w:p>
    <w:p>
      <w:pPr>
        <w:pStyle w:val="5"/>
        <w:ind w:firstLine="643"/>
        <w:rPr>
          <w:highlight w:val="none"/>
        </w:rPr>
      </w:pPr>
      <w:r>
        <w:rPr>
          <w:rFonts w:hint="eastAsia"/>
          <w:highlight w:val="none"/>
        </w:rPr>
        <w:t>1</w:t>
      </w:r>
      <w:r>
        <w:rPr>
          <w:highlight w:val="none"/>
        </w:rPr>
        <w:t>.</w:t>
      </w:r>
      <w:r>
        <w:rPr>
          <w:rFonts w:hint="eastAsia"/>
          <w:highlight w:val="none"/>
        </w:rPr>
        <w:t>资金管理</w:t>
      </w:r>
    </w:p>
    <w:p>
      <w:pPr>
        <w:ind w:firstLine="640"/>
        <w:rPr>
          <w:highlight w:val="none"/>
        </w:rPr>
      </w:pPr>
      <w:r>
        <w:rPr>
          <w:rFonts w:hint="eastAsia"/>
          <w:highlight w:val="none"/>
        </w:rPr>
        <w:t>项目资金使用始终严格按照我中心《预算管理制度》、《支出管理制度》、《采购管理办法》等进行，经过财务管理岗位、科室负责人、中心领导等多重审核与监督，并保存了完整的审批资料和凭证材料，用以保障项目实施全程处于健全的财务制度体系保障之下，资金使用不存在截留、挤占、挪用、虚列支出等情况。</w:t>
      </w:r>
    </w:p>
    <w:p>
      <w:pPr>
        <w:pStyle w:val="5"/>
        <w:ind w:firstLine="643"/>
        <w:rPr>
          <w:highlight w:val="none"/>
        </w:rPr>
      </w:pPr>
      <w:r>
        <w:rPr>
          <w:highlight w:val="none"/>
        </w:rPr>
        <w:t>2.</w:t>
      </w:r>
      <w:r>
        <w:rPr>
          <w:rFonts w:hint="eastAsia"/>
          <w:highlight w:val="none"/>
        </w:rPr>
        <w:t>组织实施</w:t>
      </w:r>
    </w:p>
    <w:p>
      <w:pPr>
        <w:ind w:firstLine="640"/>
        <w:rPr>
          <w:highlight w:val="none"/>
        </w:rPr>
      </w:pPr>
      <w:r>
        <w:rPr>
          <w:rFonts w:hint="eastAsia"/>
          <w:highlight w:val="none"/>
        </w:rPr>
        <w:t>我中心已建立财务管理制度，明确资金管理流程和规定，包括申请、执行、报销等环节，财务管理分工较明确，为项目资金使用提供了合法合规的制度条件；在项目管理规范上，我中心严格按照内部采购管理办法和相关外部制度的要求开展工作。</w:t>
      </w:r>
    </w:p>
    <w:p>
      <w:pPr>
        <w:pStyle w:val="4"/>
        <w:ind w:firstLine="643"/>
        <w:rPr>
          <w:highlight w:val="none"/>
        </w:rPr>
      </w:pPr>
      <w:r>
        <w:rPr>
          <w:rFonts w:hint="eastAsia"/>
          <w:highlight w:val="none"/>
        </w:rPr>
        <w:t>（三）项目产出情况</w:t>
      </w:r>
    </w:p>
    <w:p>
      <w:pPr>
        <w:pStyle w:val="5"/>
        <w:ind w:firstLine="643"/>
        <w:rPr>
          <w:highlight w:val="none"/>
        </w:rPr>
      </w:pPr>
      <w:r>
        <w:rPr>
          <w:highlight w:val="none"/>
        </w:rPr>
        <w:t>1.产出数量</w:t>
      </w:r>
    </w:p>
    <w:p>
      <w:pPr>
        <w:ind w:firstLine="640"/>
        <w:rPr>
          <w:highlight w:val="none"/>
        </w:rPr>
      </w:pPr>
      <w:r>
        <w:rPr>
          <w:rFonts w:hint="eastAsia"/>
          <w:highlight w:val="none"/>
        </w:rPr>
        <w:t>项目计划实施内容包括：编印《2</w:t>
      </w:r>
      <w:r>
        <w:rPr>
          <w:highlight w:val="none"/>
        </w:rPr>
        <w:t>020</w:t>
      </w:r>
      <w:r>
        <w:rPr>
          <w:rFonts w:hint="eastAsia"/>
          <w:highlight w:val="none"/>
        </w:rPr>
        <w:t>福田改革报告》不少于3</w:t>
      </w:r>
      <w:r>
        <w:rPr>
          <w:highlight w:val="none"/>
        </w:rPr>
        <w:t>00</w:t>
      </w:r>
      <w:r>
        <w:rPr>
          <w:rFonts w:hint="eastAsia"/>
          <w:highlight w:val="none"/>
        </w:rPr>
        <w:t>册，实际全年完成编印4</w:t>
      </w:r>
      <w:r>
        <w:rPr>
          <w:highlight w:val="none"/>
        </w:rPr>
        <w:t>00</w:t>
      </w:r>
      <w:r>
        <w:rPr>
          <w:rFonts w:hint="eastAsia"/>
          <w:highlight w:val="none"/>
        </w:rPr>
        <w:t>册</w:t>
      </w:r>
      <w:r>
        <w:rPr>
          <w:highlight w:val="none"/>
        </w:rPr>
        <w:t>；计划</w:t>
      </w:r>
      <w:r>
        <w:rPr>
          <w:rFonts w:hint="eastAsia"/>
          <w:highlight w:val="none"/>
        </w:rPr>
        <w:t>在省级报刊宣传</w:t>
      </w:r>
      <w:r>
        <w:rPr>
          <w:highlight w:val="none"/>
        </w:rPr>
        <w:t>1个版面、市级报刊</w:t>
      </w:r>
      <w:r>
        <w:rPr>
          <w:rFonts w:hint="eastAsia"/>
          <w:highlight w:val="none"/>
        </w:rPr>
        <w:t>宣传</w:t>
      </w:r>
      <w:r>
        <w:rPr>
          <w:highlight w:val="none"/>
        </w:rPr>
        <w:t>2个版面，或在市级报刊4个版面</w:t>
      </w:r>
      <w:r>
        <w:rPr>
          <w:rFonts w:hint="eastAsia"/>
          <w:highlight w:val="none"/>
        </w:rPr>
        <w:t>，实际最终在一个国家级刊物、一个省级刊物和一个市级刊物上刊登了共八个期次，分别为《中国改革报》一期、《深圳特区报》一期和《南方日报》连续六期</w:t>
      </w:r>
      <w:r>
        <w:rPr>
          <w:highlight w:val="none"/>
        </w:rPr>
        <w:t>。</w:t>
      </w:r>
    </w:p>
    <w:p>
      <w:pPr>
        <w:pStyle w:val="5"/>
        <w:ind w:firstLine="643"/>
        <w:rPr>
          <w:highlight w:val="none"/>
        </w:rPr>
      </w:pPr>
      <w:r>
        <w:rPr>
          <w:highlight w:val="none"/>
        </w:rPr>
        <w:t>2.产出质量</w:t>
      </w:r>
    </w:p>
    <w:p>
      <w:pPr>
        <w:ind w:firstLine="640"/>
        <w:rPr>
          <w:highlight w:val="none"/>
        </w:rPr>
      </w:pPr>
      <w:r>
        <w:rPr>
          <w:rFonts w:hint="eastAsia"/>
          <w:highlight w:val="none"/>
        </w:rPr>
        <w:t>我中心全力保障对改革成果报道的规范性、准确性、及时性、有效性，重点把控宣传工作所必需的报道版面数量和合作媒体资质，对涉及的采购、合同、验收等过程依据相应制度进行严格管理，实现对项目工作成果质量的把控。</w:t>
      </w:r>
    </w:p>
    <w:p>
      <w:pPr>
        <w:pStyle w:val="5"/>
        <w:ind w:firstLine="643"/>
        <w:rPr>
          <w:highlight w:val="none"/>
        </w:rPr>
      </w:pPr>
      <w:r>
        <w:rPr>
          <w:highlight w:val="none"/>
        </w:rPr>
        <w:t>3.产出时效</w:t>
      </w:r>
    </w:p>
    <w:p>
      <w:pPr>
        <w:ind w:firstLine="640"/>
        <w:rPr>
          <w:highlight w:val="none"/>
        </w:rPr>
      </w:pPr>
      <w:r>
        <w:rPr>
          <w:rFonts w:hint="eastAsia"/>
          <w:highlight w:val="none"/>
        </w:rPr>
        <w:t>按照绩效目标和实施计划要求，新闻报道按时开展，及时与媒体合作发布了专版报道；但编印《2</w:t>
      </w:r>
      <w:r>
        <w:rPr>
          <w:highlight w:val="none"/>
        </w:rPr>
        <w:t>020</w:t>
      </w:r>
      <w:r>
        <w:rPr>
          <w:rFonts w:hint="eastAsia"/>
          <w:highlight w:val="none"/>
        </w:rPr>
        <w:t>福田改革报告》的工作未能按照绩效申报在上半年完成，实际完成时间为1</w:t>
      </w:r>
      <w:r>
        <w:rPr>
          <w:highlight w:val="none"/>
        </w:rPr>
        <w:t>1</w:t>
      </w:r>
      <w:r>
        <w:rPr>
          <w:rFonts w:hint="eastAsia"/>
          <w:highlight w:val="none"/>
        </w:rPr>
        <w:t>月。</w:t>
      </w:r>
    </w:p>
    <w:p>
      <w:pPr>
        <w:pStyle w:val="5"/>
        <w:ind w:firstLine="643"/>
        <w:rPr>
          <w:highlight w:val="none"/>
        </w:rPr>
      </w:pPr>
      <w:r>
        <w:rPr>
          <w:highlight w:val="none"/>
        </w:rPr>
        <w:t>4.</w:t>
      </w:r>
      <w:r>
        <w:rPr>
          <w:rFonts w:hint="eastAsia"/>
          <w:highlight w:val="none"/>
        </w:rPr>
        <w:t>成本控制</w:t>
      </w:r>
    </w:p>
    <w:p>
      <w:pPr>
        <w:ind w:firstLine="640"/>
        <w:rPr>
          <w:highlight w:val="none"/>
        </w:rPr>
      </w:pPr>
      <w:r>
        <w:rPr>
          <w:rFonts w:hint="eastAsia"/>
          <w:highlight w:val="none"/>
        </w:rPr>
        <w:t>项目申报费用（计划）</w:t>
      </w:r>
      <w:r>
        <w:rPr>
          <w:highlight w:val="none"/>
        </w:rPr>
        <w:t>34.25万元，实际</w:t>
      </w:r>
      <w:r>
        <w:rPr>
          <w:rFonts w:hint="eastAsia"/>
          <w:highlight w:val="none"/>
        </w:rPr>
        <w:t>由于工作需要进行项目预算调剂，最终共</w:t>
      </w:r>
      <w:r>
        <w:rPr>
          <w:highlight w:val="none"/>
        </w:rPr>
        <w:t>支付40.97万元，</w:t>
      </w:r>
      <w:r>
        <w:rPr>
          <w:rFonts w:hint="eastAsia"/>
          <w:highlight w:val="none"/>
        </w:rPr>
        <w:t>实际成本超过计划成本，</w:t>
      </w:r>
      <w:r>
        <w:rPr>
          <w:highlight w:val="none"/>
        </w:rPr>
        <w:t>未</w:t>
      </w:r>
      <w:r>
        <w:rPr>
          <w:rFonts w:hint="eastAsia"/>
          <w:highlight w:val="none"/>
        </w:rPr>
        <w:t>能</w:t>
      </w:r>
      <w:r>
        <w:rPr>
          <w:highlight w:val="none"/>
        </w:rPr>
        <w:t>实现</w:t>
      </w:r>
      <w:r>
        <w:rPr>
          <w:rFonts w:hint="eastAsia"/>
          <w:highlight w:val="none"/>
        </w:rPr>
        <w:t>有效的</w:t>
      </w:r>
      <w:r>
        <w:rPr>
          <w:highlight w:val="none"/>
        </w:rPr>
        <w:t>成本节约。</w:t>
      </w:r>
    </w:p>
    <w:p>
      <w:pPr>
        <w:pStyle w:val="4"/>
        <w:ind w:firstLine="643"/>
        <w:rPr>
          <w:highlight w:val="none"/>
        </w:rPr>
      </w:pPr>
      <w:r>
        <w:rPr>
          <w:rFonts w:hint="eastAsia"/>
          <w:highlight w:val="none"/>
        </w:rPr>
        <w:t>（四）项目效益情况</w:t>
      </w:r>
    </w:p>
    <w:p>
      <w:pPr>
        <w:pStyle w:val="5"/>
        <w:ind w:firstLine="643"/>
        <w:rPr>
          <w:highlight w:val="none"/>
        </w:rPr>
      </w:pPr>
      <w:r>
        <w:rPr>
          <w:highlight w:val="none"/>
        </w:rPr>
        <w:t>1.</w:t>
      </w:r>
      <w:r>
        <w:rPr>
          <w:rFonts w:hint="eastAsia"/>
          <w:highlight w:val="none"/>
        </w:rPr>
        <w:t>社会效益</w:t>
      </w:r>
    </w:p>
    <w:p>
      <w:pPr>
        <w:ind w:firstLine="640"/>
      </w:pPr>
      <w:r>
        <w:rPr>
          <w:rFonts w:hint="eastAsia"/>
          <w:highlight w:val="none"/>
        </w:rPr>
        <w:t>在社会效益上，本项目总结提炼了福田改革好的做法与经验，广泛开展媒体改革宣传，聚焦人民关注的改革领域，充分展示了</w:t>
      </w:r>
      <w:r>
        <w:rPr>
          <w:highlight w:val="none"/>
        </w:rPr>
        <w:t>2020年福田改革的措施与成效，提升了辖区居民对福田改革的认可度、支持度，增加了人民群众对福</w:t>
      </w:r>
      <w:r>
        <w:t>田改革工作的了解，进一步扩大了福田改革在全国、全省、全市的影响力。</w:t>
      </w:r>
    </w:p>
    <w:p>
      <w:pPr>
        <w:pStyle w:val="5"/>
        <w:ind w:firstLine="643"/>
      </w:pPr>
      <w:r>
        <w:t>2.</w:t>
      </w:r>
      <w:r>
        <w:rPr>
          <w:rFonts w:hint="eastAsia"/>
        </w:rPr>
        <w:t>可持续影响</w:t>
      </w:r>
    </w:p>
    <w:p>
      <w:pPr>
        <w:ind w:firstLine="640"/>
      </w:pPr>
      <w:r>
        <w:rPr>
          <w:rFonts w:hint="eastAsia"/>
        </w:rPr>
        <w:t>该项目成果一方面为编印实体报告和在传统纸媒上刊登报道，另一方面通过与“南方PLUS”合作在其新媒体平台上进行内容丰富、图文结合的方式进行宣传，成功解决了传统纸质媒介体积大、版面有限、携带不方便、难以长期保存的宣传劣势，宣传内容不仅可以长期保存在相关主页，使用手机随时查看，同时还可以通过留言、回复等方式与阅读者进行更进一步的沟通，有利于提升宣传的深度和广度，扩大项目影响的持续性。</w:t>
      </w:r>
    </w:p>
    <w:p>
      <w:pPr>
        <w:pStyle w:val="5"/>
        <w:ind w:firstLine="643"/>
      </w:pPr>
      <w:r>
        <w:t>3.</w:t>
      </w:r>
      <w:r>
        <w:rPr>
          <w:rFonts w:hint="eastAsia"/>
        </w:rPr>
        <w:t>满意度</w:t>
      </w:r>
    </w:p>
    <w:p>
      <w:pPr>
        <w:ind w:firstLine="640"/>
      </w:pPr>
      <w:r>
        <w:rPr>
          <w:rFonts w:hint="eastAsia"/>
        </w:rPr>
        <w:t>我中心在第三方专业机构给出的福田区年度绩效评估中，评价指标 “改革执行与创新成效”获得“优”的评价，反映出项目相关人员对我中心改革宣传的执行情况满意度较高</w:t>
      </w:r>
      <w:r>
        <w:t>。</w:t>
      </w:r>
    </w:p>
    <w:p>
      <w:pPr>
        <w:pStyle w:val="3"/>
        <w:ind w:firstLine="640"/>
      </w:pPr>
      <w:r>
        <w:rPr>
          <w:rFonts w:hint="eastAsia"/>
        </w:rPr>
        <w:t>五、主要经验及做法</w:t>
      </w:r>
    </w:p>
    <w:p>
      <w:pPr>
        <w:ind w:firstLine="640"/>
      </w:pPr>
      <w:r>
        <w:rPr>
          <w:rFonts w:hint="eastAsia"/>
        </w:rPr>
        <w:t>作为我中心长期实施的项目之一，2</w:t>
      </w:r>
      <w:r>
        <w:t>021</w:t>
      </w:r>
      <w:r>
        <w:rPr>
          <w:rFonts w:hint="eastAsia"/>
        </w:rPr>
        <w:t>年度的改革宣传工作选择了传统纸质报刊与新媒体平台宣传结合的方式，积极拓展宣传渠道，拥抱新型文化传播模式。新媒体是媒体行业发展中的重要突破，不仅仅是从传播形式和传播途径方面，新媒体利用网络信息化技术和数字化技术让信息更具有穿透力，且内容的个性表现，受众群体的选择性针对性更突出，且随着移动通信设备的不断发展各种社交平台不断研发创新，每一个阅读者也可以是信息的生产者和传播者，相比于传统的媒体形式，内容表现形式更丰富，内容更饱满且具有互动性，在信息传递方面打破时间限制，可以实现实时信息传递，不仅能有效提升信息传递的效率，同时能降低信息数据在传递过程中出现的损耗。新媒体平台的传播特点更能适应全区改革成果宣传内容复杂、形式多样、信息密集的特点，在今后的宣传工作中必将发挥更大的作用。</w:t>
      </w:r>
    </w:p>
    <w:p>
      <w:pPr>
        <w:pStyle w:val="3"/>
        <w:ind w:firstLine="640"/>
      </w:pPr>
      <w:r>
        <w:rPr>
          <w:rFonts w:hint="eastAsia"/>
        </w:rPr>
        <w:t>六、存在的问题及原因分析</w:t>
      </w:r>
    </w:p>
    <w:p>
      <w:pPr>
        <w:ind w:firstLine="640"/>
      </w:pPr>
      <w:r>
        <w:rPr>
          <w:rFonts w:hint="eastAsia"/>
        </w:rPr>
        <w:t>通过此次开展重点项目支出绩效评价工作，在项目实施过程中存在以下问题：</w:t>
      </w:r>
    </w:p>
    <w:p>
      <w:pPr>
        <w:pStyle w:val="4"/>
        <w:ind w:firstLine="643"/>
        <w:rPr>
          <w:highlight w:val="none"/>
        </w:rPr>
      </w:pPr>
      <w:r>
        <w:rPr>
          <w:rFonts w:hint="eastAsia"/>
          <w:highlight w:val="none"/>
        </w:rPr>
        <w:t>（一）项目部分成果未能在预计时限内完成</w:t>
      </w:r>
    </w:p>
    <w:p>
      <w:pPr>
        <w:ind w:firstLine="640"/>
        <w:rPr>
          <w:highlight w:val="none"/>
        </w:rPr>
      </w:pPr>
      <w:r>
        <w:rPr>
          <w:rFonts w:hint="eastAsia"/>
          <w:highlight w:val="none"/>
        </w:rPr>
        <w:t>项目2</w:t>
      </w:r>
      <w:r>
        <w:rPr>
          <w:highlight w:val="none"/>
        </w:rPr>
        <w:t>021</w:t>
      </w:r>
      <w:r>
        <w:rPr>
          <w:rFonts w:hint="eastAsia"/>
          <w:highlight w:val="none"/>
        </w:rPr>
        <w:t>年度分解绩效目标中时效指标 “《福田</w:t>
      </w:r>
      <w:r>
        <w:rPr>
          <w:highlight w:val="none"/>
        </w:rPr>
        <w:t>2020改革报告》编印工作完成时间</w:t>
      </w:r>
      <w:r>
        <w:rPr>
          <w:rFonts w:hint="eastAsia"/>
          <w:highlight w:val="none"/>
        </w:rPr>
        <w:t>”未能按照计划在上半年完成，实际于2</w:t>
      </w:r>
      <w:r>
        <w:rPr>
          <w:highlight w:val="none"/>
        </w:rPr>
        <w:t>021</w:t>
      </w:r>
      <w:r>
        <w:rPr>
          <w:rFonts w:hint="eastAsia"/>
          <w:highlight w:val="none"/>
        </w:rPr>
        <w:t>年1</w:t>
      </w:r>
      <w:r>
        <w:rPr>
          <w:highlight w:val="none"/>
        </w:rPr>
        <w:t>1</w:t>
      </w:r>
      <w:r>
        <w:rPr>
          <w:rFonts w:hint="eastAsia"/>
          <w:highlight w:val="none"/>
        </w:rPr>
        <w:t>月签订编印合同并完成编印工作。</w:t>
      </w:r>
    </w:p>
    <w:p>
      <w:pPr>
        <w:ind w:firstLine="640"/>
        <w:rPr>
          <w:rFonts w:hint="eastAsia"/>
          <w:highlight w:val="none"/>
        </w:rPr>
      </w:pPr>
      <w:r>
        <w:rPr>
          <w:rFonts w:hint="eastAsia"/>
          <w:highlight w:val="none"/>
        </w:rPr>
        <w:t>原因分析：该项目设置产出时效目标时充分考虑了中心年度工作安排，但对防疫政策调整和派出人员参与疫情防疫的预测不够精准，上半年中心有21人参与疫情防控工作，超过全体人员的80％以上，导致上半年业务工作安排处于超负荷推进状态，部分项目未能按照计划及时启动。</w:t>
      </w:r>
    </w:p>
    <w:p>
      <w:pPr>
        <w:pStyle w:val="4"/>
        <w:ind w:firstLine="643"/>
        <w:rPr>
          <w:highlight w:val="none"/>
        </w:rPr>
      </w:pPr>
      <w:r>
        <w:rPr>
          <w:rFonts w:hint="eastAsia"/>
          <w:highlight w:val="none"/>
        </w:rPr>
        <w:t>（二）项目成本控制能力待进一步完善</w:t>
      </w:r>
    </w:p>
    <w:p>
      <w:pPr>
        <w:ind w:firstLine="640"/>
      </w:pPr>
      <w:r>
        <w:rPr>
          <w:rFonts w:hint="eastAsia"/>
          <w:highlight w:val="none"/>
        </w:rPr>
        <w:t>项目最初经过测算后申报预算</w:t>
      </w:r>
      <w:r>
        <w:rPr>
          <w:highlight w:val="none"/>
        </w:rPr>
        <w:t>34.25万元，</w:t>
      </w:r>
      <w:r>
        <w:rPr>
          <w:rFonts w:hint="eastAsia"/>
          <w:highlight w:val="none"/>
        </w:rPr>
        <w:t>实际由于工作需要，经过预算调剂，最终项目支出共</w:t>
      </w:r>
      <w:r>
        <w:rPr>
          <w:highlight w:val="none"/>
        </w:rPr>
        <w:t>40.97万元，未</w:t>
      </w:r>
      <w:r>
        <w:rPr>
          <w:rFonts w:hint="eastAsia"/>
          <w:highlight w:val="none"/>
        </w:rPr>
        <w:t>有效实现</w:t>
      </w:r>
      <w:r>
        <w:rPr>
          <w:highlight w:val="none"/>
        </w:rPr>
        <w:t>成</w:t>
      </w:r>
      <w:r>
        <w:t>本节约。</w:t>
      </w:r>
    </w:p>
    <w:p>
      <w:pPr>
        <w:ind w:firstLine="640"/>
      </w:pPr>
      <w:bookmarkStart w:id="0" w:name="_Hlk112780891"/>
      <w:r>
        <w:rPr>
          <w:rFonts w:hint="eastAsia"/>
        </w:rPr>
        <w:t>原因分析：项目原定宣传目标为在一个省级刊物和两个市级刊物上刊登宣传，在实际执行过程中为提升宣传影响力，调整为在一个国家级刊物、一个省级刊物和一个市级刊物上刊登，对刊物选择进行了优化升级，所需费用相应增加。另外，考虑到增加宣传力度和受众广度的需要，总期次从原定三</w:t>
      </w:r>
      <w:r>
        <w:t>期，最终刊登了</w:t>
      </w:r>
      <w:r>
        <w:rPr>
          <w:rFonts w:hint="eastAsia"/>
        </w:rPr>
        <w:t>八</w:t>
      </w:r>
      <w:r>
        <w:t>个期次，其中增加的</w:t>
      </w:r>
      <w:r>
        <w:rPr>
          <w:rFonts w:hint="eastAsia"/>
        </w:rPr>
        <w:t>五</w:t>
      </w:r>
      <w:r>
        <w:t>期体现在南方日报连续进行六期的系列报道，相较于申报预算阶段进行测算时的标准，所需费用也同步增加。</w:t>
      </w:r>
    </w:p>
    <w:bookmarkEnd w:id="0"/>
    <w:p>
      <w:pPr>
        <w:pStyle w:val="3"/>
        <w:ind w:firstLine="640"/>
      </w:pPr>
      <w:r>
        <w:rPr>
          <w:rFonts w:hint="eastAsia"/>
        </w:rPr>
        <w:t>七、有关建议</w:t>
      </w:r>
    </w:p>
    <w:p>
      <w:pPr>
        <w:ind w:firstLine="640"/>
      </w:pPr>
      <w:r>
        <w:rPr>
          <w:rFonts w:hint="eastAsia"/>
        </w:rPr>
        <w:t>针对项目绩效目标完成情况和存在的问题，提出以下工作建议∶</w:t>
      </w:r>
    </w:p>
    <w:p>
      <w:pPr>
        <w:ind w:firstLine="640"/>
      </w:pPr>
      <w:r>
        <w:rPr>
          <w:rFonts w:hint="eastAsia"/>
        </w:rPr>
        <w:t>（一）督促经办人加强对项目预算绩效目标编制，尤其是年度分解绩效目标编制的科学性，一方面应保障项目产出的数量、时效、质量目标应完整覆盖项目全部内容，贴合项目类型，体现财政预算资金的使用效率，另一方面应充分考虑中心工作实际和人员工作安排，保障设置的产出目标的可行性，避免设置的目标脱离中心工作实际工作安排和工作效率。</w:t>
      </w:r>
    </w:p>
    <w:p>
      <w:pPr>
        <w:ind w:firstLine="640"/>
      </w:pPr>
      <w:r>
        <w:rPr>
          <w:rFonts w:hint="eastAsia"/>
        </w:rPr>
        <w:t>（二）充分提高项目经办人编制项目预算的准确性。一方面要求经办人在进行项目费用测算时应充分收集、分析相关指导价格、市场行情、同类项目成交价格等基础测算信息，充分考虑市场价格周期性变化、行业发展趋势对价格的影响等因素，准确预测单价；另一方面，还应深刻分析项目实际需求和物资、人员投入，尽可能准确提供测算时需要的各项数量指标。同时还应加强财务人员对经办人提交的项目测算依据的审核。</w:t>
      </w:r>
    </w:p>
    <w:p>
      <w:pPr>
        <w:ind w:left="0" w:leftChars="0" w:firstLine="0" w:firstLineChars="0"/>
        <w:rPr>
          <w:rFonts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435" w:charSpace="0"/>
        </w:sectPr>
      </w:pPr>
      <w:bookmarkStart w:id="13" w:name="_GoBack"/>
      <w:bookmarkEnd w:id="13"/>
      <w:r>
        <w:rPr>
          <w:rFonts w:hint="eastAsia"/>
        </w:rPr>
        <w:t>附件：</w:t>
      </w:r>
      <w:r>
        <w:rPr>
          <w:rFonts w:hint="eastAsia" w:hAnsi="Times New Roman" w:cs="Times New Roman"/>
        </w:rPr>
        <w:t>项目支出部门评价指标评分表</w:t>
      </w:r>
    </w:p>
    <w:p>
      <w:pPr>
        <w:ind w:firstLine="0" w:firstLineChars="0"/>
      </w:pPr>
      <w:r>
        <w:rPr>
          <w:rFonts w:hint="eastAsia"/>
        </w:rPr>
        <w:t>附件：项目支出部门评价指标评分表</w:t>
      </w:r>
    </w:p>
    <w:tbl>
      <w:tblPr>
        <w:tblStyle w:val="11"/>
        <w:tblW w:w="1526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206"/>
        <w:gridCol w:w="851"/>
        <w:gridCol w:w="2268"/>
        <w:gridCol w:w="6095"/>
        <w:gridCol w:w="992"/>
        <w:gridCol w:w="17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206"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851"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权重</w:t>
            </w:r>
          </w:p>
        </w:tc>
        <w:tc>
          <w:tcPr>
            <w:tcW w:w="2268"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6095"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评分标准</w:t>
            </w:r>
          </w:p>
        </w:tc>
        <w:tc>
          <w:tcPr>
            <w:tcW w:w="992"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得分</w:t>
            </w:r>
          </w:p>
        </w:tc>
        <w:tc>
          <w:tcPr>
            <w:tcW w:w="1795"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扣分说明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6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项目立项是否符合国家法律法规、国民经济发展规划和相关政策；</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项目立项是否与</w:t>
            </w:r>
            <w:bookmarkStart w:id="1" w:name="_Hlk107579838"/>
            <w:r>
              <w:rPr>
                <w:rFonts w:hint="eastAsia" w:ascii="宋体" w:hAnsi="宋体" w:eastAsia="宋体" w:cs="宋体"/>
                <w:color w:val="000000"/>
                <w:kern w:val="0"/>
                <w:sz w:val="22"/>
                <w:szCs w:val="22"/>
              </w:rPr>
              <w:t>部门职责范围相符，属于部门履职所需</w:t>
            </w:r>
            <w:bookmarkEnd w:id="1"/>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项目是否属于公共财政支持范围，是否符合中央、地方事权支出责任划分原则；</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项目是否与相关部门同类项目或部门内部相关项目重复。</w:t>
            </w:r>
          </w:p>
          <w:p>
            <w:pPr>
              <w:spacing w:line="240" w:lineRule="auto"/>
              <w:ind w:firstLine="0" w:firstLineChars="0"/>
              <w:rPr>
                <w:rFonts w:ascii="宋体" w:hAnsi="宋体" w:eastAsia="宋体"/>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4</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25</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440"/>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6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bookmarkStart w:id="2" w:name="_Hlk107579927"/>
            <w:r>
              <w:rPr>
                <w:rFonts w:hint="eastAsia" w:ascii="宋体" w:hAnsi="宋体" w:eastAsia="宋体" w:cs="宋体"/>
                <w:color w:val="000000"/>
                <w:kern w:val="0"/>
                <w:sz w:val="22"/>
                <w:szCs w:val="22"/>
              </w:rPr>
              <w:t>项目是否按照规定的程序申请设立；</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审批文件、材料是否符合相关要求。</w:t>
            </w:r>
            <w:bookmarkEnd w:id="2"/>
          </w:p>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2</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50</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440"/>
              <w:jc w:val="center"/>
              <w:rPr>
                <w:rFonts w:ascii="宋体" w:hAnsi="宋体" w:eastAsia="宋体" w:cs="宋体"/>
                <w:color w:val="000000"/>
                <w:kern w:val="0"/>
                <w:sz w:val="22"/>
                <w:szCs w:val="22"/>
              </w:rPr>
            </w:pPr>
          </w:p>
        </w:tc>
        <w:tc>
          <w:tcPr>
            <w:tcW w:w="1199"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bookmarkStart w:id="3" w:name="_Hlk107580261"/>
            <w:r>
              <w:rPr>
                <w:rFonts w:hint="eastAsia" w:ascii="宋体" w:hAnsi="宋体" w:eastAsia="宋体" w:cs="宋体"/>
                <w:color w:val="000000"/>
                <w:kern w:val="0"/>
                <w:sz w:val="22"/>
                <w:szCs w:val="22"/>
              </w:rPr>
              <w:t>所设定的绩效目标是否依据充分，是否符合客观实际，</w:t>
            </w:r>
            <w:bookmarkEnd w:id="3"/>
            <w:r>
              <w:rPr>
                <w:rFonts w:hint="eastAsia" w:ascii="宋体" w:hAnsi="宋体" w:eastAsia="宋体" w:cs="宋体"/>
                <w:color w:val="000000"/>
                <w:kern w:val="0"/>
                <w:sz w:val="22"/>
                <w:szCs w:val="22"/>
              </w:rPr>
              <w:t>用以反映和考核项目绩效目标与项目实施的相符情况。</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项目是否有绩效目标；</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项目绩效目标与实际工作内容是否具有相关性；</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项目预期产出效益和效果是否符合正常的业绩水平；</w:t>
            </w:r>
          </w:p>
          <w:p>
            <w:pPr>
              <w:widowControl/>
              <w:spacing w:line="240" w:lineRule="auto"/>
              <w:ind w:firstLine="0" w:firstLineChars="0"/>
              <w:jc w:val="left"/>
              <w:rPr>
                <w:rFonts w:ascii="宋体" w:hAnsi="宋体" w:eastAsia="宋体" w:cs="宋体"/>
                <w:color w:val="000000"/>
                <w:kern w:val="0"/>
                <w:sz w:val="22"/>
                <w:szCs w:val="22"/>
              </w:rPr>
            </w:pP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是否与预算确定的项目投资额或资金量相匹配。</w:t>
            </w:r>
          </w:p>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4</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25</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continue"/>
            <w:tcBorders>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是否将</w:t>
            </w:r>
            <w:bookmarkStart w:id="4" w:name="_Hlk107580581"/>
            <w:r>
              <w:rPr>
                <w:rFonts w:hint="eastAsia" w:ascii="宋体" w:hAnsi="宋体" w:eastAsia="宋体" w:cs="宋体"/>
                <w:color w:val="000000"/>
                <w:kern w:val="0"/>
                <w:sz w:val="22"/>
                <w:szCs w:val="22"/>
              </w:rPr>
              <w:t>项目绩效目标细化分解为具体的绩效指标；</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是否通过清晰、可衡量的指标值予以体现；</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是否与项目目标任务数或计划数相对应。</w:t>
            </w:r>
            <w:bookmarkEnd w:id="4"/>
            <w:r>
              <w:rPr>
                <w:rFonts w:ascii="宋体" w:hAnsi="宋体" w:eastAsia="宋体" w:cs="宋体"/>
                <w:color w:val="000000"/>
                <w:kern w:val="0"/>
                <w:sz w:val="22"/>
                <w:szCs w:val="22"/>
              </w:rPr>
              <w:br w:type="textWrapping"/>
            </w:r>
            <w:r>
              <w:rPr>
                <w:rFonts w:hint="eastAsia" w:ascii="宋体" w:hAnsi="宋体" w:eastAsia="宋体" w:cs="宋体"/>
                <w:kern w:val="0"/>
                <w:sz w:val="22"/>
                <w:szCs w:val="22"/>
              </w:rPr>
              <w:t>以上</w:t>
            </w:r>
            <w:r>
              <w:rPr>
                <w:rFonts w:ascii="宋体" w:hAnsi="宋体" w:eastAsia="宋体" w:cs="宋体"/>
                <w:kern w:val="0"/>
                <w:sz w:val="22"/>
                <w:szCs w:val="22"/>
              </w:rPr>
              <w:t>3</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33.33</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6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bookmarkStart w:id="5" w:name="_Hlk107580919"/>
            <w:r>
              <w:rPr>
                <w:rFonts w:hint="eastAsia" w:ascii="宋体" w:hAnsi="宋体" w:eastAsia="宋体" w:cs="宋体"/>
                <w:color w:val="000000"/>
                <w:kern w:val="0"/>
                <w:sz w:val="22"/>
                <w:szCs w:val="22"/>
              </w:rPr>
              <w:t>预算编制是否经过科学论证；</w:t>
            </w:r>
          </w:p>
          <w:p>
            <w:pPr>
              <w:widowControl/>
              <w:spacing w:line="24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预算内容与项目内容是否匹配；</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预算额度测算依据是否充分，是否按照标准编制；</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预算确定的项目投资额或资金量是否与工作任务相匹配。</w:t>
            </w:r>
          </w:p>
          <w:bookmarkEnd w:id="5"/>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4</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25</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6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bookmarkStart w:id="6" w:name="_Hlk107581027"/>
            <w:r>
              <w:rPr>
                <w:rFonts w:hint="eastAsia" w:ascii="宋体" w:hAnsi="宋体" w:eastAsia="宋体" w:cs="宋体"/>
                <w:color w:val="000000"/>
                <w:kern w:val="0"/>
                <w:sz w:val="22"/>
                <w:szCs w:val="22"/>
              </w:rPr>
              <w:t>预算资金分配依据是否充分，体现厉行节约从严从紧安排的导向；</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资金分配额度是否合理，与项目单位或地方实际是否相适应。</w:t>
            </w:r>
          </w:p>
          <w:bookmarkEnd w:id="6"/>
          <w:p>
            <w:pPr>
              <w:spacing w:line="240" w:lineRule="auto"/>
              <w:ind w:firstLine="0" w:firstLineChars="0"/>
              <w:rPr>
                <w:rFonts w:ascii="宋体" w:hAnsi="宋体" w:eastAsia="宋体"/>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2</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50</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1199"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资金到位率 </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（实际到位资金</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预算资金）×</w:t>
            </w:r>
            <w:r>
              <w:rPr>
                <w:rFonts w:ascii="宋体" w:hAnsi="宋体" w:eastAsia="宋体" w:cs="宋体"/>
                <w:color w:val="000000"/>
                <w:kern w:val="0"/>
                <w:sz w:val="22"/>
                <w:szCs w:val="22"/>
              </w:rPr>
              <w:t>100%</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该项得分 =</w:t>
            </w:r>
            <w:r>
              <w:rPr>
                <w:rFonts w:ascii="宋体" w:hAnsi="宋体" w:eastAsia="宋体" w:cs="宋体"/>
                <w:kern w:val="0"/>
                <w:sz w:val="22"/>
                <w:szCs w:val="22"/>
              </w:rPr>
              <w:t xml:space="preserve"> </w:t>
            </w:r>
            <w:r>
              <w:rPr>
                <w:rFonts w:hint="eastAsia" w:ascii="宋体" w:hAnsi="宋体" w:eastAsia="宋体" w:cs="宋体"/>
                <w:color w:val="000000"/>
                <w:kern w:val="0"/>
                <w:sz w:val="22"/>
                <w:szCs w:val="22"/>
              </w:rPr>
              <w:t>资金到位率</w:t>
            </w:r>
            <w:r>
              <w:rPr>
                <w:rFonts w:ascii="宋体" w:hAnsi="宋体" w:eastAsia="宋体" w:cs="宋体"/>
                <w:color w:val="000000"/>
                <w:kern w:val="0"/>
                <w:sz w:val="22"/>
                <w:szCs w:val="22"/>
              </w:rPr>
              <w:t>*100%*4</w:t>
            </w:r>
            <w:r>
              <w:rPr>
                <w:rFonts w:hint="eastAsia" w:ascii="宋体" w:hAnsi="宋体" w:eastAsia="宋体" w:cs="宋体"/>
                <w:color w:val="000000"/>
                <w:kern w:val="0"/>
                <w:sz w:val="22"/>
                <w:szCs w:val="22"/>
              </w:rPr>
              <w:t>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6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（实际支出资金</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实际到位资金）×</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kern w:val="0"/>
                <w:sz w:val="22"/>
                <w:szCs w:val="22"/>
              </w:rPr>
              <w:t>该项得分 =</w:t>
            </w:r>
            <w:r>
              <w:rPr>
                <w:rFonts w:ascii="宋体" w:hAnsi="宋体" w:eastAsia="宋体" w:cs="宋体"/>
                <w:kern w:val="0"/>
                <w:sz w:val="22"/>
                <w:szCs w:val="22"/>
              </w:rPr>
              <w:t xml:space="preserve"> </w:t>
            </w:r>
            <w:r>
              <w:rPr>
                <w:rFonts w:hint="eastAsia" w:ascii="宋体" w:hAnsi="宋体" w:eastAsia="宋体" w:cs="宋体"/>
                <w:color w:val="000000"/>
                <w:kern w:val="0"/>
                <w:sz w:val="22"/>
                <w:szCs w:val="22"/>
              </w:rPr>
              <w:t>预算执行率</w:t>
            </w:r>
            <w:r>
              <w:rPr>
                <w:rFonts w:ascii="宋体" w:hAnsi="宋体" w:eastAsia="宋体" w:cs="宋体"/>
                <w:color w:val="000000"/>
                <w:kern w:val="0"/>
                <w:sz w:val="22"/>
                <w:szCs w:val="22"/>
              </w:rPr>
              <w:t>*100%*4</w:t>
            </w:r>
            <w:r>
              <w:rPr>
                <w:rFonts w:hint="eastAsia" w:ascii="宋体" w:hAnsi="宋体" w:eastAsia="宋体" w:cs="宋体"/>
                <w:color w:val="000000"/>
                <w:kern w:val="0"/>
                <w:sz w:val="22"/>
                <w:szCs w:val="22"/>
              </w:rPr>
              <w:t>分</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是否符合相关法律法规的要求；</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资金的拨付是否有完整的审批程序和手续；</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是否符合项目预算批复或合同规定的用途；</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是否</w:t>
            </w:r>
            <w:bookmarkStart w:id="7" w:name="_Hlk107582172"/>
            <w:r>
              <w:rPr>
                <w:rFonts w:hint="eastAsia" w:ascii="宋体" w:hAnsi="宋体" w:eastAsia="宋体" w:cs="宋体"/>
                <w:color w:val="000000"/>
                <w:kern w:val="0"/>
                <w:sz w:val="22"/>
                <w:szCs w:val="22"/>
              </w:rPr>
              <w:t>存在截留、挤占、挪用、虚列支出等情况</w:t>
            </w:r>
            <w:bookmarkEnd w:id="7"/>
            <w:r>
              <w:rPr>
                <w:rFonts w:hint="eastAsia" w:ascii="宋体" w:hAnsi="宋体" w:eastAsia="宋体" w:cs="宋体"/>
                <w:color w:val="000000"/>
                <w:kern w:val="0"/>
                <w:sz w:val="22"/>
                <w:szCs w:val="22"/>
              </w:rPr>
              <w:t>。</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4</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25</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是否</w:t>
            </w:r>
            <w:bookmarkStart w:id="8" w:name="_Hlk107582254"/>
            <w:r>
              <w:rPr>
                <w:rFonts w:hint="eastAsia" w:ascii="宋体" w:hAnsi="宋体" w:eastAsia="宋体" w:cs="宋体"/>
                <w:color w:val="000000"/>
                <w:kern w:val="0"/>
                <w:sz w:val="22"/>
                <w:szCs w:val="22"/>
              </w:rPr>
              <w:t>已制定或具有相应的财务和业务管理制度；</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财务和业务管理制度是否合法、合规、完整。</w:t>
            </w:r>
            <w:bookmarkEnd w:id="8"/>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2</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50</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861"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是否遵守相关法律法规和相关管理规定；</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项目</w:t>
            </w:r>
            <w:bookmarkStart w:id="9" w:name="_Hlk107582318"/>
            <w:r>
              <w:rPr>
                <w:rFonts w:hint="eastAsia" w:ascii="宋体" w:hAnsi="宋体" w:eastAsia="宋体" w:cs="宋体"/>
                <w:color w:val="000000"/>
                <w:kern w:val="0"/>
                <w:sz w:val="22"/>
                <w:szCs w:val="22"/>
              </w:rPr>
              <w:t>调整及支出调整手续是否完备；</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项目相关资料是否齐全并及时归档；</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4.</w:t>
            </w:r>
            <w:r>
              <w:rPr>
                <w:rFonts w:hint="eastAsia" w:ascii="宋体" w:hAnsi="宋体" w:eastAsia="宋体" w:cs="宋体"/>
                <w:color w:val="000000"/>
                <w:kern w:val="0"/>
                <w:sz w:val="22"/>
                <w:szCs w:val="22"/>
              </w:rPr>
              <w:t>项目实施的人员条件等是否落实到位</w:t>
            </w:r>
            <w:bookmarkEnd w:id="9"/>
            <w:r>
              <w:rPr>
                <w:rFonts w:hint="eastAsia" w:ascii="宋体" w:hAnsi="宋体" w:eastAsia="宋体" w:cs="宋体"/>
                <w:color w:val="000000"/>
                <w:kern w:val="0"/>
                <w:sz w:val="22"/>
                <w:szCs w:val="22"/>
              </w:rPr>
              <w:t>。</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以上</w:t>
            </w:r>
            <w:r>
              <w:rPr>
                <w:rFonts w:ascii="宋体" w:hAnsi="宋体" w:eastAsia="宋体" w:cs="宋体"/>
                <w:kern w:val="0"/>
                <w:sz w:val="22"/>
                <w:szCs w:val="22"/>
              </w:rPr>
              <w:t>4</w:t>
            </w:r>
            <w:r>
              <w:rPr>
                <w:rFonts w:hint="eastAsia" w:ascii="宋体" w:hAnsi="宋体" w:eastAsia="宋体" w:cs="宋体"/>
                <w:kern w:val="0"/>
                <w:sz w:val="22"/>
                <w:szCs w:val="22"/>
              </w:rPr>
              <w:t>项全部符合得满分，每缺少一项扣除权重分的</w:t>
            </w:r>
            <w:r>
              <w:rPr>
                <w:rFonts w:ascii="宋体" w:hAnsi="宋体" w:eastAsia="宋体" w:cs="宋体"/>
                <w:kern w:val="0"/>
                <w:sz w:val="22"/>
                <w:szCs w:val="22"/>
              </w:rPr>
              <w:t>25</w:t>
            </w:r>
            <w:r>
              <w:rPr>
                <w:rFonts w:hint="eastAsia" w:ascii="宋体" w:hAnsi="宋体" w:eastAsia="宋体" w:cs="宋体"/>
                <w:kern w:val="0"/>
                <w:sz w:val="22"/>
                <w:szCs w:val="22"/>
              </w:rPr>
              <w:t>%。</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81"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5</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bookmarkStart w:id="10" w:name="_Hlk107582926"/>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《福田</w:t>
            </w:r>
            <w:r>
              <w:rPr>
                <w:rFonts w:ascii="宋体" w:hAnsi="宋体" w:eastAsia="宋体" w:cs="宋体"/>
                <w:color w:val="000000"/>
                <w:kern w:val="0"/>
                <w:sz w:val="22"/>
                <w:szCs w:val="22"/>
              </w:rPr>
              <w:t>2020改革报告》</w:t>
            </w:r>
            <w:r>
              <w:rPr>
                <w:rFonts w:hint="eastAsia" w:ascii="宋体" w:hAnsi="宋体" w:eastAsia="宋体" w:cs="宋体"/>
                <w:color w:val="000000"/>
                <w:kern w:val="0"/>
                <w:sz w:val="22"/>
                <w:szCs w:val="22"/>
              </w:rPr>
              <w:t>编印完成率 =（实际编印数</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计划编印数）×</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 xml:space="preserve">新闻报道完成率 </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（实际版面数</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计划版面数）×</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p>
          <w:bookmarkEnd w:id="10"/>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r>
              <w:rPr>
                <w:rFonts w:ascii="宋体" w:hAnsi="宋体" w:eastAsia="宋体" w:cs="宋体"/>
                <w:color w:val="000000"/>
                <w:kern w:val="0"/>
                <w:sz w:val="22"/>
                <w:szCs w:val="22"/>
              </w:rPr>
              <w:t>8%</w:t>
            </w:r>
            <w:r>
              <w:rPr>
                <w:rFonts w:hint="eastAsia" w:ascii="宋体" w:hAnsi="宋体" w:eastAsia="宋体" w:cs="宋体"/>
                <w:color w:val="000000"/>
                <w:kern w:val="0"/>
                <w:sz w:val="22"/>
                <w:szCs w:val="22"/>
              </w:rPr>
              <w:t>≤平均完成率＜1</w:t>
            </w:r>
            <w:r>
              <w:rPr>
                <w:rFonts w:ascii="宋体" w:hAnsi="宋体" w:eastAsia="宋体" w:cs="宋体"/>
                <w:color w:val="000000"/>
                <w:kern w:val="0"/>
                <w:sz w:val="22"/>
                <w:szCs w:val="22"/>
              </w:rPr>
              <w:t>00%</w:t>
            </w:r>
            <w:r>
              <w:rPr>
                <w:rFonts w:hint="eastAsia" w:ascii="宋体" w:hAnsi="宋体" w:eastAsia="宋体" w:cs="宋体"/>
                <w:color w:val="000000"/>
                <w:kern w:val="0"/>
                <w:sz w:val="22"/>
                <w:szCs w:val="22"/>
              </w:rPr>
              <w:t>，得</w:t>
            </w:r>
            <w:r>
              <w:rPr>
                <w:rFonts w:ascii="宋体" w:hAnsi="宋体" w:eastAsia="宋体" w:cs="宋体"/>
                <w:color w:val="000000"/>
                <w:kern w:val="0"/>
                <w:sz w:val="22"/>
                <w:szCs w:val="22"/>
              </w:rPr>
              <w:t>15</w:t>
            </w:r>
            <w:r>
              <w:rPr>
                <w:rFonts w:hint="eastAsia" w:ascii="宋体" w:hAnsi="宋体" w:eastAsia="宋体" w:cs="宋体"/>
                <w:color w:val="000000"/>
                <w:kern w:val="0"/>
                <w:sz w:val="22"/>
                <w:szCs w:val="22"/>
              </w:rPr>
              <w:t>分；</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≤平均完成率＜</w:t>
            </w:r>
            <w:r>
              <w:rPr>
                <w:rFonts w:ascii="宋体" w:hAnsi="宋体" w:eastAsia="宋体" w:cs="宋体"/>
                <w:color w:val="000000"/>
                <w:kern w:val="0"/>
                <w:sz w:val="22"/>
                <w:szCs w:val="22"/>
              </w:rPr>
              <w:t>98%</w:t>
            </w:r>
            <w:r>
              <w:rPr>
                <w:rFonts w:hint="eastAsia" w:ascii="宋体" w:hAnsi="宋体" w:eastAsia="宋体" w:cs="宋体"/>
                <w:color w:val="000000"/>
                <w:kern w:val="0"/>
                <w:sz w:val="22"/>
                <w:szCs w:val="22"/>
              </w:rPr>
              <w:t>，得</w:t>
            </w:r>
            <w:r>
              <w:rPr>
                <w:rFonts w:ascii="宋体" w:hAnsi="宋体" w:eastAsia="宋体" w:cs="宋体"/>
                <w:color w:val="000000"/>
                <w:kern w:val="0"/>
                <w:sz w:val="22"/>
                <w:szCs w:val="22"/>
              </w:rPr>
              <w:t>10</w:t>
            </w:r>
            <w:r>
              <w:rPr>
                <w:rFonts w:hint="eastAsia" w:ascii="宋体" w:hAnsi="宋体" w:eastAsia="宋体" w:cs="宋体"/>
                <w:color w:val="000000"/>
                <w:kern w:val="0"/>
                <w:sz w:val="22"/>
                <w:szCs w:val="22"/>
              </w:rPr>
              <w:t>分；</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≤平均完成率＜</w:t>
            </w:r>
            <w:r>
              <w:rPr>
                <w:rFonts w:ascii="宋体" w:hAnsi="宋体" w:eastAsia="宋体" w:cs="宋体"/>
                <w:color w:val="000000"/>
                <w:kern w:val="0"/>
                <w:sz w:val="22"/>
                <w:szCs w:val="22"/>
              </w:rPr>
              <w:t>95%</w:t>
            </w:r>
            <w:r>
              <w:rPr>
                <w:rFonts w:hint="eastAsia" w:ascii="宋体" w:hAnsi="宋体" w:eastAsia="宋体" w:cs="宋体"/>
                <w:color w:val="000000"/>
                <w:kern w:val="0"/>
                <w:sz w:val="22"/>
                <w:szCs w:val="22"/>
              </w:rPr>
              <w:t>，得</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分；</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平均完成率＜</w:t>
            </w:r>
            <w:r>
              <w:rPr>
                <w:rFonts w:ascii="宋体" w:hAnsi="宋体" w:eastAsia="宋体" w:cs="宋体"/>
                <w:color w:val="000000"/>
                <w:kern w:val="0"/>
                <w:sz w:val="22"/>
                <w:szCs w:val="22"/>
              </w:rPr>
              <w:t>90%</w:t>
            </w:r>
            <w:r>
              <w:rPr>
                <w:rFonts w:hint="eastAsia" w:ascii="宋体" w:hAnsi="宋体" w:eastAsia="宋体" w:cs="宋体"/>
                <w:color w:val="000000"/>
                <w:kern w:val="0"/>
                <w:sz w:val="22"/>
                <w:szCs w:val="22"/>
              </w:rPr>
              <w:t>，得</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continue"/>
            <w:tcBorders>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bookmarkStart w:id="11" w:name="_Hlk107583221"/>
            <w:r>
              <w:rPr>
                <w:rFonts w:hint="eastAsia" w:ascii="宋体" w:hAnsi="宋体" w:eastAsia="宋体" w:cs="宋体"/>
                <w:color w:val="000000"/>
                <w:kern w:val="0"/>
                <w:sz w:val="22"/>
                <w:szCs w:val="22"/>
              </w:rPr>
              <w:t>项目完成的质量达标产出数与实际产出数</w:t>
            </w:r>
            <w:bookmarkEnd w:id="11"/>
            <w:r>
              <w:rPr>
                <w:rFonts w:hint="eastAsia" w:ascii="宋体" w:hAnsi="宋体" w:eastAsia="宋体" w:cs="宋体"/>
                <w:color w:val="000000"/>
                <w:kern w:val="0"/>
                <w:sz w:val="22"/>
                <w:szCs w:val="22"/>
              </w:rPr>
              <w:t>的比率，用以反映和考核项目产出质量目标的实现程度。</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该项得分=</w:t>
            </w:r>
            <w:r>
              <w:rPr>
                <w:rFonts w:hint="eastAsia" w:ascii="宋体" w:hAnsi="宋体" w:eastAsia="宋体" w:cs="宋体"/>
                <w:color w:val="000000"/>
                <w:kern w:val="0"/>
                <w:sz w:val="22"/>
                <w:szCs w:val="22"/>
              </w:rPr>
              <w:t>全年新闻报道按计划完成率</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43"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bookmarkStart w:id="12" w:name="_Hlk107583290"/>
            <w:r>
              <w:rPr>
                <w:rFonts w:hint="eastAsia" w:ascii="宋体" w:hAnsi="宋体" w:eastAsia="宋体" w:cs="宋体"/>
                <w:color w:val="000000"/>
                <w:kern w:val="0"/>
                <w:sz w:val="22"/>
                <w:szCs w:val="22"/>
              </w:rPr>
              <w:t>项目安排实际完成时间与计划完成时间</w:t>
            </w:r>
            <w:bookmarkEnd w:id="12"/>
            <w:r>
              <w:rPr>
                <w:rFonts w:hint="eastAsia" w:ascii="宋体" w:hAnsi="宋体" w:eastAsia="宋体" w:cs="宋体"/>
                <w:color w:val="000000"/>
                <w:kern w:val="0"/>
                <w:sz w:val="22"/>
                <w:szCs w:val="22"/>
              </w:rPr>
              <w:t>的比较，用以反映和考核产出时效目标的实现程度。</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《福田</w:t>
            </w:r>
            <w:r>
              <w:rPr>
                <w:rFonts w:ascii="宋体" w:hAnsi="宋体" w:eastAsia="宋体" w:cs="宋体"/>
                <w:color w:val="000000"/>
                <w:kern w:val="0"/>
                <w:sz w:val="22"/>
                <w:szCs w:val="22"/>
              </w:rPr>
              <w:t>2020改革报告》</w:t>
            </w:r>
            <w:r>
              <w:rPr>
                <w:rFonts w:hint="eastAsia" w:ascii="宋体" w:hAnsi="宋体" w:eastAsia="宋体" w:cs="宋体"/>
                <w:color w:val="000000"/>
                <w:kern w:val="0"/>
                <w:sz w:val="22"/>
                <w:szCs w:val="22"/>
              </w:rPr>
              <w:t>编印是否按照绩效目标设置在上半年完成，满足则得3分，不满足酌情扣分。</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新闻报道是否在2</w:t>
            </w:r>
            <w:r>
              <w:rPr>
                <w:rFonts w:ascii="宋体" w:hAnsi="宋体" w:eastAsia="宋体" w:cs="宋体"/>
                <w:color w:val="000000"/>
                <w:kern w:val="0"/>
                <w:sz w:val="22"/>
                <w:szCs w:val="22"/>
              </w:rPr>
              <w:t>021</w:t>
            </w:r>
            <w:r>
              <w:rPr>
                <w:rFonts w:hint="eastAsia" w:ascii="宋体" w:hAnsi="宋体" w:eastAsia="宋体" w:cs="宋体"/>
                <w:color w:val="000000"/>
                <w:kern w:val="0"/>
                <w:sz w:val="22"/>
                <w:szCs w:val="22"/>
              </w:rPr>
              <w:t>年内完成相应目标，满足则得2分，不满足酌情扣分。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项目申报时计划在上半年完成报告编印，实际由于工作安排于下半年完成全部编印工作，故酌情减去1分。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kern w:val="0"/>
                <w:sz w:val="22"/>
                <w:szCs w:val="22"/>
              </w:rPr>
            </w:pPr>
            <w:r>
              <w:rPr>
                <w:rFonts w:hint="eastAsia" w:ascii="宋体" w:hAnsi="宋体" w:eastAsia="宋体" w:cs="宋体"/>
                <w:color w:val="000000"/>
                <w:kern w:val="0"/>
                <w:sz w:val="22"/>
                <w:szCs w:val="22"/>
              </w:rPr>
              <w:t>成本节约率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（计划成本－实际成本）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w:t>
            </w:r>
            <w:r>
              <w:rPr>
                <w:rFonts w:hint="eastAsia" w:ascii="宋体" w:hAnsi="宋体" w:eastAsia="宋体" w:cs="宋体"/>
                <w:kern w:val="0"/>
                <w:sz w:val="22"/>
                <w:szCs w:val="22"/>
              </w:rPr>
              <w:t>成本节约率，得5分；</w:t>
            </w:r>
          </w:p>
          <w:p>
            <w:pPr>
              <w:widowControl/>
              <w:spacing w:line="24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0</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kern w:val="0"/>
                <w:sz w:val="22"/>
                <w:szCs w:val="22"/>
              </w:rPr>
              <w:t>成本节约率</w:t>
            </w:r>
            <w:r>
              <w:rPr>
                <w:rFonts w:hint="eastAsia" w:ascii="宋体" w:hAnsi="宋体" w:eastAsia="宋体" w:cs="宋体"/>
                <w:color w:val="000000"/>
                <w:kern w:val="0"/>
                <w:sz w:val="22"/>
                <w:szCs w:val="22"/>
              </w:rPr>
              <w:t>＜2</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，得4分；</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0</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w:t>
            </w:r>
            <w:r>
              <w:rPr>
                <w:rFonts w:hint="eastAsia" w:ascii="宋体" w:hAnsi="宋体" w:eastAsia="宋体" w:cs="宋体"/>
                <w:kern w:val="0"/>
                <w:sz w:val="22"/>
                <w:szCs w:val="22"/>
              </w:rPr>
              <w:t>成本节约率</w:t>
            </w: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，得</w:t>
            </w:r>
            <w:r>
              <w:rPr>
                <w:rFonts w:ascii="宋体" w:hAnsi="宋体" w:eastAsia="宋体" w:cs="宋体"/>
                <w:color w:val="000000"/>
                <w:kern w:val="0"/>
                <w:sz w:val="22"/>
                <w:szCs w:val="22"/>
              </w:rPr>
              <w:t>3</w:t>
            </w:r>
            <w:r>
              <w:rPr>
                <w:rFonts w:hint="eastAsia" w:ascii="宋体" w:hAnsi="宋体" w:eastAsia="宋体" w:cs="宋体"/>
                <w:color w:val="000000"/>
                <w:kern w:val="0"/>
                <w:sz w:val="22"/>
                <w:szCs w:val="22"/>
              </w:rPr>
              <w:t>分；</w:t>
            </w:r>
          </w:p>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成本节约率</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，得</w:t>
            </w:r>
            <w:r>
              <w:rPr>
                <w:rFonts w:ascii="宋体" w:hAnsi="宋体" w:eastAsia="宋体" w:cs="宋体"/>
                <w:color w:val="000000"/>
                <w:kern w:val="0"/>
                <w:sz w:val="22"/>
                <w:szCs w:val="22"/>
              </w:rPr>
              <w:t>0</w:t>
            </w:r>
            <w:r>
              <w:rPr>
                <w:rFonts w:hint="eastAsia" w:ascii="宋体" w:hAnsi="宋体" w:eastAsia="宋体" w:cs="宋体"/>
                <w:color w:val="000000"/>
                <w:kern w:val="0"/>
                <w:sz w:val="22"/>
                <w:szCs w:val="22"/>
              </w:rPr>
              <w:t>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项目申报费用（计划）3</w:t>
            </w:r>
            <w:r>
              <w:rPr>
                <w:rFonts w:ascii="宋体" w:hAnsi="宋体" w:eastAsia="宋体" w:cs="宋体"/>
                <w:color w:val="000000"/>
                <w:kern w:val="0"/>
                <w:sz w:val="22"/>
                <w:szCs w:val="22"/>
              </w:rPr>
              <w:t>4.25</w:t>
            </w:r>
            <w:r>
              <w:rPr>
                <w:rFonts w:hint="eastAsia" w:ascii="宋体" w:hAnsi="宋体" w:eastAsia="宋体" w:cs="宋体"/>
                <w:color w:val="000000"/>
                <w:kern w:val="0"/>
                <w:sz w:val="22"/>
                <w:szCs w:val="22"/>
              </w:rPr>
              <w:t>万元，实际支付4</w:t>
            </w:r>
            <w:r>
              <w:rPr>
                <w:rFonts w:ascii="宋体" w:hAnsi="宋体" w:eastAsia="宋体" w:cs="宋体"/>
                <w:color w:val="000000"/>
                <w:kern w:val="0"/>
                <w:sz w:val="22"/>
                <w:szCs w:val="22"/>
              </w:rPr>
              <w:t>0.97</w:t>
            </w:r>
            <w:r>
              <w:rPr>
                <w:rFonts w:hint="eastAsia" w:ascii="宋体" w:hAnsi="宋体" w:eastAsia="宋体" w:cs="宋体"/>
                <w:color w:val="000000"/>
                <w:kern w:val="0"/>
                <w:sz w:val="22"/>
                <w:szCs w:val="22"/>
              </w:rPr>
              <w:t>万元，未实现成本节约。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92"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1206" w:type="dxa"/>
            <w:tcBorders>
              <w:top w:val="single" w:color="000000" w:sz="8" w:space="0"/>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社会效益</w:t>
            </w:r>
          </w:p>
        </w:tc>
        <w:tc>
          <w:tcPr>
            <w:tcW w:w="851" w:type="dxa"/>
            <w:tcBorders>
              <w:top w:val="single" w:color="000000" w:sz="8" w:space="0"/>
              <w:left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2268" w:type="dxa"/>
            <w:tcBorders>
              <w:top w:val="single" w:color="000000" w:sz="8" w:space="0"/>
              <w:left w:val="single" w:color="000000" w:sz="8" w:space="0"/>
              <w:right w:val="single" w:color="000000" w:sz="8" w:space="0"/>
            </w:tcBorders>
            <w:shd w:val="clear" w:color="auto" w:fill="FFFFFF"/>
            <w:vAlign w:val="center"/>
          </w:tcPr>
          <w:p>
            <w:pPr>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w:t>
            </w:r>
          </w:p>
        </w:tc>
        <w:tc>
          <w:tcPr>
            <w:tcW w:w="60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项目产出是否增强了民众对福田改革成果的了解，满足该条件得满分，不满足则不得分。</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1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可持续性影响</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项目后续运行及成效发挥的可持续影响情况。</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sz w:val="22"/>
                <w:szCs w:val="22"/>
              </w:rPr>
              <w:t>项目效用具有可持续性，得</w:t>
            </w:r>
            <w:r>
              <w:rPr>
                <w:rFonts w:ascii="宋体" w:hAnsi="宋体" w:eastAsia="宋体"/>
                <w:sz w:val="22"/>
                <w:szCs w:val="22"/>
              </w:rPr>
              <w:t>10</w:t>
            </w:r>
            <w:r>
              <w:rPr>
                <w:rFonts w:hint="eastAsia" w:ascii="宋体" w:hAnsi="宋体" w:eastAsia="宋体"/>
                <w:sz w:val="22"/>
                <w:szCs w:val="22"/>
              </w:rPr>
              <w:t>分，反之不得分。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2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项目服务对象对项目实施效果的满意程度。</w:t>
            </w:r>
          </w:p>
        </w:tc>
        <w:tc>
          <w:tcPr>
            <w:tcW w:w="60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rPr>
                <w:rFonts w:ascii="宋体" w:hAnsi="宋体" w:eastAsia="宋体" w:cs="宋体"/>
                <w:color w:val="000000"/>
                <w:kern w:val="0"/>
                <w:sz w:val="22"/>
                <w:szCs w:val="22"/>
              </w:rPr>
            </w:pPr>
            <w:r>
              <w:rPr>
                <w:rFonts w:hint="eastAsia" w:ascii="宋体" w:hAnsi="宋体" w:eastAsia="宋体" w:cs="宋体"/>
                <w:kern w:val="0"/>
                <w:sz w:val="22"/>
                <w:szCs w:val="22"/>
              </w:rPr>
              <w:t>经第三方评估得到“优”则该项指标得满分，反之不得分。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10</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7" w:hRule="atLeast"/>
          <w:jc w:val="center"/>
        </w:trPr>
        <w:tc>
          <w:tcPr>
            <w:tcW w:w="1248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ind w:firstLine="0" w:firstLineChars="0"/>
              <w:jc w:val="center"/>
              <w:rPr>
                <w:rFonts w:ascii="宋体" w:hAnsi="宋体" w:eastAsia="宋体" w:cs="宋体"/>
                <w:kern w:val="0"/>
                <w:sz w:val="22"/>
                <w:szCs w:val="22"/>
              </w:rPr>
            </w:pPr>
            <w:r>
              <w:rPr>
                <w:rFonts w:hint="eastAsia" w:ascii="宋体" w:hAnsi="宋体" w:eastAsia="宋体" w:cs="宋体"/>
                <w:b/>
                <w:bCs/>
                <w:color w:val="000000"/>
                <w:kern w:val="0"/>
                <w:sz w:val="22"/>
                <w:szCs w:val="22"/>
              </w:rPr>
              <w:t>合计得分</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94</w:t>
            </w:r>
          </w:p>
        </w:tc>
        <w:tc>
          <w:tcPr>
            <w:tcW w:w="179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r>
    </w:tbl>
    <w:p>
      <w:pPr>
        <w:ind w:firstLine="0" w:firstLineChars="0"/>
        <w:jc w:val="both"/>
      </w:pPr>
    </w:p>
    <w:sectPr>
      <w:pgSz w:w="16838" w:h="11906" w:orient="landscape"/>
      <w:pgMar w:top="1588" w:right="2098" w:bottom="1474" w:left="1985"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331736"/>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3OWFhZmIwNmVjMjFhYzQ1NDQxMDU3YTU4ZWYyMTcifQ=="/>
  </w:docVars>
  <w:rsids>
    <w:rsidRoot w:val="004C4A9A"/>
    <w:rsid w:val="000419A2"/>
    <w:rsid w:val="0005447D"/>
    <w:rsid w:val="00061F34"/>
    <w:rsid w:val="000B6BD3"/>
    <w:rsid w:val="000E5415"/>
    <w:rsid w:val="000F0D1A"/>
    <w:rsid w:val="001070BA"/>
    <w:rsid w:val="00126EF2"/>
    <w:rsid w:val="00132DF7"/>
    <w:rsid w:val="0014330F"/>
    <w:rsid w:val="00145D62"/>
    <w:rsid w:val="00180A98"/>
    <w:rsid w:val="0019198D"/>
    <w:rsid w:val="0019674B"/>
    <w:rsid w:val="001A3703"/>
    <w:rsid w:val="001A6398"/>
    <w:rsid w:val="001A79FF"/>
    <w:rsid w:val="001D4C7D"/>
    <w:rsid w:val="001E21AD"/>
    <w:rsid w:val="001E36C6"/>
    <w:rsid w:val="00223AC1"/>
    <w:rsid w:val="002251FF"/>
    <w:rsid w:val="002355EB"/>
    <w:rsid w:val="002478A0"/>
    <w:rsid w:val="002479D5"/>
    <w:rsid w:val="00275138"/>
    <w:rsid w:val="00275406"/>
    <w:rsid w:val="00276062"/>
    <w:rsid w:val="002833E1"/>
    <w:rsid w:val="002947F0"/>
    <w:rsid w:val="002B03BD"/>
    <w:rsid w:val="002E0952"/>
    <w:rsid w:val="002E0B86"/>
    <w:rsid w:val="002E2393"/>
    <w:rsid w:val="002E457F"/>
    <w:rsid w:val="002E6AD9"/>
    <w:rsid w:val="002E6D55"/>
    <w:rsid w:val="002F580F"/>
    <w:rsid w:val="00311802"/>
    <w:rsid w:val="003254BA"/>
    <w:rsid w:val="003563D9"/>
    <w:rsid w:val="0036117B"/>
    <w:rsid w:val="00365DAA"/>
    <w:rsid w:val="0038400C"/>
    <w:rsid w:val="003907BD"/>
    <w:rsid w:val="00390992"/>
    <w:rsid w:val="00393832"/>
    <w:rsid w:val="0039402F"/>
    <w:rsid w:val="00394688"/>
    <w:rsid w:val="003A0FCE"/>
    <w:rsid w:val="00412A65"/>
    <w:rsid w:val="00444ADB"/>
    <w:rsid w:val="00445C7E"/>
    <w:rsid w:val="004A5C65"/>
    <w:rsid w:val="004B26F7"/>
    <w:rsid w:val="004C3B62"/>
    <w:rsid w:val="004C4385"/>
    <w:rsid w:val="004C4A9A"/>
    <w:rsid w:val="004E4B92"/>
    <w:rsid w:val="004E7C1C"/>
    <w:rsid w:val="00507B13"/>
    <w:rsid w:val="00530578"/>
    <w:rsid w:val="005348BD"/>
    <w:rsid w:val="005403BB"/>
    <w:rsid w:val="00562F20"/>
    <w:rsid w:val="00584E35"/>
    <w:rsid w:val="0058676D"/>
    <w:rsid w:val="005B48D9"/>
    <w:rsid w:val="005C0D45"/>
    <w:rsid w:val="005D3A38"/>
    <w:rsid w:val="005E20C3"/>
    <w:rsid w:val="005E3C5D"/>
    <w:rsid w:val="005F3903"/>
    <w:rsid w:val="00613256"/>
    <w:rsid w:val="00614A31"/>
    <w:rsid w:val="00622950"/>
    <w:rsid w:val="00665641"/>
    <w:rsid w:val="006713E6"/>
    <w:rsid w:val="00691627"/>
    <w:rsid w:val="00694E2D"/>
    <w:rsid w:val="006B1056"/>
    <w:rsid w:val="006C2BA4"/>
    <w:rsid w:val="006D4B4D"/>
    <w:rsid w:val="006E3D73"/>
    <w:rsid w:val="006E413F"/>
    <w:rsid w:val="006E50D0"/>
    <w:rsid w:val="006F29F0"/>
    <w:rsid w:val="006F4B4E"/>
    <w:rsid w:val="00707DD2"/>
    <w:rsid w:val="00792429"/>
    <w:rsid w:val="007B377B"/>
    <w:rsid w:val="007C06B7"/>
    <w:rsid w:val="007C5713"/>
    <w:rsid w:val="007D0C73"/>
    <w:rsid w:val="007D64FC"/>
    <w:rsid w:val="007E6EE2"/>
    <w:rsid w:val="00813CEA"/>
    <w:rsid w:val="008147C8"/>
    <w:rsid w:val="00875A44"/>
    <w:rsid w:val="00877D99"/>
    <w:rsid w:val="008B1685"/>
    <w:rsid w:val="008D4328"/>
    <w:rsid w:val="00906532"/>
    <w:rsid w:val="00906CF5"/>
    <w:rsid w:val="009074CA"/>
    <w:rsid w:val="0092039F"/>
    <w:rsid w:val="009246C8"/>
    <w:rsid w:val="009255BE"/>
    <w:rsid w:val="00935E2F"/>
    <w:rsid w:val="00951463"/>
    <w:rsid w:val="00956908"/>
    <w:rsid w:val="0096543E"/>
    <w:rsid w:val="009807B4"/>
    <w:rsid w:val="009904F1"/>
    <w:rsid w:val="009B7F55"/>
    <w:rsid w:val="00A00F28"/>
    <w:rsid w:val="00A0273A"/>
    <w:rsid w:val="00A170A3"/>
    <w:rsid w:val="00A46AC7"/>
    <w:rsid w:val="00A51190"/>
    <w:rsid w:val="00A91580"/>
    <w:rsid w:val="00AB0A5E"/>
    <w:rsid w:val="00AB5659"/>
    <w:rsid w:val="00AC2A94"/>
    <w:rsid w:val="00AC44F8"/>
    <w:rsid w:val="00AE637C"/>
    <w:rsid w:val="00AF50B6"/>
    <w:rsid w:val="00AF6D5B"/>
    <w:rsid w:val="00B05BA6"/>
    <w:rsid w:val="00B21611"/>
    <w:rsid w:val="00B21AB4"/>
    <w:rsid w:val="00B22965"/>
    <w:rsid w:val="00B34236"/>
    <w:rsid w:val="00B35011"/>
    <w:rsid w:val="00B47C94"/>
    <w:rsid w:val="00B57BD5"/>
    <w:rsid w:val="00B8480B"/>
    <w:rsid w:val="00B93D39"/>
    <w:rsid w:val="00BA7188"/>
    <w:rsid w:val="00BB3DDF"/>
    <w:rsid w:val="00BD2EEB"/>
    <w:rsid w:val="00C02D8E"/>
    <w:rsid w:val="00C32661"/>
    <w:rsid w:val="00C35B3B"/>
    <w:rsid w:val="00C35BB1"/>
    <w:rsid w:val="00C654E6"/>
    <w:rsid w:val="00C87D41"/>
    <w:rsid w:val="00CA6ACC"/>
    <w:rsid w:val="00CB2561"/>
    <w:rsid w:val="00CC3508"/>
    <w:rsid w:val="00CC4E63"/>
    <w:rsid w:val="00CD14F7"/>
    <w:rsid w:val="00D047D1"/>
    <w:rsid w:val="00D1089C"/>
    <w:rsid w:val="00D452AB"/>
    <w:rsid w:val="00D54EAB"/>
    <w:rsid w:val="00D650DD"/>
    <w:rsid w:val="00D84E22"/>
    <w:rsid w:val="00D906D5"/>
    <w:rsid w:val="00DA1E2F"/>
    <w:rsid w:val="00DA73D7"/>
    <w:rsid w:val="00DB59D7"/>
    <w:rsid w:val="00DD53EC"/>
    <w:rsid w:val="00DD7EA5"/>
    <w:rsid w:val="00E01412"/>
    <w:rsid w:val="00E07F58"/>
    <w:rsid w:val="00E53285"/>
    <w:rsid w:val="00E668BB"/>
    <w:rsid w:val="00E834A0"/>
    <w:rsid w:val="00E90242"/>
    <w:rsid w:val="00EC7C32"/>
    <w:rsid w:val="00EF1D13"/>
    <w:rsid w:val="00F107BD"/>
    <w:rsid w:val="00F222D8"/>
    <w:rsid w:val="00F234EC"/>
    <w:rsid w:val="00F302C2"/>
    <w:rsid w:val="00F42482"/>
    <w:rsid w:val="00F62AFB"/>
    <w:rsid w:val="00F66F87"/>
    <w:rsid w:val="00F82CF3"/>
    <w:rsid w:val="00FA23F9"/>
    <w:rsid w:val="00FC2B90"/>
    <w:rsid w:val="00FD2C52"/>
    <w:rsid w:val="00FE0BE9"/>
    <w:rsid w:val="00FE36A4"/>
    <w:rsid w:val="17A54C91"/>
    <w:rsid w:val="209F45E2"/>
    <w:rsid w:val="29FF3438"/>
    <w:rsid w:val="2F100475"/>
    <w:rsid w:val="382E7C28"/>
    <w:rsid w:val="423F31EC"/>
    <w:rsid w:val="43C10C6A"/>
    <w:rsid w:val="634B0028"/>
    <w:rsid w:val="7ACF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2"/>
    <w:qFormat/>
    <w:uiPriority w:val="9"/>
    <w:pPr>
      <w:ind w:firstLine="0" w:firstLineChars="0"/>
      <w:jc w:val="center"/>
      <w:outlineLvl w:val="0"/>
    </w:pPr>
    <w:rPr>
      <w:rFonts w:eastAsia="方正小标宋简体"/>
      <w:b/>
      <w:bCs/>
      <w:kern w:val="44"/>
      <w:sz w:val="44"/>
      <w:szCs w:val="44"/>
    </w:rPr>
  </w:style>
  <w:style w:type="paragraph" w:styleId="3">
    <w:name w:val="heading 2"/>
    <w:basedOn w:val="1"/>
    <w:next w:val="1"/>
    <w:link w:val="13"/>
    <w:unhideWhenUsed/>
    <w:qFormat/>
    <w:uiPriority w:val="9"/>
    <w:pPr>
      <w:outlineLvl w:val="1"/>
    </w:pPr>
    <w:rPr>
      <w:rFonts w:ascii="黑体" w:hAnsi="黑体" w:eastAsia="黑体" w:cs="黑体"/>
      <w:bCs/>
    </w:rPr>
  </w:style>
  <w:style w:type="paragraph" w:styleId="4">
    <w:name w:val="heading 3"/>
    <w:basedOn w:val="1"/>
    <w:next w:val="1"/>
    <w:link w:val="14"/>
    <w:unhideWhenUsed/>
    <w:qFormat/>
    <w:uiPriority w:val="9"/>
    <w:pPr>
      <w:outlineLvl w:val="2"/>
    </w:pPr>
    <w:rPr>
      <w:rFonts w:eastAsia="楷体_GB2312"/>
      <w:b/>
      <w:bCs/>
    </w:rPr>
  </w:style>
  <w:style w:type="paragraph" w:styleId="5">
    <w:name w:val="heading 4"/>
    <w:basedOn w:val="1"/>
    <w:next w:val="1"/>
    <w:link w:val="15"/>
    <w:unhideWhenUsed/>
    <w:qFormat/>
    <w:uiPriority w:val="9"/>
    <w:pPr>
      <w:outlineLvl w:val="3"/>
    </w:pPr>
    <w:rPr>
      <w:b/>
      <w:bCs/>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6">
    <w:name w:val="footer"/>
    <w:basedOn w:val="1"/>
    <w:link w:val="17"/>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footnote text"/>
    <w:basedOn w:val="1"/>
    <w:link w:val="18"/>
    <w:unhideWhenUsed/>
    <w:qFormat/>
    <w:uiPriority w:val="99"/>
    <w:pPr>
      <w:snapToGrid w:val="0"/>
      <w:jc w:val="left"/>
    </w:pPr>
    <w:rPr>
      <w:sz w:val="18"/>
      <w:szCs w:val="18"/>
    </w:rPr>
  </w:style>
  <w:style w:type="character" w:styleId="10">
    <w:name w:val="footnote reference"/>
    <w:basedOn w:val="9"/>
    <w:unhideWhenUsed/>
    <w:qFormat/>
    <w:uiPriority w:val="99"/>
    <w:rPr>
      <w:vertAlign w:val="superscript"/>
    </w:rPr>
  </w:style>
  <w:style w:type="character" w:customStyle="1" w:styleId="12">
    <w:name w:val="标题 1 字符"/>
    <w:basedOn w:val="9"/>
    <w:link w:val="2"/>
    <w:uiPriority w:val="9"/>
    <w:rPr>
      <w:rFonts w:ascii="仿宋_GB2312" w:hAnsi="仿宋_GB2312" w:eastAsia="方正小标宋简体" w:cs="仿宋_GB2312"/>
      <w:b/>
      <w:bCs/>
      <w:kern w:val="44"/>
      <w:sz w:val="44"/>
      <w:szCs w:val="44"/>
    </w:rPr>
  </w:style>
  <w:style w:type="character" w:customStyle="1" w:styleId="13">
    <w:name w:val="标题 2 字符"/>
    <w:basedOn w:val="9"/>
    <w:link w:val="3"/>
    <w:uiPriority w:val="9"/>
    <w:rPr>
      <w:rFonts w:ascii="黑体" w:hAnsi="黑体" w:eastAsia="黑体" w:cs="黑体"/>
      <w:bCs/>
      <w:sz w:val="32"/>
      <w:szCs w:val="32"/>
    </w:rPr>
  </w:style>
  <w:style w:type="character" w:customStyle="1" w:styleId="14">
    <w:name w:val="标题 3 字符"/>
    <w:basedOn w:val="9"/>
    <w:link w:val="4"/>
    <w:qFormat/>
    <w:uiPriority w:val="9"/>
    <w:rPr>
      <w:rFonts w:ascii="仿宋_GB2312" w:hAnsi="仿宋_GB2312" w:eastAsia="楷体_GB2312" w:cs="仿宋_GB2312"/>
      <w:b/>
      <w:bCs/>
      <w:sz w:val="32"/>
      <w:szCs w:val="32"/>
    </w:rPr>
  </w:style>
  <w:style w:type="character" w:customStyle="1" w:styleId="15">
    <w:name w:val="标题 4 字符"/>
    <w:basedOn w:val="9"/>
    <w:link w:val="5"/>
    <w:uiPriority w:val="9"/>
    <w:rPr>
      <w:rFonts w:ascii="仿宋_GB2312" w:hAnsi="仿宋_GB2312" w:eastAsia="仿宋_GB2312" w:cs="仿宋_GB2312"/>
      <w:b/>
      <w:bCs/>
      <w:sz w:val="32"/>
      <w:szCs w:val="32"/>
    </w:rPr>
  </w:style>
  <w:style w:type="character" w:customStyle="1" w:styleId="16">
    <w:name w:val="页眉 字符"/>
    <w:basedOn w:val="9"/>
    <w:link w:val="7"/>
    <w:qFormat/>
    <w:uiPriority w:val="99"/>
    <w:rPr>
      <w:rFonts w:ascii="仿宋_GB2312" w:hAnsi="仿宋_GB2312" w:eastAsia="仿宋_GB2312" w:cs="仿宋_GB2312"/>
      <w:sz w:val="18"/>
      <w:szCs w:val="18"/>
    </w:rPr>
  </w:style>
  <w:style w:type="character" w:customStyle="1" w:styleId="17">
    <w:name w:val="页脚 字符"/>
    <w:basedOn w:val="9"/>
    <w:link w:val="6"/>
    <w:qFormat/>
    <w:uiPriority w:val="99"/>
    <w:rPr>
      <w:rFonts w:ascii="仿宋_GB2312" w:hAnsi="仿宋_GB2312" w:eastAsia="仿宋_GB2312" w:cs="仿宋_GB2312"/>
      <w:sz w:val="18"/>
      <w:szCs w:val="18"/>
    </w:rPr>
  </w:style>
  <w:style w:type="character" w:customStyle="1" w:styleId="18">
    <w:name w:val="脚注文本 字符"/>
    <w:basedOn w:val="9"/>
    <w:link w:val="8"/>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3641E-AD63-459D-AD94-E50AE51C590A}">
  <ds:schemaRefs/>
</ds:datastoreItem>
</file>

<file path=docProps/app.xml><?xml version="1.0" encoding="utf-8"?>
<Properties xmlns="http://schemas.openxmlformats.org/officeDocument/2006/extended-properties" xmlns:vt="http://schemas.openxmlformats.org/officeDocument/2006/docPropsVTypes">
  <Template>Normal</Template>
  <Pages>19</Pages>
  <Words>1279</Words>
  <Characters>7294</Characters>
  <Lines>60</Lines>
  <Paragraphs>17</Paragraphs>
  <ScaleCrop>false</ScaleCrop>
  <LinksUpToDate>false</LinksUpToDate>
  <CharactersWithSpaces>8556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2019-07-23T09:53:00Z</dcterms:created>
  <dc:creator>丹丹 赵</dc:creator>
  <cp:lastModifiedBy>Yaqiong</cp:lastModifiedBy>
  <dcterms:modified xsi:type="dcterms:W3CDTF">2022-09-01T06:45:28Z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1E34B1700D21442F8B0120FCFAA4BAD3</vt:lpwstr>
  </property>
</Properties>
</file>