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ind w:left="-64" w:leftChars="-20"/>
        <w:jc w:val="center"/>
        <w:textAlignment w:val="auto"/>
        <w:rPr>
          <w:rFonts w:hint="eastAsia" w:ascii="新宋体" w:hAnsi="新宋体" w:eastAsia="新宋体" w:cs="新宋体"/>
          <w:b/>
          <w:bCs/>
          <w:color w:val="FF0000"/>
          <w:spacing w:val="0"/>
          <w:w w:val="100"/>
          <w:kern w:val="40"/>
          <w:sz w:val="58"/>
          <w:szCs w:val="58"/>
        </w:rPr>
      </w:pPr>
      <w:r>
        <w:rPr>
          <w:rFonts w:hint="eastAsia" w:ascii="新宋体" w:hAnsi="新宋体" w:eastAsia="新宋体" w:cs="新宋体"/>
          <w:b/>
          <w:bCs/>
          <w:color w:val="FF0000"/>
          <w:spacing w:val="0"/>
          <w:w w:val="100"/>
          <w:kern w:val="40"/>
          <w:sz w:val="58"/>
          <w:szCs w:val="58"/>
        </w:rPr>
        <w:t>深圳市福田区</w:t>
      </w:r>
      <w:r>
        <w:rPr>
          <w:rFonts w:hint="eastAsia" w:ascii="新宋体" w:hAnsi="新宋体" w:eastAsia="新宋体" w:cs="新宋体"/>
          <w:b/>
          <w:bCs/>
          <w:color w:val="FF0000"/>
          <w:spacing w:val="0"/>
          <w:w w:val="100"/>
          <w:kern w:val="40"/>
          <w:sz w:val="58"/>
          <w:szCs w:val="58"/>
          <w:lang w:eastAsia="zh-CN"/>
        </w:rPr>
        <w:t>文化广电旅游体育局</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小标宋简体" w:hAnsi="方正小标宋简体" w:eastAsia="方正小标宋简体" w:cs="方正小标宋简体"/>
          <w:sz w:val="44"/>
          <w:szCs w:val="44"/>
          <w:lang w:val="en-US" w:eastAsia="zh-CN"/>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82550</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pt;margin-top:6.5pt;height:0.05pt;width:468pt;z-index:251659264;mso-width-relative:page;mso-height-relative:page;" filled="f" stroked="t" coordsize="21600,21600" o:gfxdata="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1Cj+vSAAAACQEAAA8AAAAAAAAAAQAgAAAAOAAAAGRycy9kb3ducmV2LnhtbFBLAQIU&#10;ABQAAAAIAIdO4kAgUUXF4wEAAKIDAAAOAAAAAAAAAAEAIAAAADcBAABkcnMvZTJvRG9jLnhtbFBL&#10;BQYAAAAABgAGAFkBAACMBQ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eastAsia="方正小标宋_GBK"/>
          <w:sz w:val="44"/>
          <w:szCs w:val="44"/>
          <w:highlight w:val="none"/>
        </w:rPr>
        <w:t>关于</w:t>
      </w:r>
      <w:r>
        <w:rPr>
          <w:rFonts w:hint="eastAsia" w:ascii="方正小标宋_GBK" w:hAnsi="方正小标宋_GBK" w:eastAsia="方正小标宋_GBK" w:cs="方正小标宋_GBK"/>
          <w:sz w:val="44"/>
          <w:szCs w:val="44"/>
        </w:rPr>
        <w:t>区第八届人民代表大会第二次会议代表</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方正小标宋_GBK" w:eastAsia="方正小标宋_GBK"/>
          <w:sz w:val="44"/>
          <w:szCs w:val="44"/>
          <w:highlight w:val="none"/>
        </w:rPr>
      </w:pPr>
      <w:r>
        <w:rPr>
          <w:rFonts w:hint="eastAsia" w:ascii="方正小标宋_GBK" w:hAnsi="方正小标宋_GBK" w:eastAsia="方正小标宋_GBK" w:cs="方正小标宋_GBK"/>
          <w:sz w:val="44"/>
          <w:szCs w:val="44"/>
        </w:rPr>
        <w:t>建议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关于增设健身设施的建议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第20220</w:t>
      </w:r>
      <w:r>
        <w:rPr>
          <w:rFonts w:hint="eastAsia" w:ascii="方正小标宋_GBK" w:hAnsi="方正小标宋_GBK" w:eastAsia="方正小标宋_GBK" w:cs="方正小标宋_GBK"/>
          <w:sz w:val="44"/>
          <w:szCs w:val="44"/>
          <w:lang w:val="en-US" w:eastAsia="zh-CN"/>
        </w:rPr>
        <w:t>035</w:t>
      </w:r>
      <w:r>
        <w:rPr>
          <w:rFonts w:hint="eastAsia" w:ascii="方正小标宋_GBK" w:hAnsi="方正小标宋_GBK" w:eastAsia="方正小标宋_GBK" w:cs="方正小标宋_GBK"/>
          <w:sz w:val="44"/>
          <w:szCs w:val="44"/>
        </w:rPr>
        <w:t>号</w:t>
      </w:r>
      <w:r>
        <w:rPr>
          <w:rFonts w:hint="eastAsia" w:ascii="方正小标宋_GBK" w:hAnsi="方正小标宋_GBK" w:eastAsia="方正小标宋_GBK" w:cs="方正小标宋_GBK"/>
          <w:sz w:val="44"/>
          <w:szCs w:val="44"/>
          <w:lang w:eastAsia="zh-CN"/>
        </w:rPr>
        <w:t>）</w:t>
      </w:r>
      <w:r>
        <w:rPr>
          <w:rFonts w:hint="eastAsia" w:ascii="方正小标宋_GBK" w:eastAsia="方正小标宋_GBK"/>
          <w:sz w:val="44"/>
          <w:szCs w:val="44"/>
          <w:highlight w:val="none"/>
        </w:rPr>
        <w:t>的回复意见</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39" w:lineRule="exact"/>
        <w:ind w:left="0" w:leftChars="0"/>
        <w:textAlignment w:val="auto"/>
        <w:rPr>
          <w:rFonts w:ascii="仿宋_GB2312" w:eastAsia="仿宋_GB2312"/>
          <w:sz w:val="32"/>
          <w:szCs w:val="32"/>
          <w:highlight w:val="none"/>
        </w:rPr>
      </w:pPr>
      <w:r>
        <w:rPr>
          <w:rFonts w:hint="eastAsia" w:ascii="仿宋_GB2312" w:eastAsia="仿宋_GB2312"/>
          <w:sz w:val="32"/>
          <w:szCs w:val="32"/>
          <w:highlight w:val="none"/>
        </w:rPr>
        <w:t>尊敬的</w:t>
      </w:r>
      <w:r>
        <w:rPr>
          <w:rFonts w:hint="eastAsia" w:ascii="仿宋_GB2312" w:hAnsi="仿宋_GB2312" w:cs="仿宋_GB2312"/>
          <w:sz w:val="32"/>
          <w:szCs w:val="32"/>
          <w:lang w:eastAsia="zh-CN"/>
        </w:rPr>
        <w:t>罗晓夏</w:t>
      </w:r>
      <w:r>
        <w:rPr>
          <w:rFonts w:hint="eastAsia" w:ascii="仿宋_GB2312" w:eastAsia="仿宋_GB2312"/>
          <w:sz w:val="32"/>
          <w:szCs w:val="32"/>
          <w:highlight w:val="none"/>
        </w:rPr>
        <w:t xml:space="preserve">代表：           </w:t>
      </w:r>
    </w:p>
    <w:p>
      <w:pPr>
        <w:keepNext w:val="0"/>
        <w:keepLines w:val="0"/>
        <w:pageBreakBefore w:val="0"/>
        <w:widowControl w:val="0"/>
        <w:kinsoku/>
        <w:wordWrap/>
        <w:overflowPunct/>
        <w:topLinePunct w:val="0"/>
        <w:autoSpaceDE/>
        <w:autoSpaceDN/>
        <w:bidi w:val="0"/>
        <w:adjustRightInd/>
        <w:snapToGrid/>
        <w:spacing w:line="539" w:lineRule="exact"/>
        <w:ind w:left="0" w:lef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您好！您在区</w:t>
      </w:r>
      <w:r>
        <w:rPr>
          <w:rFonts w:hint="eastAsia" w:ascii="仿宋_GB2312"/>
          <w:sz w:val="32"/>
          <w:szCs w:val="32"/>
          <w:highlight w:val="none"/>
          <w:lang w:eastAsia="zh-CN"/>
        </w:rPr>
        <w:t>八</w:t>
      </w:r>
      <w:r>
        <w:rPr>
          <w:rFonts w:hint="eastAsia" w:ascii="仿宋_GB2312" w:eastAsia="仿宋_GB2312"/>
          <w:sz w:val="32"/>
          <w:szCs w:val="32"/>
          <w:highlight w:val="none"/>
        </w:rPr>
        <w:t>届人大</w:t>
      </w:r>
      <w:r>
        <w:rPr>
          <w:rFonts w:hint="eastAsia" w:ascii="仿宋_GB2312"/>
          <w:sz w:val="32"/>
          <w:szCs w:val="32"/>
          <w:highlight w:val="none"/>
          <w:lang w:eastAsia="zh-CN"/>
        </w:rPr>
        <w:t>二</w:t>
      </w:r>
      <w:r>
        <w:rPr>
          <w:rFonts w:hint="eastAsia" w:ascii="仿宋_GB2312" w:eastAsia="仿宋_GB2312"/>
          <w:sz w:val="32"/>
          <w:szCs w:val="32"/>
          <w:highlight w:val="none"/>
        </w:rPr>
        <w:t>次会议</w:t>
      </w:r>
      <w:r>
        <w:rPr>
          <w:rFonts w:hint="eastAsia" w:ascii="仿宋_GB2312"/>
          <w:sz w:val="32"/>
          <w:szCs w:val="32"/>
          <w:highlight w:val="none"/>
          <w:lang w:eastAsia="zh-CN"/>
        </w:rPr>
        <w:t>上</w:t>
      </w:r>
      <w:r>
        <w:rPr>
          <w:rFonts w:hint="eastAsia" w:ascii="仿宋_GB2312" w:eastAsia="仿宋_GB2312"/>
          <w:sz w:val="32"/>
          <w:szCs w:val="32"/>
          <w:highlight w:val="none"/>
        </w:rPr>
        <w:t>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关于在福田区加强体教融合发展，推动多方合作共赢的建议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第20220</w:t>
      </w:r>
      <w:r>
        <w:rPr>
          <w:rFonts w:hint="eastAsia" w:ascii="仿宋_GB2312" w:hAnsi="仿宋_GB2312" w:cs="仿宋_GB2312"/>
          <w:sz w:val="32"/>
          <w:szCs w:val="32"/>
          <w:lang w:val="en-US" w:eastAsia="zh-CN"/>
        </w:rPr>
        <w:t>035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eastAsia="仿宋_GB2312"/>
          <w:sz w:val="32"/>
          <w:szCs w:val="32"/>
          <w:highlight w:val="none"/>
        </w:rPr>
        <w:t>已收悉。首先感谢您对福田区文化体育工作的关心和重视，所提建议对我单位具有重要的参考价值和指导意义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经</w:t>
      </w:r>
      <w:r>
        <w:rPr>
          <w:rFonts w:hint="eastAsia" w:ascii="仿宋_GB2312"/>
          <w:sz w:val="32"/>
          <w:szCs w:val="32"/>
          <w:highlight w:val="none"/>
          <w:lang w:eastAsia="zh-CN"/>
        </w:rPr>
        <w:t>局</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研究，结合实际情况，现将办理情况答复如下：</w:t>
      </w:r>
    </w:p>
    <w:p>
      <w:pPr>
        <w:keepNext w:val="0"/>
        <w:keepLines w:val="0"/>
        <w:pageBreakBefore w:val="0"/>
        <w:widowControl w:val="0"/>
        <w:kinsoku/>
        <w:wordWrap/>
        <w:overflowPunct/>
        <w:topLinePunct w:val="0"/>
        <w:autoSpaceDE/>
        <w:autoSpaceDN/>
        <w:bidi w:val="0"/>
        <w:adjustRightInd/>
        <w:snapToGrid/>
        <w:spacing w:line="539" w:lineRule="exact"/>
        <w:ind w:firstLine="64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福田区</w:t>
      </w:r>
      <w:r>
        <w:rPr>
          <w:rFonts w:hint="eastAsia" w:ascii="仿宋_GB2312" w:eastAsia="仿宋_GB2312"/>
          <w:b w:val="0"/>
          <w:bCs w:val="0"/>
          <w:color w:val="auto"/>
          <w:sz w:val="32"/>
          <w:szCs w:val="32"/>
          <w:shd w:val="clear" w:color="auto" w:fill="auto"/>
          <w:lang w:eastAsia="zh-CN"/>
        </w:rPr>
        <w:t>早于</w:t>
      </w:r>
      <w:r>
        <w:rPr>
          <w:rFonts w:hint="eastAsia" w:ascii="仿宋_GB2312" w:eastAsia="仿宋_GB2312"/>
          <w:b w:val="0"/>
          <w:bCs w:val="0"/>
          <w:color w:val="auto"/>
          <w:sz w:val="32"/>
          <w:szCs w:val="32"/>
          <w:shd w:val="clear" w:color="auto" w:fill="auto"/>
          <w:lang w:val="en-US" w:eastAsia="zh-CN"/>
        </w:rPr>
        <w:t>2012年</w:t>
      </w:r>
      <w:r>
        <w:rPr>
          <w:rFonts w:hint="eastAsia" w:ascii="仿宋_GB2312" w:eastAsia="仿宋_GB2312"/>
          <w:b w:val="0"/>
          <w:bCs w:val="0"/>
          <w:sz w:val="32"/>
          <w:szCs w:val="32"/>
          <w:lang w:val="en-US" w:eastAsia="zh-CN"/>
        </w:rPr>
        <w:t>就将全区商品住宅小区纳入全民健身计划当中，并以区政府投资建设的形式先后开展4期福田区公共文体设施空间提升工程项目。通过</w:t>
      </w:r>
      <w:r>
        <w:rPr>
          <w:rFonts w:hint="eastAsia" w:ascii="仿宋_GB2312" w:eastAsia="仿宋_GB2312"/>
          <w:b w:val="0"/>
          <w:bCs w:val="0"/>
          <w:sz w:val="32"/>
          <w:szCs w:val="32"/>
        </w:rPr>
        <w:t>前期对全区各街道、社区进行实地调研，充分了解辖区居民的体育设施建设需求，结合各街道、社区提交的《福田区全民健身工程申请表》</w:t>
      </w:r>
      <w:r>
        <w:rPr>
          <w:rFonts w:hint="eastAsia" w:ascii="仿宋_GB2312" w:eastAsia="仿宋_GB2312"/>
          <w:b w:val="0"/>
          <w:bCs w:val="0"/>
          <w:sz w:val="32"/>
          <w:szCs w:val="32"/>
          <w:lang w:eastAsia="zh-CN"/>
        </w:rPr>
        <w:t>，我区为小区</w:t>
      </w:r>
      <w:r>
        <w:rPr>
          <w:rFonts w:hint="eastAsia" w:ascii="仿宋_GB2312" w:eastAsia="仿宋_GB2312"/>
          <w:b w:val="0"/>
          <w:bCs w:val="0"/>
          <w:sz w:val="32"/>
          <w:szCs w:val="32"/>
          <w:lang w:val="en-US" w:eastAsia="zh-CN"/>
        </w:rPr>
        <w:t>安装了功能齐全、款式多样的健身器材，可提供各年龄层的居民进行健身锻炼，深受辖区居民的喜爱。</w:t>
      </w:r>
      <w:r>
        <w:rPr>
          <w:rFonts w:hint="eastAsia" w:ascii="仿宋_GB2312" w:hAnsi="仿宋_GB2312" w:eastAsia="仿宋_GB2312" w:cs="仿宋_GB2312"/>
          <w:sz w:val="32"/>
          <w:szCs w:val="32"/>
          <w:lang w:val="en-US" w:eastAsia="zh-CN"/>
        </w:rPr>
        <w:t>今年6月，我局使用体彩公益金为辖区各街道社区采购了80套健身路径（含5套智能健身路径）和140张室外乒乓球台，现已完成招标采购，正在陆续进场施工。</w:t>
      </w:r>
      <w:r>
        <w:rPr>
          <w:rFonts w:hint="eastAsia" w:ascii="仿宋_GB2312" w:eastAsia="仿宋_GB2312"/>
          <w:b w:val="0"/>
          <w:bCs w:val="0"/>
          <w:sz w:val="32"/>
          <w:szCs w:val="32"/>
          <w:lang w:eastAsia="zh-CN"/>
        </w:rPr>
        <w:t>我区还为上述健身器材购买了责任险及意外险，如因使用失修器材造成伤害事故，可以通过保险公司进行赔付。</w:t>
      </w:r>
    </w:p>
    <w:p>
      <w:pPr>
        <w:keepNext w:val="0"/>
        <w:keepLines w:val="0"/>
        <w:pageBreakBefore w:val="0"/>
        <w:widowControl w:val="0"/>
        <w:kinsoku/>
        <w:wordWrap/>
        <w:overflowPunct/>
        <w:topLinePunct w:val="0"/>
        <w:autoSpaceDE/>
        <w:autoSpaceDN/>
        <w:bidi w:val="0"/>
        <w:adjustRightInd/>
        <w:snapToGrid/>
        <w:spacing w:line="539" w:lineRule="exact"/>
        <w:ind w:firstLine="640"/>
        <w:textAlignment w:val="auto"/>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由于辖区土地资源紧张，我局一直致力于利用闲置空间建设体育设施。</w:t>
      </w:r>
      <w:r>
        <w:rPr>
          <w:rFonts w:hint="eastAsia" w:ascii="仿宋_GB2312" w:eastAsia="仿宋_GB2312"/>
          <w:b w:val="0"/>
          <w:bCs w:val="0"/>
          <w:sz w:val="32"/>
          <w:szCs w:val="32"/>
          <w:lang w:val="en-US" w:eastAsia="zh-CN"/>
        </w:rPr>
        <w:t>2020年</w:t>
      </w:r>
      <w:r>
        <w:rPr>
          <w:rFonts w:hint="eastAsia" w:ascii="仿宋_GB2312"/>
          <w:b w:val="0"/>
          <w:bCs w:val="0"/>
          <w:sz w:val="32"/>
          <w:szCs w:val="32"/>
          <w:lang w:val="en-US" w:eastAsia="zh-CN"/>
        </w:rPr>
        <w:t>以来</w:t>
      </w:r>
      <w:r>
        <w:rPr>
          <w:rFonts w:hint="eastAsia" w:ascii="仿宋_GB2312" w:eastAsia="仿宋_GB2312"/>
          <w:b w:val="0"/>
          <w:bCs w:val="0"/>
          <w:sz w:val="32"/>
          <w:szCs w:val="32"/>
          <w:lang w:val="en-US" w:eastAsia="zh-CN"/>
        </w:rPr>
        <w:t>，我局在园岭花园等社区和深圳文化创意园等园区的楼宇天台共建设了22块足球场地。</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lang w:val="en-US" w:eastAsia="zh-CN"/>
        </w:rPr>
        <w:t>2021年8月，福田区率先打造体育场馆“一键预约”平台，市民可通过“i深圳”app、“i福田”微信小程序和“幸福福田”微信公众号线上预约体育场地进行锻炼。并将</w:t>
      </w:r>
      <w:r>
        <w:rPr>
          <w:rFonts w:hint="eastAsia" w:ascii="仿宋_GB2312" w:hAnsi="仿宋_GB2312" w:eastAsia="仿宋_GB2312" w:cs="仿宋_GB2312"/>
          <w:sz w:val="32"/>
          <w:szCs w:val="32"/>
        </w:rPr>
        <w:t>学校体育场馆</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开放</w:t>
      </w:r>
      <w:r>
        <w:rPr>
          <w:rFonts w:hint="eastAsia" w:ascii="仿宋_GB2312" w:hAnsi="仿宋_GB2312" w:eastAsia="仿宋_GB2312" w:cs="仿宋_GB2312"/>
          <w:sz w:val="32"/>
          <w:szCs w:val="32"/>
          <w:lang w:eastAsia="zh-CN"/>
        </w:rPr>
        <w:t>，按照“应开尽开”的原则，辖区</w:t>
      </w:r>
      <w:r>
        <w:rPr>
          <w:rFonts w:hint="eastAsia" w:ascii="仿宋_GB2312" w:hAnsi="仿宋" w:eastAsia="仿宋_GB2312"/>
          <w:sz w:val="32"/>
          <w:szCs w:val="32"/>
          <w:lang w:val="en-US" w:eastAsia="zh-CN"/>
        </w:rPr>
        <w:t>所有符合开放条件的公办中小学室外体育场地均分时段免费对外开放，原则上工作日开放时长不低于2小时，节假日不低于8小时。</w:t>
      </w:r>
    </w:p>
    <w:p>
      <w:pPr>
        <w:keepNext w:val="0"/>
        <w:keepLines w:val="0"/>
        <w:pageBreakBefore w:val="0"/>
        <w:widowControl w:val="0"/>
        <w:kinsoku/>
        <w:wordWrap/>
        <w:overflowPunct/>
        <w:topLinePunct w:val="0"/>
        <w:autoSpaceDE/>
        <w:autoSpaceDN/>
        <w:bidi w:val="0"/>
        <w:adjustRightInd/>
        <w:snapToGrid/>
        <w:spacing w:line="53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2022年1月</w:t>
      </w:r>
      <w:r>
        <w:rPr>
          <w:rFonts w:hint="eastAsia" w:ascii="仿宋_GB2312" w:hAnsi="仿宋_GB2312" w:eastAsia="仿宋_GB2312" w:cs="仿宋_GB2312"/>
          <w:sz w:val="32"/>
          <w:szCs w:val="32"/>
          <w:lang w:eastAsia="zh-CN"/>
        </w:rPr>
        <w:t>，深圳市城市管理和综合执法局</w:t>
      </w:r>
      <w:r>
        <w:rPr>
          <w:rFonts w:hint="eastAsia" w:ascii="仿宋_GB2312" w:hAnsi="仿宋_GB2312" w:eastAsia="仿宋_GB2312" w:cs="仿宋_GB2312"/>
          <w:sz w:val="32"/>
          <w:szCs w:val="32"/>
          <w:lang w:val="en-US" w:eastAsia="zh-CN"/>
        </w:rPr>
        <w:t xml:space="preserve">  深圳市文化广电旅游体育局联合印发了《关于积极推进文体设施进公园的实施方案》（深城管〔2022〕27号），给文体设施进公园提供了政策支撑。在双方的共同努力下，率先在中心公园和莲花山公园建设了一批智能健身路径，受到广大群众的一致好评。今年以来，又陆续在上述两个公园和笔架山公园、荔枝公园、梅林山公园、景蜜公园、儿童乐园投入智能健身路径建设，现已全部进场施工，极大弥补了公园健身场地不足的问题。</w:t>
      </w:r>
    </w:p>
    <w:p>
      <w:pPr>
        <w:keepNext w:val="0"/>
        <w:keepLines w:val="0"/>
        <w:pageBreakBefore w:val="0"/>
        <w:widowControl w:val="0"/>
        <w:kinsoku/>
        <w:wordWrap/>
        <w:overflowPunct/>
        <w:topLinePunct w:val="0"/>
        <w:autoSpaceDE/>
        <w:autoSpaceDN/>
        <w:bidi w:val="0"/>
        <w:adjustRightInd/>
        <w:snapToGrid/>
        <w:spacing w:line="539" w:lineRule="exact"/>
        <w:ind w:left="0" w:leftChars="0" w:right="0" w:rightChars="0" w:firstLine="645"/>
        <w:textAlignment w:val="auto"/>
        <w:outlineLvl w:val="9"/>
        <w:rPr>
          <w:rFonts w:hint="eastAsia" w:ascii="楷体_GB2312" w:hAnsi="楷体_GB2312" w:eastAsia="楷体_GB2312" w:cs="楷体_GB2312"/>
          <w:sz w:val="32"/>
          <w:szCs w:val="32"/>
          <w:lang w:val="en-US" w:eastAsia="zh-CN"/>
        </w:rPr>
      </w:pPr>
      <w:r>
        <w:rPr>
          <w:rFonts w:hint="eastAsia" w:ascii="仿宋_GB2312" w:eastAsia="仿宋_GB2312"/>
          <w:sz w:val="32"/>
          <w:szCs w:val="32"/>
          <w:lang w:eastAsia="zh-CN"/>
        </w:rPr>
        <w:t>再次感谢您对福田文化体育事业的关心和支持，希望您能一如既往地予以关注和支持，多提宝贵意见和建议。</w:t>
      </w:r>
    </w:p>
    <w:p>
      <w:pPr>
        <w:keepNext w:val="0"/>
        <w:keepLines w:val="0"/>
        <w:pageBreakBefore w:val="0"/>
        <w:widowControl w:val="0"/>
        <w:kinsoku/>
        <w:wordWrap/>
        <w:overflowPunct/>
        <w:topLinePunct w:val="0"/>
        <w:autoSpaceDE/>
        <w:autoSpaceDN/>
        <w:bidi w:val="0"/>
        <w:adjustRightInd/>
        <w:snapToGrid/>
        <w:spacing w:line="53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3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39" w:lineRule="exact"/>
        <w:ind w:left="0" w:leftChars="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pPr>
        <w:keepNext w:val="0"/>
        <w:keepLines w:val="0"/>
        <w:pageBreakBefore w:val="0"/>
        <w:widowControl w:val="0"/>
        <w:kinsoku/>
        <w:wordWrap/>
        <w:overflowPunct/>
        <w:topLinePunct w:val="0"/>
        <w:autoSpaceDE/>
        <w:autoSpaceDN/>
        <w:bidi w:val="0"/>
        <w:adjustRightInd/>
        <w:snapToGrid/>
        <w:spacing w:line="539" w:lineRule="exact"/>
        <w:ind w:left="0" w:leftChars="0" w:right="480" w:firstLine="640" w:firstLineChars="200"/>
        <w:jc w:val="right"/>
        <w:textAlignment w:val="auto"/>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32"/>
          <w:szCs w:val="32"/>
        </w:rPr>
        <w:t>20</w:t>
      </w:r>
      <w:r>
        <w:rPr>
          <w:rFonts w:hint="eastAsia" w:ascii="仿宋_GB2312"/>
          <w:sz w:val="32"/>
          <w:szCs w:val="32"/>
          <w:lang w:val="en-US" w:eastAsia="zh-CN"/>
        </w:rPr>
        <w:t>22</w:t>
      </w:r>
      <w:r>
        <w:rPr>
          <w:rFonts w:hint="eastAsia" w:ascii="仿宋_GB2312" w:eastAsia="仿宋_GB2312"/>
          <w:sz w:val="32"/>
          <w:szCs w:val="32"/>
        </w:rPr>
        <w:t>年</w:t>
      </w:r>
      <w:r>
        <w:rPr>
          <w:rFonts w:hint="eastAsia" w:ascii="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sz w:val="32"/>
          <w:szCs w:val="32"/>
          <w:lang w:val="en-US" w:eastAsia="zh-CN"/>
        </w:rPr>
        <w:t>8</w:t>
      </w:r>
      <w:r>
        <w:rPr>
          <w:rFonts w:hint="eastAsia" w:ascii="仿宋_GB2312" w:eastAsia="仿宋_GB2312"/>
          <w:sz w:val="32"/>
          <w:szCs w:val="32"/>
        </w:rPr>
        <w:t>日</w:t>
      </w:r>
      <w:bookmarkStart w:id="0" w:name="_GoBack"/>
      <w:bookmarkEnd w:id="0"/>
    </w:p>
    <w:sectPr>
      <w:headerReference r:id="rId4" w:type="first"/>
      <w:footerReference r:id="rId6" w:type="first"/>
      <w:headerReference r:id="rId3" w:type="default"/>
      <w:footerReference r:id="rId5" w:type="default"/>
      <w:pgSz w:w="11906" w:h="16838"/>
      <w:pgMar w:top="2098" w:right="1474" w:bottom="1984" w:left="1587" w:header="851" w:footer="992" w:gutter="0"/>
      <w:cols w:space="0" w:num="1"/>
      <w:titlePg/>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-68580</wp:posOffset>
              </wp:positionV>
              <wp:extent cx="5943600" cy="635"/>
              <wp:effectExtent l="0" t="25400" r="0" b="31115"/>
              <wp:wrapNone/>
              <wp:docPr id="2" name="直接连接符 22"/>
              <wp:cNvGraphicFramePr/>
              <a:graphic xmlns:a="http://schemas.openxmlformats.org/drawingml/2006/main">
                <a:graphicData uri="http://schemas.microsoft.com/office/word/2010/wordprocessingShape">
                  <wps:wsp>
                    <wps:cNvCnPr/>
                    <wps:spPr>
                      <a:xfrm>
                        <a:off x="0" y="0"/>
                        <a:ext cx="5943600" cy="635"/>
                      </a:xfrm>
                      <a:prstGeom prst="line">
                        <a:avLst/>
                      </a:prstGeom>
                      <a:ln w="50800" cap="flat" cmpd="thinThick">
                        <a:solidFill>
                          <a:srgbClr val="FF0000"/>
                        </a:solidFill>
                        <a:prstDash val="solid"/>
                        <a:headEnd type="none" w="med" len="med"/>
                        <a:tailEnd type="none" w="med" len="med"/>
                      </a:ln>
                    </wps:spPr>
                    <wps:bodyPr upright="true"/>
                  </wps:wsp>
                </a:graphicData>
              </a:graphic>
            </wp:anchor>
          </w:drawing>
        </mc:Choice>
        <mc:Fallback>
          <w:pict>
            <v:line id="直接连接符 22" o:spid="_x0000_s1026" o:spt="20" style="position:absolute;left:0pt;margin-top:-5.4pt;height:0.05pt;width:468pt;mso-position-horizontal:center;z-index:251659264;mso-width-relative:page;mso-height-relative:page;" filled="f" stroked="t" coordsize="21600,21600" o:gfxdata="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17NjtYAAAAIAQAADwAAAAAAAAABACAAAAA4AAAAZHJzL2Rvd25yZXYueG1s&#10;UEsBAhQAFAAAAAgAh07iQHXpqzPkAQAAowMAAA4AAAAAAAAAAQAgAAAAOwEAAGRycy9lMm9Eb2Mu&#10;eG1sUEsFBgAAAAAGAAYAWQEAAJEFAAAAAA==&#10;">
              <v:fill on="f" focussize="0,0"/>
              <v:stroke weight="4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true"/>
  <w:bordersDoNotSurroundFooter w:val="true"/>
  <w:documentProtection w:enforcement="0"/>
  <w:defaultTabStop w:val="420"/>
  <w:drawingGridVerticalSpacing w:val="22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0284"/>
    <w:rsid w:val="0B0178E5"/>
    <w:rsid w:val="104B2A87"/>
    <w:rsid w:val="11F95925"/>
    <w:rsid w:val="15622CAE"/>
    <w:rsid w:val="21F93EE2"/>
    <w:rsid w:val="21FA4253"/>
    <w:rsid w:val="24B33883"/>
    <w:rsid w:val="27872A25"/>
    <w:rsid w:val="281C6C20"/>
    <w:rsid w:val="2B9221B7"/>
    <w:rsid w:val="2BED1C5F"/>
    <w:rsid w:val="31DA445F"/>
    <w:rsid w:val="37117EE7"/>
    <w:rsid w:val="3F096D13"/>
    <w:rsid w:val="41D21724"/>
    <w:rsid w:val="4BDA2011"/>
    <w:rsid w:val="4C9606CE"/>
    <w:rsid w:val="50FB0903"/>
    <w:rsid w:val="545E151B"/>
    <w:rsid w:val="57C25DA3"/>
    <w:rsid w:val="593228C1"/>
    <w:rsid w:val="5A8D3CB7"/>
    <w:rsid w:val="5F0379EA"/>
    <w:rsid w:val="5FAF7648"/>
    <w:rsid w:val="67F215F3"/>
    <w:rsid w:val="694E476B"/>
    <w:rsid w:val="6E5F74EA"/>
    <w:rsid w:val="77426DCF"/>
    <w:rsid w:val="77FA796C"/>
    <w:rsid w:val="7A1036EA"/>
    <w:rsid w:val="DABCE7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默认段落字体 Para Char Char"/>
    <w:basedOn w:val="1"/>
    <w:link w:val="6"/>
    <w:qFormat/>
    <w:uiPriority w:val="0"/>
  </w:style>
  <w:style w:type="character" w:styleId="8">
    <w:name w:val="page number"/>
    <w:basedOn w:val="6"/>
    <w:qFormat/>
    <w:uiPriority w:val="0"/>
  </w:style>
  <w:style w:type="paragraph" w:customStyle="1" w:styleId="9">
    <w:name w:val="msolistparagraph"/>
    <w:basedOn w:val="1"/>
    <w:qFormat/>
    <w:uiPriority w:val="0"/>
    <w:pPr>
      <w:ind w:firstLine="420" w:firstLineChars="200"/>
    </w:pPr>
    <w:rPr>
      <w:rFonts w:hint="eastAsia" w:ascii="仿宋_GB2312"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ZXQ</dc:creator>
  <cp:lastModifiedBy>zengxin1</cp:lastModifiedBy>
  <cp:lastPrinted>2020-07-01T10:46:00Z</cp:lastPrinted>
  <dcterms:modified xsi:type="dcterms:W3CDTF">2022-11-25T09:56:07Z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