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ind w:left="-64" w:leftChars="-20"/>
        <w:jc w:val="center"/>
        <w:textAlignment w:val="auto"/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  <w:t>深圳市福田区</w:t>
      </w: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  <w:lang w:eastAsia="zh-CN"/>
        </w:rPr>
        <w:t>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79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943600" cy="635"/>
                <wp:effectExtent l="0" t="28575" r="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.5pt;height:0.05pt;width:468pt;z-index:251659264;mso-width-relative:page;mso-height-relative:page;" filled="f" stroked="t" coordsize="21600,21600" o:gfxdata="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1Cj+vSAAAACQEAAA8AAAAAAAAAAQAgAAAAOAAAAGRycy9kb3ducmV2LnhtbFBLAQIU&#10;ABQAAAAIAIdO4kAgUUXF4wEAAKIDAAAOAAAAAAAAAAEAIAAAADcBAABkcnMvZTJvRG9jLnhtbFBL&#10;BQYAAAAABgAGAFkBAACM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区政协提案《关于加快都市型便民体育健身设施建设，打造湾区健康活力之城的提案》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（第20220199号）的回复意见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齐欣</w:t>
      </w:r>
      <w:r>
        <w:rPr>
          <w:rFonts w:hint="eastAsia" w:ascii="仿宋" w:hAnsi="仿宋" w:eastAsia="仿宋" w:cs="仿宋"/>
          <w:b w:val="0"/>
          <w:sz w:val="32"/>
          <w:szCs w:val="28"/>
          <w:lang w:val="en-US" w:eastAsia="zh-CN"/>
        </w:rPr>
        <w:t>委员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您好！您在区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政协六</w:t>
      </w:r>
      <w:r>
        <w:rPr>
          <w:rFonts w:hint="eastAsia" w:ascii="仿宋_GB2312" w:eastAsia="仿宋_GB2312"/>
          <w:sz w:val="32"/>
          <w:szCs w:val="32"/>
          <w:highlight w:val="none"/>
        </w:rPr>
        <w:t>届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次会议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提出的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《</w:t>
      </w:r>
      <w:r>
        <w:rPr>
          <w:rFonts w:hint="eastAsia" w:ascii="仿宋_GB2312" w:eastAsia="仿宋_GB2312"/>
          <w:sz w:val="32"/>
          <w:szCs w:val="32"/>
          <w:highlight w:val="none"/>
          <w:lang w:val="en-US" w:eastAsia="zh-CN"/>
        </w:rPr>
        <w:t>关于加快都市型便民体育健身设施建设，打造湾区健康活力之城的提案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》（</w:t>
      </w:r>
      <w:r>
        <w:rPr>
          <w:rFonts w:hint="eastAsia" w:ascii="仿宋_GB2312" w:eastAsia="仿宋_GB2312"/>
          <w:sz w:val="32"/>
          <w:szCs w:val="32"/>
          <w:highlight w:val="none"/>
        </w:rPr>
        <w:t>第</w:t>
      </w:r>
      <w:r>
        <w:rPr>
          <w:rFonts w:hint="eastAsia" w:ascii="仿宋_GB2312" w:hAnsi="仿宋_GB2312" w:eastAsia="仿宋_GB2312" w:cs="仿宋_GB2312"/>
          <w:sz w:val="32"/>
          <w:szCs w:val="32"/>
        </w:rPr>
        <w:t>2022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0199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已收悉。首先感谢您对福田区文化体育工作的关心和重视，所提建议对我单位具有重要的参考价值和指导意义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经研究，结合实际情况，现将办理情况答复如下：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一、主要做法</w:t>
      </w:r>
    </w:p>
    <w:p>
      <w:pPr>
        <w:adjustRightInd/>
        <w:snapToGrid/>
        <w:spacing w:after="0" w:line="560" w:lineRule="exact"/>
        <w:ind w:firstLine="645" w:firstLineChars="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一是全国首创水质净化厂上盖足球主题公园。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为满足居民体育运动的需求，有效破解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空间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不足问题，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按照创新、协调、绿色、开放、共享的原则，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国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首创在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水质净化厂屋顶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上方建设以足球为主题的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福田海滨生态体育公园</w:t>
      </w:r>
      <w:r>
        <w:rPr>
          <w:rFonts w:hint="eastAsia" w:ascii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公园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占地面积7.6万平方米，拥有2个标准11人足球场、4个8人足球场、2个5人足球场，休闲广场若干个，还有足球文化交流</w:t>
      </w:r>
      <w:r>
        <w:rPr>
          <w:rFonts w:hint="eastAsia" w:ascii="仿宋_GB2312" w:eastAsia="仿宋_GB2312" w:hAnsiTheme="minorHAnsi" w:cstheme="minorBidi"/>
          <w:color w:val="000000" w:themeColor="text1"/>
          <w:sz w:val="32"/>
          <w:szCs w:val="32"/>
          <w:highlight w:val="none"/>
          <w14:textFill>
            <w14:solidFill>
              <w14:schemeClr w14:val="tx1"/>
            </w14:solidFill>
          </w14:textFill>
        </w:rPr>
        <w:t>厅、配套公共设施以及便民服务设施等</w:t>
      </w:r>
      <w:r>
        <w:rPr>
          <w:rFonts w:hint="eastAsia" w:ascii="仿宋_GB2312" w:hAnsiTheme="minorHAnsi" w:cstheme="minorBidi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总投资8554万。</w:t>
      </w:r>
      <w:r>
        <w:rPr>
          <w:rFonts w:ascii="仿宋_GB2312" w:hAnsi="仿宋_GB2312" w:eastAsia="仿宋_GB2312" w:cs="仿宋_GB2312"/>
          <w:sz w:val="32"/>
          <w:szCs w:val="32"/>
        </w:rPr>
        <w:t>作为政府投资建设的集公益活动、文体活动及培训健身等为一体的公共体育公园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，</w:t>
      </w:r>
      <w:r>
        <w:rPr>
          <w:rFonts w:ascii="仿宋_GB2312" w:hAnsi="仿宋_GB2312" w:eastAsia="仿宋_GB2312" w:cs="仿宋_GB2312"/>
          <w:sz w:val="32"/>
          <w:szCs w:val="32"/>
        </w:rPr>
        <w:t>深受市民群众喜爱，自2021年9月11日正式开园以来，接待人数超过了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  <w:r>
        <w:rPr>
          <w:rFonts w:ascii="仿宋_GB2312" w:hAnsi="仿宋_GB2312" w:eastAsia="仿宋_GB2312" w:cs="仿宋_GB2312"/>
          <w:sz w:val="32"/>
          <w:szCs w:val="32"/>
        </w:rPr>
        <w:t>00万人次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二是利用</w:t>
      </w: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eastAsia="zh-CN" w:bidi="ar"/>
        </w:rPr>
        <w:t>闲置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bidi="ar"/>
        </w:rPr>
        <w:t>空间建设运动健身场所。</w:t>
      </w:r>
      <w:r>
        <w:rPr>
          <w:rFonts w:hint="eastAsia" w:ascii="仿宋_GB2312" w:eastAsia="仿宋_GB2312"/>
          <w:color w:val="000000"/>
          <w:sz w:val="32"/>
          <w:szCs w:val="32"/>
        </w:rPr>
        <w:t>为加快推进城市社区运动场地设施建设步伐，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在充分调研基础上，根据公众需求，采用“政府资助、民建民营”方式，在园岭花园等2个社区和深圳文化创意园等5个产业园区的楼宇天台建设22块足球场地，有效满足了周边居民、上班族的健身需求。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2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</w:pPr>
      <w:r>
        <w:rPr>
          <w:rFonts w:hint="eastAsia" w:ascii="楷体_GB2312" w:hAnsi="楷体_GB2312" w:eastAsia="楷体_GB2312" w:cs="楷体_GB2312"/>
          <w:b/>
          <w:bCs/>
          <w:color w:val="000000"/>
          <w:sz w:val="32"/>
          <w:szCs w:val="32"/>
        </w:rPr>
        <w:t>三是打造城市体育综合体全新空间模式。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bidi="ar"/>
        </w:rPr>
        <w:t>打造“</w:t>
      </w:r>
      <w:r>
        <w:rPr>
          <w:rFonts w:ascii="仿宋_GB2312" w:hAnsi="Calibri" w:eastAsia="仿宋_GB2312" w:cs="仿宋_GB2312"/>
          <w:color w:val="000000"/>
          <w:sz w:val="32"/>
          <w:szCs w:val="32"/>
          <w:lang w:bidi="ar"/>
        </w:rPr>
        <w:t>小地块、大空间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bidi="ar"/>
        </w:rPr>
        <w:t>”</w:t>
      </w:r>
      <w:r>
        <w:rPr>
          <w:rFonts w:ascii="仿宋_GB2312" w:hAnsi="Calibri" w:eastAsia="仿宋_GB2312" w:cs="仿宋_GB2312"/>
          <w:color w:val="000000"/>
          <w:sz w:val="32"/>
          <w:szCs w:val="32"/>
          <w:lang w:bidi="ar"/>
        </w:rPr>
        <w:t>文体建筑新模式，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bidi="ar"/>
        </w:rPr>
        <w:t>创新建设</w:t>
      </w:r>
      <w:r>
        <w:rPr>
          <w:rFonts w:ascii="仿宋_GB2312" w:hAnsi="Calibri" w:eastAsia="仿宋_GB2312" w:cs="仿宋_GB2312"/>
          <w:color w:val="000000"/>
          <w:sz w:val="32"/>
          <w:szCs w:val="32"/>
          <w:lang w:bidi="ar"/>
        </w:rPr>
        <w:t>国际体育文化交流中心</w:t>
      </w:r>
      <w:r>
        <w:rPr>
          <w:rFonts w:hint="eastAsia" w:ascii="仿宋_GB2312" w:hAnsi="Calibri" w:eastAsia="仿宋_GB2312" w:cs="仿宋_GB2312"/>
          <w:color w:val="000000"/>
          <w:sz w:val="32"/>
          <w:szCs w:val="32"/>
          <w:lang w:bidi="ar"/>
        </w:rPr>
        <w:t>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该项目位于深圳市开发建设重点片区和人口密集区，是布局在深港中轴线上的重大项目之一。建筑设计亮点层出不穷，公共空间多维立体，结构系统标新立异。建筑外立面设计了一条全长3600米的环绕步道，是全国首个将建筑外立面与市政慢行系统相连接的体育设施。项目占地面积8600平方米，建筑面积近10万平方米，总投资13亿元，2023年建成后，预计每年可接待市民数百万人次，并将辐射整个大湾区，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 w:bidi="ar"/>
        </w:rPr>
        <w:t>有望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成为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 w:bidi="ar"/>
        </w:rPr>
        <w:t>大湾区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bidi="ar"/>
        </w:rPr>
        <w:t>文体设施新标杆。</w:t>
      </w:r>
    </w:p>
    <w:p>
      <w:pPr>
        <w:pStyle w:val="8"/>
        <w:spacing w:line="560" w:lineRule="exact"/>
        <w:ind w:firstLine="617"/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</w:pPr>
      <w:r>
        <w:rPr>
          <w:rFonts w:hint="eastAsia" w:ascii="仿宋_GB2312" w:hAnsi="仿宋_GB2312" w:cs="仿宋_GB2312"/>
          <w:b/>
          <w:bCs/>
          <w:sz w:val="32"/>
          <w:szCs w:val="32"/>
          <w:lang w:val="en-US" w:eastAsia="zh-CN" w:bidi="ar"/>
        </w:rPr>
        <w:t>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 w:bidi="ar"/>
        </w:rPr>
        <w:t>是建设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</w:rPr>
        <w:t>文体场馆“一网统管、一键预约”平台</w:t>
      </w:r>
      <w:r>
        <w:rPr>
          <w:rFonts w:hint="eastAsia" w:ascii="仿宋_GB2312" w:hAnsi="仿宋_GB2312" w:eastAsia="仿宋_GB2312" w:cs="仿宋_GB2312"/>
          <w:b/>
          <w:bCs/>
          <w:sz w:val="32"/>
          <w:szCs w:val="28"/>
          <w:lang w:eastAsia="zh-CN"/>
        </w:rPr>
        <w:t>。</w:t>
      </w: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"/>
        </w:rPr>
        <w:t>按照市委市政府关于提高现有设施共享实用度，大力推进都市型文体设施建设的工作指示要求，结合“我为群众办实事”，建设集场馆预订、票务、报名、演出等多项功能于一体的文体场馆“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一网统管、一键预约”平台，</w:t>
      </w:r>
      <w:r>
        <w:rPr>
          <w:rFonts w:hint="eastAsia" w:ascii="仿宋_GB2312" w:hAnsi="Calibri" w:cs="仿宋_GB2312"/>
          <w:sz w:val="32"/>
          <w:szCs w:val="32"/>
          <w:lang w:val="en-US" w:eastAsia="zh-CN" w:bidi="ar"/>
        </w:rPr>
        <w:t>辖区87</w:t>
      </w:r>
      <w:r>
        <w:rPr>
          <w:rFonts w:hint="eastAsia" w:ascii="仿宋_GB2312" w:hAnsi="Calibri" w:eastAsia="仿宋_GB2312" w:cs="仿宋_GB2312"/>
          <w:sz w:val="32"/>
          <w:szCs w:val="32"/>
          <w:lang w:val="zh-TW" w:eastAsia="zh-CN" w:bidi="ar"/>
        </w:rPr>
        <w:t>所</w:t>
      </w:r>
      <w:r>
        <w:rPr>
          <w:rFonts w:hint="eastAsia" w:ascii="仿宋_GB2312" w:hAnsi="Calibri" w:cs="仿宋_GB2312"/>
          <w:sz w:val="32"/>
          <w:szCs w:val="32"/>
          <w:lang w:val="zh-TW" w:eastAsia="zh-CN" w:bidi="ar"/>
        </w:rPr>
        <w:t>学校</w:t>
      </w:r>
      <w:r>
        <w:rPr>
          <w:rFonts w:hint="eastAsia" w:ascii="仿宋_GB2312" w:hAnsi="Calibri" w:eastAsia="仿宋_GB2312" w:cs="仿宋_GB2312"/>
          <w:sz w:val="32"/>
          <w:szCs w:val="32"/>
          <w:lang w:val="zh-TW" w:eastAsia="zh-CN" w:bidi="ar"/>
        </w:rPr>
        <w:t>，</w:t>
      </w:r>
      <w:r>
        <w:rPr>
          <w:rFonts w:hint="eastAsia" w:ascii="仿宋_GB2312" w:hAnsi="Calibri" w:cs="仿宋_GB2312"/>
          <w:sz w:val="32"/>
          <w:szCs w:val="32"/>
          <w:lang w:val="en-US" w:eastAsia="zh-CN" w:bidi="ar"/>
        </w:rPr>
        <w:t>11个公共体育场馆、84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个</w:t>
      </w:r>
      <w:r>
        <w:rPr>
          <w:rFonts w:hint="eastAsia" w:ascii="仿宋_GB2312" w:hAnsi="Calibri" w:eastAsia="仿宋_GB2312" w:cs="仿宋_GB2312"/>
          <w:sz w:val="32"/>
          <w:szCs w:val="32"/>
          <w:lang w:val="zh-TW" w:eastAsia="zh-CN" w:bidi="ar"/>
        </w:rPr>
        <w:t>社会体育场馆</w:t>
      </w:r>
      <w:r>
        <w:rPr>
          <w:rFonts w:hint="eastAsia" w:ascii="仿宋_GB2312" w:hAnsi="Calibri" w:cs="仿宋_GB2312"/>
          <w:sz w:val="32"/>
          <w:szCs w:val="32"/>
          <w:lang w:val="zh-TW" w:eastAsia="zh-CN" w:bidi="ar"/>
        </w:rPr>
        <w:t>共</w:t>
      </w:r>
      <w:r>
        <w:rPr>
          <w:rFonts w:hint="eastAsia" w:ascii="仿宋_GB2312" w:hAnsi="Calibri" w:cs="仿宋_GB2312"/>
          <w:sz w:val="32"/>
          <w:szCs w:val="32"/>
          <w:lang w:val="en-US" w:eastAsia="zh-CN" w:bidi="ar"/>
        </w:rPr>
        <w:t>826片场地</w:t>
      </w:r>
      <w:r>
        <w:rPr>
          <w:rFonts w:hint="eastAsia" w:ascii="仿宋_GB2312" w:hAnsi="Calibri" w:eastAsia="仿宋_GB2312" w:cs="仿宋_GB2312"/>
          <w:sz w:val="32"/>
          <w:szCs w:val="32"/>
          <w:lang w:val="zh-TW" w:eastAsia="zh-CN" w:bidi="ar"/>
        </w:rPr>
        <w:t>已接入平台，</w:t>
      </w:r>
      <w:r>
        <w:rPr>
          <w:rFonts w:hint="eastAsia" w:ascii="仿宋_GB2312" w:hAnsi="Calibri" w:eastAsia="仿宋_GB2312" w:cs="仿宋_GB2312"/>
          <w:sz w:val="32"/>
          <w:szCs w:val="32"/>
          <w:lang w:val="en-US" w:eastAsia="zh-CN" w:bidi="ar"/>
        </w:rPr>
        <w:t>涵盖了足球、羽毛球、篮球、网球、游泳等热门运动项目，让辖区居民更快速、更便捷参加体育活动，切实为老百姓打造“家门口的健身圈”。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val="en-US" w:eastAsia="zh-CN"/>
        </w:rPr>
        <w:t>五是积极推进体育设施进公园。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全力推进公园跑步道缓步道建设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新增跑步道缓步道1333米，其中菩提公园新增205米（EPDM跑道）；地铁轨道交通3、6号线复绿项目新增1128米。大力提升市政公园全民健身功能，结合辖区实际，在福田区大型市政公园投入了大量健身设施，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在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莲花山公园和中心公园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建设室外智能健身设施，深受市民喜爱。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莲花山公园和中心公园</w:t>
      </w:r>
      <w:r>
        <w:rPr>
          <w:rFonts w:hint="eastAsia" w:ascii="仿宋_GB2312" w:hAnsi="仿宋_GB2312" w:cs="仿宋_GB2312"/>
          <w:color w:val="000000"/>
          <w:sz w:val="32"/>
          <w:szCs w:val="32"/>
          <w:lang w:eastAsia="zh-CN"/>
        </w:rPr>
        <w:t>各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1套智能健身路径；在人流量较大的笔架山公园、荔枝公园、梅林山公园和皇岗公园各建设1套智能健身路径，现已陆续进场开工。</w:t>
      </w:r>
    </w:p>
    <w:p>
      <w:pPr>
        <w:pStyle w:val="8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二、下一步工作思路</w:t>
      </w:r>
    </w:p>
    <w:p>
      <w:pPr>
        <w:pStyle w:val="14"/>
        <w:spacing w:line="560" w:lineRule="exact"/>
        <w:ind w:firstLine="643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/>
          <w:b/>
          <w:sz w:val="32"/>
          <w:szCs w:val="32"/>
          <w:lang w:eastAsia="zh-CN"/>
        </w:rPr>
        <w:t>一</w:t>
      </w:r>
      <w:r>
        <w:rPr>
          <w:rFonts w:hint="eastAsia" w:ascii="仿宋_GB2312" w:eastAsia="仿宋_GB2312"/>
          <w:b/>
          <w:sz w:val="32"/>
          <w:szCs w:val="32"/>
        </w:rPr>
        <w:t>是</w:t>
      </w:r>
      <w:r>
        <w:rPr>
          <w:rFonts w:hint="eastAsia" w:ascii="仿宋_GB2312"/>
          <w:b/>
          <w:sz w:val="32"/>
          <w:szCs w:val="32"/>
          <w:lang w:eastAsia="zh-CN"/>
        </w:rPr>
        <w:t>开拓现有楼宇</w:t>
      </w:r>
      <w:r>
        <w:rPr>
          <w:rFonts w:hint="eastAsia" w:ascii="仿宋_GB2312" w:eastAsia="仿宋_GB2312"/>
          <w:b/>
          <w:sz w:val="32"/>
          <w:szCs w:val="32"/>
        </w:rPr>
        <w:t>闲置空间。</w:t>
      </w:r>
      <w:r>
        <w:rPr>
          <w:rFonts w:hint="eastAsia" w:ascii="仿宋_GB2312" w:eastAsia="仿宋_GB2312"/>
          <w:sz w:val="32"/>
          <w:szCs w:val="32"/>
        </w:rPr>
        <w:t>充分利用各类楼宇闲置空间，通过整合社会资源，吸引社会资本，鼓励社会力量参与楼宇共享健身空间的开发建设，通过打造主体多元、各具特色、共建共享、智能智慧的都市运动健身空间，进一步提升全民健身的活力，激发全民健身热情，引导辖区居民树立“体育生活化，生活体育化”的理念。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eastAsia="zh-CN"/>
        </w:rPr>
        <w:t>二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搭建都市型商圈共享健身网络。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在各大商圈、大型购物商场的广场、边角地带等空间布置一批自助型、智能化的都市型共享健身舱，从而满足市民群众日常碎片化的健身需求，促进全民健身场地建设向多维发展，进一步推广全民健身运动的向纵深发展。鼓励社会力量参与建设管理，以社会资本投资建设、社会捐赠等多元化模式，推动都市型商圈共享健身网络建设。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eastAsia="zh-CN"/>
        </w:rPr>
        <w:t>三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  <w:lang w:eastAsia="zh-CN"/>
        </w:rPr>
        <w:t>是</w:t>
      </w:r>
      <w:r>
        <w:rPr>
          <w:rFonts w:hint="eastAsia" w:ascii="仿宋_GB2312" w:hAnsi="仿宋_GB2312" w:eastAsia="仿宋_GB2312" w:cs="仿宋_GB2312"/>
          <w:b/>
          <w:bCs/>
          <w:color w:val="000000"/>
          <w:sz w:val="32"/>
          <w:szCs w:val="32"/>
        </w:rPr>
        <w:t>提升健身设施智能化水平。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面向都市型人群为宗旨，加快街道、社区的全民健身设施建智能化升级。积极推动社区运动场地设施智慧化改造和室外健身设施智能化提升，提高智慧化、便民化服务水平，精准满足不同时段不同人群社区运动场地设施需求。</w:t>
      </w:r>
    </w:p>
    <w:p>
      <w:pPr>
        <w:spacing w:line="560" w:lineRule="exact"/>
        <w:ind w:firstLine="642" w:firstLineChars="20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cs="仿宋_GB2312"/>
          <w:b/>
          <w:bCs/>
          <w:color w:val="000000"/>
          <w:sz w:val="32"/>
          <w:szCs w:val="32"/>
          <w:lang w:eastAsia="zh-CN"/>
        </w:rPr>
        <w:t>四是充分利用地铁复绿空间。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以地铁复绿为契机，在轨道交通10号线绿化恢复工程中建设大型运动场地3800平方米，配置大小型儿童游乐设施10处，健身设施15处等；轨道交通3、6号线复绿工程拟设置健身场地4处共360平方米，极限运动场地1处453平方米，预计2023年底完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645"/>
        <w:textAlignment w:val="auto"/>
        <w:outlineLvl w:val="9"/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再次感谢您对福田文化体育事业的关心和支持，希望您能一如既往地予以关注和支持，多提宝贵意见和建议。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4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48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48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小标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2"/>
        <w:rFonts w:hint="eastAsia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-68580</wp:posOffset>
              </wp:positionV>
              <wp:extent cx="5943600" cy="635"/>
              <wp:effectExtent l="0" t="25400" r="0" b="31115"/>
              <wp:wrapNone/>
              <wp:docPr id="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508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接连接符 22" o:spid="_x0000_s1026" o:spt="20" style="position:absolute;left:0pt;margin-top:-5.4pt;height:0.05pt;width:468pt;mso-position-horizontal:center;z-index:251659264;mso-width-relative:page;mso-height-relative:page;" filled="f" stroked="t" coordsize="21600,21600" o:gfxdata="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F17NjtYAAAAIAQAADwAAAAAAAAABACAAAAA4AAAAZHJzL2Rvd25yZXYueG1s&#10;UEsBAhQAFAAAAAgAh07iQHXpqzPkAQAAowMAAA4AAAAAAAAAAQAgAAAAOwEAAGRycy9lMm9Eb2Mu&#10;eG1sUEsFBgAAAAAGAAYAWQEAAJEFAAAAAA==&#10;">
              <v:fill on="f" focussize="0,0"/>
              <v:stroke weight="4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false"/>
  <w:bordersDoNotSurroundFooter w:val="false"/>
  <w:documentProtection w:enforcement="0"/>
  <w:defaultTabStop w:val="420"/>
  <w:drawingGridVerticalSpacing w:val="22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A00284"/>
    <w:rsid w:val="0B0178E5"/>
    <w:rsid w:val="0DC91566"/>
    <w:rsid w:val="104B2A87"/>
    <w:rsid w:val="11F95925"/>
    <w:rsid w:val="1537313B"/>
    <w:rsid w:val="15622CAE"/>
    <w:rsid w:val="21F93EE2"/>
    <w:rsid w:val="21FA4253"/>
    <w:rsid w:val="24B33883"/>
    <w:rsid w:val="27872A25"/>
    <w:rsid w:val="281C6C20"/>
    <w:rsid w:val="2ABB3E32"/>
    <w:rsid w:val="2B5D4914"/>
    <w:rsid w:val="2B9221B7"/>
    <w:rsid w:val="2BED1C5F"/>
    <w:rsid w:val="2F5519B8"/>
    <w:rsid w:val="31DA445F"/>
    <w:rsid w:val="37117EE7"/>
    <w:rsid w:val="3F096D13"/>
    <w:rsid w:val="41D21724"/>
    <w:rsid w:val="4BDA2011"/>
    <w:rsid w:val="4C9606CE"/>
    <w:rsid w:val="50FB0903"/>
    <w:rsid w:val="545E151B"/>
    <w:rsid w:val="57C25DA3"/>
    <w:rsid w:val="593228C1"/>
    <w:rsid w:val="5A7D011F"/>
    <w:rsid w:val="5A8D3CB7"/>
    <w:rsid w:val="5F0379EA"/>
    <w:rsid w:val="5FAF7648"/>
    <w:rsid w:val="67F215F3"/>
    <w:rsid w:val="694E476B"/>
    <w:rsid w:val="6E5F74EA"/>
    <w:rsid w:val="6FF7856A"/>
    <w:rsid w:val="77426DCF"/>
    <w:rsid w:val="77FA796C"/>
    <w:rsid w:val="7A1036EA"/>
    <w:rsid w:val="7A117664"/>
    <w:rsid w:val="CFEFDD7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10">
    <w:name w:val="Default Paragraph Font"/>
    <w:link w:val="11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next w:val="1"/>
    <w:unhideWhenUsed/>
    <w:qFormat/>
    <w:uiPriority w:val="99"/>
    <w:pPr>
      <w:spacing w:after="120"/>
      <w:ind w:firstLine="420" w:firstLineChars="100"/>
    </w:pPr>
    <w:rPr>
      <w:rFonts w:ascii="Calibri" w:hAnsi="Calibri"/>
    </w:rPr>
  </w:style>
  <w:style w:type="paragraph" w:styleId="3">
    <w:name w:val="Body Text"/>
    <w:basedOn w:val="1"/>
    <w:next w:val="1"/>
    <w:qFormat/>
    <w:uiPriority w:val="0"/>
    <w:pPr>
      <w:jc w:val="center"/>
    </w:pPr>
    <w:rPr>
      <w:rFonts w:ascii="宋体"/>
      <w:sz w:val="44"/>
    </w:rPr>
  </w:style>
  <w:style w:type="paragraph" w:styleId="4">
    <w:name w:val="Normal Indent"/>
    <w:basedOn w:val="1"/>
    <w:next w:val="1"/>
    <w:qFormat/>
    <w:uiPriority w:val="99"/>
    <w:pPr>
      <w:ind w:firstLine="640" w:firstLineChars="200"/>
    </w:pPr>
    <w:rPr>
      <w:kern w:val="32"/>
      <w:szCs w:val="32"/>
    </w:rPr>
  </w:style>
  <w:style w:type="paragraph" w:styleId="5">
    <w:name w:val="Body Text Indent"/>
    <w:basedOn w:val="1"/>
    <w:qFormat/>
    <w:uiPriority w:val="0"/>
    <w:pPr>
      <w:widowControl w:val="0"/>
      <w:spacing w:line="360" w:lineRule="auto"/>
      <w:ind w:firstLine="538" w:firstLineChars="192"/>
      <w:jc w:val="both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 2"/>
    <w:basedOn w:val="5"/>
    <w:qFormat/>
    <w:uiPriority w:val="0"/>
    <w:pPr>
      <w:widowControl w:val="0"/>
      <w:spacing w:line="360" w:lineRule="auto"/>
      <w:ind w:firstLine="420" w:firstLineChars="192"/>
      <w:jc w:val="both"/>
    </w:pPr>
    <w:rPr>
      <w:rFonts w:cs="Times New Roman"/>
      <w:color w:val="auto"/>
      <w:sz w:val="21"/>
    </w:rPr>
  </w:style>
  <w:style w:type="paragraph" w:customStyle="1" w:styleId="11">
    <w:name w:val="默认段落字体 Para Char Char"/>
    <w:basedOn w:val="1"/>
    <w:link w:val="10"/>
    <w:qFormat/>
    <w:uiPriority w:val="0"/>
  </w:style>
  <w:style w:type="character" w:styleId="12">
    <w:name w:val="page number"/>
    <w:basedOn w:val="10"/>
    <w:qFormat/>
    <w:uiPriority w:val="0"/>
  </w:style>
  <w:style w:type="paragraph" w:customStyle="1" w:styleId="13">
    <w:name w:val="msolistparagraph"/>
    <w:basedOn w:val="1"/>
    <w:qFormat/>
    <w:uiPriority w:val="0"/>
    <w:pPr>
      <w:ind w:firstLine="420" w:firstLineChars="200"/>
    </w:pPr>
    <w:rPr>
      <w:rFonts w:hint="eastAsia" w:ascii="仿宋_GB2312" w:hAnsi="Times New Roman" w:eastAsia="仿宋_GB2312" w:cs="Times New Roman"/>
      <w:sz w:val="32"/>
      <w:szCs w:val="32"/>
    </w:rPr>
  </w:style>
  <w:style w:type="paragraph" w:customStyle="1" w:styleId="14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2014-10-30T04:08:00Z</dcterms:created>
  <dc:creator>ZXQ</dc:creator>
  <cp:lastModifiedBy>zengxin1</cp:lastModifiedBy>
  <cp:lastPrinted>2020-07-01T18:46:00Z</cp:lastPrinted>
  <dcterms:modified xsi:type="dcterms:W3CDTF">2022-11-25T09:59:03Z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</Properties>
</file>