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left="-64" w:leftChars="-20"/>
        <w:jc w:val="center"/>
        <w:textAlignment w:val="auto"/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</w:pP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</w:rPr>
        <w:t>深圳市福田区</w:t>
      </w:r>
      <w:r>
        <w:rPr>
          <w:rFonts w:hint="eastAsia" w:ascii="新宋体" w:hAnsi="新宋体" w:eastAsia="新宋体" w:cs="新宋体"/>
          <w:b/>
          <w:bCs/>
          <w:color w:val="FF0000"/>
          <w:spacing w:val="0"/>
          <w:w w:val="100"/>
          <w:kern w:val="40"/>
          <w:sz w:val="58"/>
          <w:szCs w:val="58"/>
          <w:lang w:eastAsia="zh-CN"/>
        </w:rPr>
        <w:t>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ascii="Times New Roman" w:hAnsi="Times New Roman" w:eastAsia="仿宋_GB2312" w:cs="Times New Roman"/>
          <w:color w:val="FF0000"/>
          <w:kern w:val="2"/>
          <w:sz w:val="32"/>
          <w:szCs w:val="32"/>
          <w:lang w:val="en-US" w:eastAsia="zh-CN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82550</wp:posOffset>
                </wp:positionV>
                <wp:extent cx="5943600" cy="635"/>
                <wp:effectExtent l="0" t="28575" r="0" b="4699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43600" cy="635"/>
                        </a:xfrm>
                        <a:prstGeom prst="line">
                          <a:avLst/>
                        </a:prstGeom>
                        <a:ln w="57150" cap="flat" cmpd="thickThin">
                          <a:solidFill>
                            <a:srgbClr val="FF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-9pt;margin-top:6.5pt;height:0.05pt;width:468pt;z-index:251659264;mso-width-relative:page;mso-height-relative:page;" filled="f" stroked="t" coordsize="21600,21600" o:gfxdata="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M1Cj+vSAAAACQEAAA8AAAAAAAAAAQAgAAAAOAAAAGRycy9kb3ducmV2LnhtbFBLAQIU&#10;ABQAAAAIAIdO4kAgUUXF4wEAAKIDAAAOAAAAAAAAAAEAIAAAADcBAABkcnMvZTJvRG9jLnhtbFBL&#10;BQYAAAAABgAGAFkBAACMBQAAAAA=&#10;">
                <v:fill on="f" focussize="0,0"/>
                <v:stroke weight="4.5pt" color="#FF0000" linestyle="thickThin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政协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提案《</w:t>
      </w: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关于进一步加强社会体育场馆急救配套和培训的建议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》（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第2022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0217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号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回复意见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/>
        <w:textAlignment w:val="auto"/>
        <w:rPr>
          <w:rFonts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尊敬的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陈建荣</w:t>
      </w:r>
      <w:r>
        <w:rPr>
          <w:rFonts w:hint="eastAsia" w:ascii="仿宋" w:hAnsi="仿宋" w:eastAsia="仿宋" w:cs="仿宋"/>
          <w:b w:val="0"/>
          <w:sz w:val="32"/>
          <w:szCs w:val="28"/>
          <w:lang w:val="en-US" w:eastAsia="zh-CN"/>
        </w:rPr>
        <w:t>委员</w:t>
      </w:r>
      <w:r>
        <w:rPr>
          <w:rFonts w:hint="eastAsia" w:ascii="仿宋_GB2312" w:eastAsia="仿宋_GB2312"/>
          <w:sz w:val="32"/>
          <w:szCs w:val="32"/>
          <w:highlight w:val="none"/>
        </w:rPr>
        <w:t xml:space="preserve">：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textAlignment w:val="auto"/>
        <w:rPr>
          <w:rFonts w:hint="eastAsia" w:ascii="仿宋_GB2312" w:eastAsia="仿宋_GB2312"/>
          <w:sz w:val="32"/>
          <w:szCs w:val="32"/>
          <w:highlight w:val="none"/>
        </w:rPr>
      </w:pPr>
      <w:r>
        <w:rPr>
          <w:rFonts w:hint="eastAsia" w:ascii="仿宋_GB2312" w:eastAsia="仿宋_GB2312"/>
          <w:sz w:val="32"/>
          <w:szCs w:val="32"/>
          <w:highlight w:val="none"/>
        </w:rPr>
        <w:t>您好！您在区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政协六</w:t>
      </w:r>
      <w:r>
        <w:rPr>
          <w:rFonts w:hint="eastAsia" w:ascii="仿宋_GB2312" w:eastAsia="仿宋_GB2312"/>
          <w:sz w:val="32"/>
          <w:szCs w:val="32"/>
          <w:highlight w:val="none"/>
        </w:rPr>
        <w:t>届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二</w:t>
      </w:r>
      <w:r>
        <w:rPr>
          <w:rFonts w:hint="eastAsia" w:ascii="仿宋_GB2312" w:eastAsia="仿宋_GB2312"/>
          <w:sz w:val="32"/>
          <w:szCs w:val="32"/>
          <w:highlight w:val="none"/>
        </w:rPr>
        <w:t>次会议</w:t>
      </w:r>
      <w:r>
        <w:rPr>
          <w:rFonts w:hint="eastAsia" w:ascii="仿宋_GB2312"/>
          <w:sz w:val="32"/>
          <w:szCs w:val="32"/>
          <w:highlight w:val="none"/>
          <w:lang w:eastAsia="zh-CN"/>
        </w:rPr>
        <w:t>上</w:t>
      </w:r>
      <w:r>
        <w:rPr>
          <w:rFonts w:hint="eastAsia" w:ascii="仿宋_GB2312"/>
          <w:sz w:val="32"/>
          <w:szCs w:val="32"/>
          <w:highlight w:val="none"/>
          <w:lang w:val="en-US" w:eastAsia="zh-CN"/>
        </w:rPr>
        <w:t>提出的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关于进一步加强社会体育场馆急救配套和培训的建议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eastAsia="仿宋_GB2312" w:cs="仿宋_GB2312"/>
          <w:sz w:val="32"/>
          <w:szCs w:val="32"/>
        </w:rPr>
        <w:t>第2022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0217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sz w:val="32"/>
          <w:szCs w:val="32"/>
          <w:highlight w:val="none"/>
        </w:rPr>
        <w:t>已收悉。首先感谢您对福田区文化体育工作的关心和重视，所提</w:t>
      </w:r>
      <w:r>
        <w:rPr>
          <w:rFonts w:hint="eastAsia" w:ascii="仿宋_GB2312"/>
          <w:sz w:val="32"/>
          <w:szCs w:val="32"/>
          <w:highlight w:val="none"/>
          <w:lang w:eastAsia="zh-CN"/>
        </w:rPr>
        <w:t>建议</w:t>
      </w:r>
      <w:r>
        <w:rPr>
          <w:rFonts w:hint="eastAsia" w:ascii="仿宋_GB2312" w:eastAsia="仿宋_GB2312"/>
          <w:sz w:val="32"/>
          <w:szCs w:val="32"/>
          <w:highlight w:val="none"/>
        </w:rPr>
        <w:t>对我单位具有重要的参考价值和指导意义</w:t>
      </w:r>
      <w:r>
        <w:rPr>
          <w:rFonts w:hint="eastAsia" w:ascii="仿宋_GB2312" w:eastAsia="仿宋_GB2312"/>
          <w:sz w:val="32"/>
          <w:szCs w:val="32"/>
          <w:highlight w:val="none"/>
          <w:lang w:eastAsia="zh-CN"/>
        </w:rPr>
        <w:t>。</w:t>
      </w:r>
      <w:r>
        <w:rPr>
          <w:rFonts w:hint="eastAsia" w:ascii="仿宋_GB2312" w:eastAsia="仿宋_GB2312"/>
          <w:sz w:val="32"/>
          <w:szCs w:val="32"/>
          <w:highlight w:val="none"/>
        </w:rPr>
        <w:t>经研究，结合实际情况，现将办理情况答复如下：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420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一、主要做法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我局历来高度重视体育场馆的安全保障体系建设，AED 是提高心源性猝死存活率的重要手段，在公共场所安装AED是城市人文关怀和重视民生最直接和现实的体现，加大AED在体育场馆的配置力度，对于提高人民群众的生命安全保障能力和生活质量、提升大型活动的应急救护保障能力具有重要意义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420"/>
        <w:jc w:val="left"/>
        <w:textAlignment w:val="auto"/>
        <w:rPr>
          <w:rFonts w:hint="default" w:ascii="楷体_GB2312" w:hAnsi="楷体_GB2312" w:eastAsia="楷体_GB2312" w:cs="楷体_GB2312"/>
          <w:i w:val="0"/>
          <w:caps w:val="0"/>
          <w:spacing w:val="0"/>
          <w:sz w:val="32"/>
          <w:szCs w:val="32"/>
          <w:lang w:val="en-US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（一）积极推动AED配置工作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经过摸排，目前区属9个公共体育场馆均已配备AED，社会体育场馆由于规模大小不一等原因，大部分仍未配备AED。</w:t>
      </w:r>
      <w:r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为打造“平安深圳”，进一步提升城市应急救援能力，完善福田区医疗急救服务体系，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2021年10月，区卫健局启动“福田区公共场所配置项目”，拟在福田区公共场所铺设1300台AED，该项目总投资预算2746万元。目前，已基本完成需求摸排工作，</w:t>
      </w: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按照“能配尽配”原则，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全区的社会体育场馆均已纳入本项目的布局整体规划。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今年5月份，我局积极与卫健部门沟通，申请了52台AED，并优先为我区“一网统管、一键预约”平台的社会体育场馆进行配备，确保“一网统管、一键预约”平台的社会体育场馆全覆盖。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left="0" w:right="0" w:firstLine="420"/>
        <w:jc w:val="left"/>
        <w:textAlignment w:val="auto"/>
        <w:rPr>
          <w:rFonts w:hint="default" w:ascii="楷体_GB2312" w:hAnsi="楷体_GB2312" w:eastAsia="楷体_GB2312" w:cs="楷体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sz w:val="32"/>
          <w:szCs w:val="32"/>
          <w:lang w:val="en-US" w:eastAsia="zh-CN"/>
        </w:rPr>
        <w:t>（二）积极开展AED使用培训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在做好设备配备的同时，还为同步</w:t>
      </w: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为社会体育场馆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配套开展AED使用培训及应急救护知识宣传普及活动。一是在</w:t>
      </w: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社会体育场馆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滚动播放宣传学习视频，提升</w:t>
      </w: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场馆工作人员和在场锻炼市民对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AED</w:t>
      </w: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的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知晓率。通过电视、广播、网络等各类新媒体途径，开展AED和急救技能公益宣传，分享视频讲座，探索开发网络线上培训课程，通过多种途径加大推广宣传力度，提高全民急救理念和意识。二是在全区体育场馆，根据AED安装分布情况以1:10的比例广泛开展培训，提供统一化、标准化、规范化的急救培训服务，并颁发初级救护员证，广泛普及应急救护知识，增强体育场馆工作人员的急救、自救素养和能力，进一步保障人民群众生命健康安全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黑体" w:hAnsi="黑体" w:eastAsia="黑体" w:cs="黑体"/>
          <w:i w:val="0"/>
          <w:caps w:val="0"/>
          <w:spacing w:val="0"/>
          <w:sz w:val="32"/>
          <w:szCs w:val="32"/>
        </w:rPr>
      </w:pPr>
      <w:r>
        <w:rPr>
          <w:rFonts w:hint="eastAsia" w:ascii="黑体" w:hAnsi="黑体" w:eastAsia="黑体" w:cs="黑体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二、下一步工作思路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在</w:t>
      </w: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社会体育场馆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普及AED，需要多部门的</w:t>
      </w: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协同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配合，需要在资金等方面的投入，更需要政策、法规等方面的有效保障。为此，我们将努力做好以下工作：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一是积极与卫健部门</w:t>
      </w: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、财政部门</w:t>
      </w:r>
      <w:r>
        <w:rPr>
          <w:rFonts w:hint="eastAsia" w:ascii="仿宋_GB2312" w:hAnsi="仿宋_GB2312" w:eastAsia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沟通协调，建立协同机制，将社会体育场馆配备AED工作纳入每年的年度工作计划</w:t>
      </w: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，制定AED配置、管理、使用等相关制度。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二是鼓励更多的社会体育场馆接入“一网统管、一键预约”平台，通过平台实现纳管，并依托平台主动开展AED配备工作，做到上线一家，配备一家，一家不漏。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三是积极协调市急救中心为社会体育场馆工作人员提供线上、线下培训，通过系统专业培训，使工作人员熟练掌握心肺复苏、AED使用管理等知识和技能；向社会体育场馆提供相关教学视频，鼓励社会体育场馆定期组织学习培训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default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四是利用LED、公告栏等重要宣传途径，在社会体育场馆做好AED常识宣传工作。在开展群众体育赛事活动等重要大型赛事现场，加大AED常识的普及，增强广大市民群众的急救常识，努力营造“人人学急救，急救为人人”的良好氛围。</w:t>
      </w:r>
    </w:p>
    <w:p>
      <w:pPr>
        <w:keepNext w:val="0"/>
        <w:keepLines w:val="0"/>
        <w:pageBreakBefore w:val="0"/>
        <w:widowControl/>
        <w:suppressLineNumbers w:val="0"/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60" w:lineRule="exact"/>
        <w:ind w:right="0" w:firstLine="640" w:firstLineChars="200"/>
        <w:jc w:val="left"/>
        <w:textAlignment w:val="auto"/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仿宋_GB2312" w:hAnsi="仿宋_GB2312" w:cs="仿宋_GB2312"/>
          <w:i w:val="0"/>
          <w:caps w:val="0"/>
          <w:spacing w:val="0"/>
          <w:kern w:val="0"/>
          <w:sz w:val="32"/>
          <w:szCs w:val="32"/>
          <w:shd w:val="clear" w:fill="FFFFFF"/>
          <w:lang w:val="en-US" w:eastAsia="zh-CN" w:bidi="ar"/>
        </w:rPr>
        <w:t>再次感谢您对福田文化体育事业的关心和支持，希望您能一如既往地予以关注和支持，多提宝贵意见和建议。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hint="eastAsia" w:ascii="仿宋_GB2312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right"/>
        <w:textAlignment w:val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福田区文化广电旅游体育局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480" w:firstLine="640" w:firstLineChars="200"/>
        <w:jc w:val="righ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_GB2312" w:eastAsia="仿宋_GB2312"/>
          <w:sz w:val="32"/>
          <w:szCs w:val="32"/>
        </w:rPr>
        <w:t>20</w:t>
      </w:r>
      <w:r>
        <w:rPr>
          <w:rFonts w:hint="eastAsia" w:ascii="仿宋_GB2312"/>
          <w:sz w:val="32"/>
          <w:szCs w:val="32"/>
          <w:lang w:val="en-US" w:eastAsia="zh-CN"/>
        </w:rPr>
        <w:t>22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/>
          <w:sz w:val="32"/>
          <w:szCs w:val="32"/>
          <w:lang w:val="en-US" w:eastAsia="zh-CN"/>
        </w:rPr>
        <w:t>9</w:t>
      </w:r>
      <w:r>
        <w:rPr>
          <w:rFonts w:hint="eastAsia" w:ascii="仿宋_GB2312" w:eastAsia="仿宋_GB2312"/>
          <w:sz w:val="32"/>
          <w:szCs w:val="32"/>
        </w:rPr>
        <w:t>月</w:t>
      </w:r>
      <w:r>
        <w:rPr>
          <w:rFonts w:hint="eastAsia" w:ascii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日</w:t>
      </w:r>
      <w:bookmarkStart w:id="0" w:name="_GoBack"/>
      <w:bookmarkEnd w:id="0"/>
    </w:p>
    <w:sectPr>
      <w:headerReference r:id="rId4" w:type="first"/>
      <w:footerReference r:id="rId6" w:type="first"/>
      <w:headerReference r:id="rId3" w:type="default"/>
      <w:footerReference r:id="rId5" w:type="default"/>
      <w:pgSz w:w="11906" w:h="16838"/>
      <w:pgMar w:top="2098" w:right="1474" w:bottom="1984" w:left="1587" w:header="851" w:footer="992" w:gutter="0"/>
      <w:cols w:space="0" w:num="1"/>
      <w:titlePg/>
      <w:rtlGutter w:val="0"/>
      <w:docGrid w:type="lines" w:linePitch="45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Nimbus Roman No9 L"/>
    <w:panose1 w:val="02020603050405020304"/>
    <w:charset w:val="86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2010600030101010101"/>
    <w:charset w:val="7A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新宋体">
    <w:altName w:val="方正书宋_GBK"/>
    <w:panose1 w:val="02010609030101010101"/>
    <w:charset w:val="86"/>
    <w:family w:val="auto"/>
    <w:pitch w:val="default"/>
    <w:sig w:usb0="00000000" w:usb1="00000000" w:usb2="00000006" w:usb3="00000000" w:csb0="00040001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framePr w:wrap="around" w:vAnchor="text" w:hAnchor="margin" w:xAlign="center" w:y="1"/>
      <w:rPr>
        <w:rStyle w:val="11"/>
        <w:rFonts w:hint="eastAsia"/>
      </w:rPr>
    </w:pPr>
  </w:p>
  <w:p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rFonts w:ascii="Times New Roman" w:hAnsi="Times New Roman" w:eastAsia="仿宋_GB2312" w:cs="Times New Roman"/>
        <w:kern w:val="2"/>
        <w:sz w:val="18"/>
        <w:szCs w:val="18"/>
        <w:lang w:val="en-US" w:eastAsia="zh-CN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align>center</wp:align>
              </wp:positionH>
              <wp:positionV relativeFrom="paragraph">
                <wp:posOffset>-68580</wp:posOffset>
              </wp:positionV>
              <wp:extent cx="5943600" cy="635"/>
              <wp:effectExtent l="0" t="25400" r="0" b="31115"/>
              <wp:wrapNone/>
              <wp:docPr id="2" name="直接连接符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43600" cy="635"/>
                      </a:xfrm>
                      <a:prstGeom prst="line">
                        <a:avLst/>
                      </a:prstGeom>
                      <a:ln w="50800" cap="flat" cmpd="thinThick">
                        <a:solidFill>
                          <a:srgbClr val="FF0000"/>
                        </a:solidFill>
                        <a:prstDash val="solid"/>
                        <a:headEnd type="none" w="med" len="med"/>
                        <a:tailEnd type="none" w="med" len="med"/>
                      </a:ln>
                    </wps:spPr>
                    <wps:bodyPr upright="true"/>
                  </wps:wsp>
                </a:graphicData>
              </a:graphic>
            </wp:anchor>
          </w:drawing>
        </mc:Choice>
        <mc:Fallback>
          <w:pict>
            <v:line id="直接连接符 22" o:spid="_x0000_s1026" o:spt="20" style="position:absolute;left:0pt;margin-top:-5.4pt;height:0.05pt;width:468pt;mso-position-horizontal:center;z-index:251659264;mso-width-relative:page;mso-height-relative:page;" filled="f" stroked="t" coordsize="21600,21600" o:gfxdata="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">
              <v:fill on="f" focussize="0,0"/>
              <v:stroke weight="4pt" color="#FF0000" linestyle="thinThick" joinstyle="round"/>
              <v:imagedata o:title=""/>
              <o:lock v:ext="edit" aspectratio="f"/>
            </v:lin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1"/>
  <w:bordersDoNotSurroundHeader w:val="false"/>
  <w:bordersDoNotSurroundFooter w:val="false"/>
  <w:documentProtection w:enforcement="0"/>
  <w:defaultTabStop w:val="420"/>
  <w:drawingGridVerticalSpacing w:val="228"/>
  <w:displayHorizontalDrawingGridEvery w:val="1"/>
  <w:displayVerticalDrawingGridEvery w:val="1"/>
  <w:noPunctuationKerning w:val="true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E3MjY1YTU2YmViM2NmN2I2ZTFiYzA3ZmM2MTVmZjAifQ=="/>
  </w:docVars>
  <w:rsids>
    <w:rsidRoot w:val="00000000"/>
    <w:rsid w:val="00A00284"/>
    <w:rsid w:val="0B0178E5"/>
    <w:rsid w:val="0B547F42"/>
    <w:rsid w:val="0CAF3753"/>
    <w:rsid w:val="0DC91566"/>
    <w:rsid w:val="104B2A87"/>
    <w:rsid w:val="11F95925"/>
    <w:rsid w:val="13A8219E"/>
    <w:rsid w:val="1537313B"/>
    <w:rsid w:val="15622CAE"/>
    <w:rsid w:val="1BCB2964"/>
    <w:rsid w:val="1D7B7CDC"/>
    <w:rsid w:val="21F93EE2"/>
    <w:rsid w:val="21FA4253"/>
    <w:rsid w:val="24B33883"/>
    <w:rsid w:val="27872A25"/>
    <w:rsid w:val="281C6C20"/>
    <w:rsid w:val="29887569"/>
    <w:rsid w:val="2ABB3E32"/>
    <w:rsid w:val="2B9221B7"/>
    <w:rsid w:val="2BED1C5F"/>
    <w:rsid w:val="31DA445F"/>
    <w:rsid w:val="33CF76E5"/>
    <w:rsid w:val="347D17A0"/>
    <w:rsid w:val="36F56D20"/>
    <w:rsid w:val="37117EE7"/>
    <w:rsid w:val="3F096D13"/>
    <w:rsid w:val="41D21724"/>
    <w:rsid w:val="489E0875"/>
    <w:rsid w:val="49663873"/>
    <w:rsid w:val="4AE85D87"/>
    <w:rsid w:val="4BDA2011"/>
    <w:rsid w:val="4C9606CE"/>
    <w:rsid w:val="50FB0903"/>
    <w:rsid w:val="511F71A0"/>
    <w:rsid w:val="545E151B"/>
    <w:rsid w:val="57C25DA3"/>
    <w:rsid w:val="593228C1"/>
    <w:rsid w:val="5A8D3CB7"/>
    <w:rsid w:val="5F0379EA"/>
    <w:rsid w:val="5FAF7648"/>
    <w:rsid w:val="5FB5DFDE"/>
    <w:rsid w:val="67F215F3"/>
    <w:rsid w:val="682D37E4"/>
    <w:rsid w:val="690871FA"/>
    <w:rsid w:val="694E476B"/>
    <w:rsid w:val="6E5F74EA"/>
    <w:rsid w:val="77426DCF"/>
    <w:rsid w:val="77FA796C"/>
    <w:rsid w:val="785D7126"/>
    <w:rsid w:val="7A1036EA"/>
    <w:rsid w:val="7D7C54FE"/>
    <w:rsid w:val="7F3D5C85"/>
    <w:rsid w:val="FE3E8C4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="t" stroke="t">
      <v:fill type="gradient" on="t" angle="90" focussize="0f,0f" focusposition="0f,0f">
        <o:fill type="gradientUnscaled" v:ext="backwardCompatible"/>
      </v:fill>
      <v:stroke weight="1.25pt" color="#739CC3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9">
    <w:name w:val="Default Paragraph Font"/>
    <w:link w:val="10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widowControl w:val="0"/>
      <w:spacing w:line="360" w:lineRule="auto"/>
      <w:ind w:firstLine="420" w:firstLineChars="192"/>
      <w:jc w:val="both"/>
    </w:pPr>
    <w:rPr>
      <w:rFonts w:cs="Times New Roman"/>
      <w:color w:val="auto"/>
      <w:sz w:val="21"/>
    </w:rPr>
  </w:style>
  <w:style w:type="paragraph" w:styleId="3">
    <w:name w:val="Body Text Indent"/>
    <w:basedOn w:val="1"/>
    <w:qFormat/>
    <w:uiPriority w:val="0"/>
    <w:pPr>
      <w:widowControl w:val="0"/>
      <w:spacing w:line="360" w:lineRule="auto"/>
      <w:ind w:firstLine="538" w:firstLineChars="192"/>
      <w:jc w:val="both"/>
    </w:pPr>
  </w:style>
  <w:style w:type="paragraph" w:styleId="4">
    <w:name w:val="Normal Indent"/>
    <w:basedOn w:val="1"/>
    <w:next w:val="1"/>
    <w:qFormat/>
    <w:uiPriority w:val="99"/>
    <w:pPr>
      <w:ind w:firstLine="640" w:firstLineChars="200"/>
    </w:pPr>
    <w:rPr>
      <w:kern w:val="32"/>
      <w:szCs w:val="32"/>
    </w:rPr>
  </w:style>
  <w:style w:type="paragraph" w:styleId="5">
    <w:name w:val="Body Text"/>
    <w:basedOn w:val="1"/>
    <w:qFormat/>
    <w:uiPriority w:val="0"/>
    <w:pPr>
      <w:jc w:val="center"/>
    </w:pPr>
    <w:rPr>
      <w:rFonts w:ascii="宋体"/>
      <w:sz w:val="44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10">
    <w:name w:val="默认段落字体 Para Char Char"/>
    <w:basedOn w:val="1"/>
    <w:link w:val="9"/>
    <w:qFormat/>
    <w:uiPriority w:val="0"/>
  </w:style>
  <w:style w:type="character" w:styleId="11">
    <w:name w:val="page number"/>
    <w:basedOn w:val="9"/>
    <w:qFormat/>
    <w:uiPriority w:val="0"/>
  </w:style>
  <w:style w:type="paragraph" w:customStyle="1" w:styleId="12">
    <w:name w:val="msolistparagraph"/>
    <w:basedOn w:val="1"/>
    <w:qFormat/>
    <w:uiPriority w:val="0"/>
    <w:pPr>
      <w:ind w:firstLine="420" w:firstLineChars="200"/>
    </w:pPr>
    <w:rPr>
      <w:rFonts w:hint="eastAsia" w:ascii="仿宋_GB2312" w:hAnsi="Times New Roman" w:eastAsia="仿宋_GB2312" w:cs="Times New Roman"/>
      <w:sz w:val="32"/>
      <w:szCs w:val="32"/>
    </w:rPr>
  </w:style>
  <w:style w:type="paragraph" w:customStyle="1" w:styleId="13">
    <w:name w:val="列表段落1"/>
    <w:basedOn w:val="1"/>
    <w:qFormat/>
    <w:uiPriority w:val="0"/>
    <w:pPr>
      <w:ind w:firstLine="420" w:firstLineChars="200"/>
    </w:pPr>
    <w:rPr>
      <w:rFonts w:ascii="Calibri" w:hAnsi="Calibri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1140</Words>
  <Characters>1219</Characters>
  <Lines>0</Lines>
  <Paragraphs>0</Paragraphs>
  <TotalTime>2</TotalTime>
  <ScaleCrop>false</ScaleCrop>
  <LinksUpToDate>false</LinksUpToDate>
  <CharactersWithSpaces>1233</CharactersWithSpaces>
  <Application>WPS Office_11.8.2.10458_F1E327BC-269C-435d-A152-05C5408002CA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2014-10-30T12:08:00Z</dcterms:created>
  <dc:creator>ZXQ</dc:creator>
  <cp:lastModifiedBy>zengxin1</cp:lastModifiedBy>
  <cp:lastPrinted>2020-07-02T02:46:00Z</cp:lastPrinted>
  <dcterms:modified xsi:type="dcterms:W3CDTF">2022-11-25T09:59:15Z</dcterms:modified>
  <dc:title>深圳市福田区文化广电旅游体育局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2052-11.8.2.10458</vt:lpwstr>
  </property>
  <property fmtid="{D5CDD505-2E9C-101B-9397-08002B2CF9AE}" pid="3" name="ICV">
    <vt:lpwstr>D734F7F29968458DA1FAF6F8BEE156D2</vt:lpwstr>
  </property>
</Properties>
</file>