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eastAsia="zh-CN"/>
        </w:rPr>
      </w:pPr>
      <w:r>
        <w:drawing>
          <wp:anchor distT="0" distB="0" distL="114300" distR="114300" simplePos="0" relativeHeight="251659264" behindDoc="0" locked="0" layoutInCell="1" allowOverlap="1">
            <wp:simplePos x="0" y="0"/>
            <wp:positionH relativeFrom="column">
              <wp:posOffset>-1160780</wp:posOffset>
            </wp:positionH>
            <wp:positionV relativeFrom="paragraph">
              <wp:posOffset>-904240</wp:posOffset>
            </wp:positionV>
            <wp:extent cx="7919085" cy="1765935"/>
            <wp:effectExtent l="0" t="0" r="5715" b="571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7919085" cy="1765935"/>
                    </a:xfrm>
                    <a:prstGeom prst="rect">
                      <a:avLst/>
                    </a:prstGeom>
                    <a:noFill/>
                    <a:ln w="9525">
                      <a:noFill/>
                    </a:ln>
                  </pic:spPr>
                </pic:pic>
              </a:graphicData>
            </a:graphic>
          </wp:anchor>
        </w:drawing>
      </w:r>
    </w:p>
    <w:p>
      <w:pPr>
        <w:jc w:val="center"/>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lang w:eastAsia="zh-CN"/>
        </w:rPr>
        <w:t>关于对《</w:t>
      </w:r>
      <w:r>
        <w:rPr>
          <w:rFonts w:hint="eastAsia" w:ascii="方正小标宋_GBK" w:hAnsi="方正小标宋_GBK" w:eastAsia="方正小标宋_GBK" w:cs="方正小标宋_GBK"/>
          <w:bCs/>
          <w:sz w:val="44"/>
          <w:szCs w:val="44"/>
        </w:rPr>
        <w:t>JY 20220551关于畅通数据交易流动，培育数据要素市场的建议</w:t>
      </w:r>
      <w:r>
        <w:rPr>
          <w:rFonts w:hint="eastAsia" w:ascii="方正小标宋_GBK" w:hAnsi="方正小标宋_GBK" w:eastAsia="方正小标宋_GBK" w:cs="方正小标宋_GBK"/>
          <w:bCs/>
          <w:sz w:val="44"/>
          <w:szCs w:val="44"/>
          <w:lang w:eastAsia="zh-CN"/>
        </w:rPr>
        <w:t>》</w:t>
      </w:r>
      <w:r>
        <w:rPr>
          <w:rFonts w:hint="eastAsia" w:ascii="方正小标宋_GBK" w:hAnsi="方正小标宋_GBK" w:eastAsia="方正小标宋_GBK" w:cs="方正小标宋_GBK"/>
          <w:bCs/>
          <w:sz w:val="44"/>
          <w:szCs w:val="44"/>
        </w:rPr>
        <w:t>的</w:t>
      </w:r>
      <w:r>
        <w:rPr>
          <w:rFonts w:hint="eastAsia" w:ascii="方正小标宋_GBK" w:hAnsi="方正小标宋_GBK" w:eastAsia="方正小标宋_GBK" w:cs="方正小标宋_GBK"/>
          <w:bCs/>
          <w:sz w:val="44"/>
          <w:szCs w:val="44"/>
          <w:lang w:eastAsia="zh-CN"/>
        </w:rPr>
        <w:t>情况</w:t>
      </w:r>
      <w:r>
        <w:rPr>
          <w:rFonts w:hint="eastAsia" w:ascii="方正小标宋_GBK" w:hAnsi="方正小标宋_GBK" w:eastAsia="方正小标宋_GBK" w:cs="方正小标宋_GBK"/>
          <w:bCs/>
          <w:sz w:val="44"/>
          <w:szCs w:val="44"/>
        </w:rPr>
        <w:t>回复</w:t>
      </w:r>
    </w:p>
    <w:p>
      <w:pPr>
        <w:keepNext w:val="0"/>
        <w:keepLines w:val="0"/>
        <w:pageBreakBefore w:val="0"/>
        <w:widowControl w:val="0"/>
        <w:kinsoku/>
        <w:wordWrap/>
        <w:overflowPunct/>
        <w:topLinePunct w:val="0"/>
        <w:autoSpaceDE/>
        <w:autoSpaceDN/>
        <w:bidi w:val="0"/>
        <w:spacing w:line="560" w:lineRule="exact"/>
        <w:ind w:right="0" w:rightChars="0"/>
        <w:textAlignment w:val="auto"/>
        <w:rPr>
          <w:rFonts w:hint="eastAsia" w:ascii="仿宋_GB2312" w:eastAsia="仿宋_GB231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市政务服务数据管理</w:t>
      </w:r>
      <w:bookmarkStart w:id="0" w:name="_GoBack"/>
      <w:bookmarkEnd w:id="0"/>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建议提案系统转来《关于畅通数据交易流动，培育数据要素市场的建议》收悉，经认真研究办理，回复如下：</w:t>
      </w:r>
    </w:p>
    <w:p>
      <w:pPr>
        <w:keepNext w:val="0"/>
        <w:keepLines w:val="0"/>
        <w:pageBreakBefore w:val="0"/>
        <w:widowControl w:val="0"/>
        <w:kinsoku/>
        <w:wordWrap/>
        <w:overflowPunct/>
        <w:topLinePunct w:val="0"/>
        <w:autoSpaceDN/>
        <w:bidi w:val="0"/>
        <w:spacing w:line="560" w:lineRule="exact"/>
        <w:ind w:firstLine="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一是</w:t>
      </w:r>
      <w:r>
        <w:rPr>
          <w:rFonts w:hint="eastAsia" w:ascii="仿宋_GB2312" w:hAnsi="仿宋_GB2312" w:eastAsia="仿宋_GB2312" w:cs="仿宋_GB2312"/>
          <w:b w:val="0"/>
          <w:bCs w:val="0"/>
          <w:sz w:val="32"/>
          <w:szCs w:val="32"/>
          <w:lang w:val="en-US" w:eastAsia="zh-CN"/>
        </w:rPr>
        <w:t>推进建设包含区块链、可信数据系统的新数据平台，目前通过向全区发函征集区块链和可信数据应用场景，共收集区块链的场景7个，可信数据平台场景12个。目前已完成各场景电话第一轮调研，对场景的需求、可行性以及下一步计划指明了方向，正在进一步完善对接方案。积极</w:t>
      </w:r>
      <w:r>
        <w:rPr>
          <w:rFonts w:hint="eastAsia" w:ascii="仿宋_GB2312" w:hAnsi="仿宋_GB2312" w:eastAsia="仿宋_GB2312" w:cs="仿宋_GB2312"/>
          <w:b w:val="0"/>
          <w:bCs w:val="0"/>
          <w:sz w:val="32"/>
          <w:szCs w:val="32"/>
          <w:lang w:eastAsia="zh-CN"/>
        </w:rPr>
        <w:t>试点</w:t>
      </w:r>
      <w:r>
        <w:rPr>
          <w:rFonts w:hint="eastAsia" w:ascii="仿宋_GB2312" w:hAnsi="仿宋_GB2312" w:eastAsia="仿宋_GB2312" w:cs="仿宋_GB2312"/>
          <w:b w:val="0"/>
          <w:bCs w:val="0"/>
          <w:sz w:val="32"/>
          <w:szCs w:val="32"/>
        </w:rPr>
        <w:t>首席数据官制度</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出台《福田区首席数据官制度试点工作方案》，</w:t>
      </w:r>
      <w:r>
        <w:rPr>
          <w:rFonts w:hint="eastAsia" w:ascii="仿宋_GB2312" w:hAnsi="仿宋_GB2312" w:eastAsia="仿宋_GB2312" w:cs="仿宋_GB2312"/>
          <w:sz w:val="32"/>
          <w:szCs w:val="32"/>
        </w:rPr>
        <w:t>创新首席数据官制度运作与数据开放利用相结合的工作机制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eastAsia="zh-CN"/>
        </w:rPr>
        <w:t>完善</w:t>
      </w:r>
      <w:r>
        <w:rPr>
          <w:rFonts w:hint="eastAsia" w:ascii="仿宋_GB2312" w:hAnsi="仿宋_GB2312" w:eastAsia="仿宋_GB2312" w:cs="仿宋_GB2312"/>
          <w:b w:val="0"/>
          <w:bCs w:val="0"/>
          <w:sz w:val="32"/>
          <w:szCs w:val="32"/>
        </w:rPr>
        <w:t>数据“沙箱”</w:t>
      </w:r>
      <w:r>
        <w:rPr>
          <w:rFonts w:hint="eastAsia" w:ascii="仿宋_GB2312" w:hAnsi="仿宋_GB2312" w:eastAsia="仿宋_GB2312" w:cs="仿宋_GB2312"/>
          <w:b w:val="0"/>
          <w:bCs w:val="0"/>
          <w:sz w:val="32"/>
          <w:szCs w:val="32"/>
          <w:lang w:eastAsia="zh-CN"/>
        </w:rPr>
        <w:t>运行</w:t>
      </w:r>
      <w:r>
        <w:rPr>
          <w:rFonts w:hint="eastAsia" w:ascii="仿宋_GB2312" w:hAnsi="仿宋_GB2312" w:eastAsia="仿宋_GB2312" w:cs="仿宋_GB2312"/>
          <w:b w:val="0"/>
          <w:bCs w:val="0"/>
          <w:sz w:val="32"/>
          <w:szCs w:val="32"/>
        </w:rPr>
        <w:t>机制。基于华为国产化平台和通用X86架</w:t>
      </w:r>
      <w:r>
        <w:rPr>
          <w:rFonts w:hint="eastAsia" w:ascii="仿宋_GB2312" w:hAnsi="仿宋_GB2312" w:eastAsia="仿宋_GB2312" w:cs="仿宋_GB2312"/>
          <w:sz w:val="32"/>
          <w:szCs w:val="32"/>
        </w:rPr>
        <w:t>构，持续优化数据“沙箱”环境，配套制定了数据“沙箱”软硬件方案、数据沙箱使用</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管理制度</w:t>
      </w:r>
      <w:r>
        <w:rPr>
          <w:rFonts w:hint="eastAsia" w:ascii="仿宋_GB2312" w:hAnsi="仿宋_GB2312" w:eastAsia="仿宋_GB2312" w:cs="仿宋_GB2312"/>
          <w:sz w:val="32"/>
          <w:szCs w:val="32"/>
          <w:lang w:eastAsia="zh-CN"/>
        </w:rPr>
        <w:t>，优化</w:t>
      </w:r>
      <w:r>
        <w:rPr>
          <w:rFonts w:hint="eastAsia" w:ascii="仿宋_GB2312" w:hAnsi="仿宋_GB2312" w:eastAsia="仿宋_GB2312" w:cs="仿宋_GB2312"/>
          <w:sz w:val="32"/>
          <w:szCs w:val="32"/>
        </w:rPr>
        <w:t>《深圳人工智能应用创新服务中心暨福田区政务数据开放创新实验室运行管理办法》《入驻机制》《知识产权管理规定》等10个管理规定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探索政务数据与社会数据的融合应用场景，努力实现公共数据有序开放。</w:t>
      </w:r>
    </w:p>
    <w:p>
      <w:pPr>
        <w:keepNext w:val="0"/>
        <w:keepLines w:val="0"/>
        <w:pageBreakBefore w:val="0"/>
        <w:widowControl w:val="0"/>
        <w:kinsoku/>
        <w:wordWrap/>
        <w:overflowPunct/>
        <w:topLinePunct w:val="0"/>
        <w:autoSpaceDN/>
        <w:bidi w:val="0"/>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二是</w:t>
      </w:r>
      <w:r>
        <w:rPr>
          <w:rFonts w:hint="eastAsia" w:ascii="仿宋_GB2312" w:hAnsi="仿宋_GB2312" w:eastAsia="仿宋_GB2312" w:cs="仿宋_GB2312"/>
          <w:b w:val="0"/>
          <w:bCs w:val="0"/>
          <w:sz w:val="32"/>
          <w:szCs w:val="32"/>
          <w:lang w:val="en-US" w:eastAsia="zh-CN"/>
        </w:rPr>
        <w:t>继续</w:t>
      </w:r>
      <w:r>
        <w:rPr>
          <w:rFonts w:hint="eastAsia" w:ascii="仿宋_GB2312" w:hAnsi="仿宋_GB2312" w:eastAsia="仿宋_GB2312" w:cs="仿宋_GB2312"/>
          <w:sz w:val="32"/>
          <w:szCs w:val="32"/>
          <w:lang w:val="en-US" w:eastAsia="zh-CN"/>
        </w:rPr>
        <w:t>推进隐私计算平台建设，现已与粤港澳大湾区研究院确认隐私计算平台建设方案，完成在福田区数据中心的系统部署。已与相关金融企业达成初步意向，共同推进基于隐私计算平台的数据开发利用试点场景落地工作。正在进一步探索与非银企业合作，进一步推进面向保险行业的风险评估、创新创业情况分析等应用场景落地。</w:t>
      </w:r>
    </w:p>
    <w:p>
      <w:pPr>
        <w:keepNext w:val="0"/>
        <w:keepLines w:val="0"/>
        <w:pageBreakBefore w:val="0"/>
        <w:widowControl w:val="0"/>
        <w:kinsoku/>
        <w:wordWrap/>
        <w:overflowPunct/>
        <w:topLinePunct w:val="0"/>
        <w:autoSpaceDN/>
        <w:bidi w:val="0"/>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eastAsia="zh-CN"/>
        </w:rPr>
        <w:t>是</w:t>
      </w:r>
      <w:r>
        <w:rPr>
          <w:rFonts w:hint="eastAsia" w:ascii="仿宋_GB2312" w:hAnsi="仿宋_GB2312" w:eastAsia="仿宋_GB2312" w:cs="仿宋_GB2312"/>
          <w:b w:val="0"/>
          <w:bCs w:val="0"/>
          <w:sz w:val="32"/>
          <w:szCs w:val="32"/>
          <w:lang w:val="en-US" w:eastAsia="zh-CN"/>
        </w:rPr>
        <w:t>推进</w:t>
      </w:r>
      <w:r>
        <w:rPr>
          <w:rFonts w:hint="eastAsia" w:ascii="仿宋_GB2312" w:hAnsi="仿宋_GB2312" w:eastAsia="仿宋_GB2312" w:cs="仿宋_GB2312"/>
          <w:sz w:val="32"/>
          <w:szCs w:val="32"/>
          <w:lang w:val="en-US" w:eastAsia="zh-CN"/>
        </w:rPr>
        <w:t>福田区数据要素市场化配置改革。目前已完成《福田区数据要素市场化配置改革先行区（2022年-2023年）实施方案》初稿多次修改，并向全区征求意见。为加快推进数据要素市场化配置改革，提高数据要素市场配置效率，牢牢抓住数字技术与产业变革的战略机遇期，建设福田区数据要素市场配置体系，结合我区实际建设情况，制定工作方案，内容主要包含：（一）构建数据要素市场化配置的机制。健全公共数据共享应用机制、探索公共数据有序开放应用机制、建设数据确权机制和交易机制、制定数据要素市场配置的监管规则、探索跨境数据开放利用新机制；（二）构建数据要素市场化配置的平台。加快推进深圳数据交易所建设、构建公共数据开放应用新平台、建设福田区数据资产评估中心、试点数据跨境流通平台。（三）构建支撑数据要素市场化配置的业态。培育一批数据领域重点企业、培育一批专业化数据商、培育第三方专业服务生态、开展数据生产要素统计核算、建立数据隐私保护制度、健全数据安全管理机制、完善安全技术体系、统筹构建先进数据安全基础设施。</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sz w:val="32"/>
          <w:szCs w:val="32"/>
        </w:rPr>
        <w:t>深圳数据交易有限公司落地河套。作为立足湾区、辐射全国的先行示范区数据交易所运营主体——深圳数据交易有限公司（简称“深数交”），在深圳市政府与国家信息中心指导下，2021年12月1日正式注册落户河套深港科技创新合作区。截至4月30日，深数交首批数据商共70家，首批数据交易登记备案215笔。2022年5月11日全国首批场内跨境数据交易正式落地深圳。</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福田区拟出台数据要素市场化配置相关政策。由福田区政数局牵头起草的关于数据要素市场化配置方面的相关政策正在起草，起草内容涵盖了诸位人大代表提及的“完善公共数据开发利用机制”、“健全数据要素流通规则体系”、“支持在河套地区开展跨境数据流动试点”、“鼓励数据服务产业生态发展”等相关工作建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积极争取在合作区开展跨境数据安全管理试点。合作区积极依托《深圳建设中国特色社会主义先行示范区放宽市场准入若干特别措施的意见》，重点围绕金融、交通、健康、医疗等领域，开展跨境数据安全管理试点和数据安全管理机制研究，在国家及行业数据跨境传输安全管理制度框架下，建立数据安全保护能力评估认证、数据流通备份审查、跨境数据流通和交易风险评估等数据安全管理机制。市府办已于2022年4月30日印发《深圳市高标准推进市场准入放宽、高质量推动基础设施发展任务清单》，明确2025年目标落实计划，争取在河套开展跨境数据安全管理试点，形成数据安全管理机制。福田区将按照《任务清单》目标计划积极推动试点落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专此回复。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福田区政务服务数据管理局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2022年5月16日</w:t>
      </w:r>
    </w:p>
    <w:p>
      <w:pPr>
        <w:spacing w:line="560" w:lineRule="exact"/>
        <w:ind w:firstLine="0" w:firstLineChars="0"/>
        <w:jc w:val="center"/>
        <w:rPr>
          <w:rFonts w:hint="eastAsia" w:ascii="仿宋_GB2312" w:hAnsi="仿宋_GB2312" w:eastAsia="仿宋_GB2312" w:cs="仿宋_GB2312"/>
          <w:sz w:val="32"/>
          <w:szCs w:val="32"/>
          <w:lang w:eastAsia="zh-CN"/>
        </w:rPr>
      </w:pPr>
    </w:p>
    <w:p>
      <w:pPr>
        <w:spacing w:line="560" w:lineRule="exact"/>
        <w:ind w:firstLine="0" w:firstLineChars="0"/>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（联系人：姚浙茜，联系电话：82928187）</w:t>
      </w:r>
    </w:p>
    <w:p>
      <w:pPr>
        <w:pStyle w:val="3"/>
        <w:jc w:val="both"/>
        <w:rPr>
          <w:rFonts w:hint="eastAsia" w:ascii="仿宋_GB2312" w:hAnsi="仿宋_GB2312" w:eastAsia="仿宋_GB2312" w:cs="仿宋_GB2312"/>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396F03"/>
    <w:rsid w:val="115942E8"/>
    <w:rsid w:val="115D26B4"/>
    <w:rsid w:val="117D68B3"/>
    <w:rsid w:val="134010B1"/>
    <w:rsid w:val="1447418D"/>
    <w:rsid w:val="15CD56B1"/>
    <w:rsid w:val="165027E8"/>
    <w:rsid w:val="1B302BE8"/>
    <w:rsid w:val="1E932C4F"/>
    <w:rsid w:val="23DC390D"/>
    <w:rsid w:val="251C1E12"/>
    <w:rsid w:val="2E721EC4"/>
    <w:rsid w:val="2E8F3EF3"/>
    <w:rsid w:val="3320179A"/>
    <w:rsid w:val="39205C65"/>
    <w:rsid w:val="3C9B7455"/>
    <w:rsid w:val="3D436353"/>
    <w:rsid w:val="40EA7211"/>
    <w:rsid w:val="41545805"/>
    <w:rsid w:val="42BA0E65"/>
    <w:rsid w:val="42CD4839"/>
    <w:rsid w:val="43526AA4"/>
    <w:rsid w:val="44354DA8"/>
    <w:rsid w:val="467A4507"/>
    <w:rsid w:val="49831B84"/>
    <w:rsid w:val="4A394D65"/>
    <w:rsid w:val="4C5419E4"/>
    <w:rsid w:val="4DCD5EF0"/>
    <w:rsid w:val="50957695"/>
    <w:rsid w:val="53A13398"/>
    <w:rsid w:val="57355E16"/>
    <w:rsid w:val="58842C6A"/>
    <w:rsid w:val="5D9D421E"/>
    <w:rsid w:val="5E0203E3"/>
    <w:rsid w:val="5E5B2D7A"/>
    <w:rsid w:val="5EC073AC"/>
    <w:rsid w:val="60734443"/>
    <w:rsid w:val="69A91497"/>
    <w:rsid w:val="6A0D34F2"/>
    <w:rsid w:val="6D2F7BD6"/>
    <w:rsid w:val="6F3B2552"/>
    <w:rsid w:val="71827934"/>
    <w:rsid w:val="721509D0"/>
    <w:rsid w:val="72186209"/>
    <w:rsid w:val="75285640"/>
    <w:rsid w:val="76A333E3"/>
    <w:rsid w:val="77D34ACF"/>
    <w:rsid w:val="798249B7"/>
    <w:rsid w:val="7BC5476D"/>
    <w:rsid w:val="7FE00CE6"/>
    <w:rsid w:val="7FEA55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rPr>
      <w:rFonts w:ascii="Calibri" w:hAnsi="Calibri" w:eastAsia="宋体" w:cs="Calibri"/>
      <w:szCs w:val="21"/>
    </w:rPr>
  </w:style>
  <w:style w:type="paragraph" w:styleId="3">
    <w:name w:val="Body Text"/>
    <w:basedOn w:val="1"/>
    <w:next w:val="1"/>
    <w:qFormat/>
    <w:uiPriority w:val="0"/>
    <w:pPr>
      <w:jc w:val="center"/>
    </w:pPr>
    <w:rPr>
      <w:rFonts w:ascii="宋体"/>
      <w:sz w:val="44"/>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7">
    <w:name w:val="FollowedHyperlink"/>
    <w:basedOn w:val="6"/>
    <w:qFormat/>
    <w:uiPriority w:val="0"/>
    <w:rPr>
      <w:color w:val="292929"/>
      <w:u w:val="none"/>
    </w:rPr>
  </w:style>
  <w:style w:type="character" w:styleId="8">
    <w:name w:val="Hyperlink"/>
    <w:basedOn w:val="6"/>
    <w:qFormat/>
    <w:uiPriority w:val="0"/>
    <w:rPr>
      <w:color w:val="292929"/>
      <w:u w:val="none"/>
    </w:rPr>
  </w:style>
  <w:style w:type="character" w:styleId="9">
    <w:name w:val="HTML Code"/>
    <w:basedOn w:val="6"/>
    <w:qFormat/>
    <w:uiPriority w:val="0"/>
    <w:rPr>
      <w:rFonts w:ascii="Courier New" w:hAnsi="Courier New"/>
      <w:sz w:val="20"/>
    </w:rPr>
  </w:style>
  <w:style w:type="paragraph" w:customStyle="1" w:styleId="10">
    <w:name w:val="!正文"/>
    <w:basedOn w:val="1"/>
    <w:qFormat/>
    <w:uiPriority w:val="0"/>
    <w:pPr>
      <w:spacing w:line="360" w:lineRule="auto"/>
      <w:ind w:firstLine="200" w:firstLineChars="200"/>
    </w:pPr>
    <w:rPr>
      <w:rFonts w:ascii="Calibri" w:hAnsi="Calibri" w:eastAsia="宋体" w:cs="Times New Roman"/>
      <w:sz w:val="24"/>
    </w:rPr>
  </w:style>
  <w:style w:type="paragraph" w:customStyle="1" w:styleId="11">
    <w:name w:val="列出段落1"/>
    <w:basedOn w:val="1"/>
    <w:qFormat/>
    <w:uiPriority w:val="34"/>
    <w:pPr>
      <w:ind w:firstLine="420" w:firstLineChars="200"/>
    </w:pPr>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江淑妹</cp:lastModifiedBy>
  <dcterms:modified xsi:type="dcterms:W3CDTF">2022-05-25T10:08:51Z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64B5F7BFDB17488FA725C3ED32CEE800</vt:lpwstr>
  </property>
</Properties>
</file>