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黑体" w:hAnsi="黑体" w:eastAsia="黑体" w:cs="黑体"/>
          <w:iCs/>
          <w:sz w:val="32"/>
          <w:szCs w:val="32"/>
        </w:rPr>
      </w:pPr>
      <w:r>
        <w:rPr>
          <w:rFonts w:hint="eastAsia" w:ascii="黑体" w:hAnsi="黑体" w:eastAsia="黑体" w:cs="黑体"/>
          <w:iCs/>
          <w:sz w:val="32"/>
          <w:szCs w:val="32"/>
        </w:rPr>
        <w:t>附件2、专家评审表</w:t>
      </w:r>
    </w:p>
    <w:tbl>
      <w:tblPr>
        <w:tblStyle w:val="9"/>
        <w:tblW w:w="135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3402"/>
        <w:gridCol w:w="5339"/>
        <w:gridCol w:w="1953"/>
        <w:gridCol w:w="15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tblHeader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指标名称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评分标准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分值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创新能力≦25分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类脑智能技术先进度高，成熟度高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19-25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类脑智能技术先进度较高，成熟度较高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12-18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类脑智能技术先进度一般，成熟度一般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6-11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类脑智能技术先进度较低，成熟度较低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0-5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转化能力≦15分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类脑智能科技成果转化能力强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12-15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类脑智能科技成果转化能力较强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8-11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类脑智能科技成果转化能力一般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4-7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类脑智能科技成果转化能力较弱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0-3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应用能力≦15分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类脑智能应用落地速度快、范围广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12-15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类脑智能应用落地速度较快、范围较广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8-11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类脑智能应用落地速度一般、范围一般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4-7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类脑智能应用落地速度较慢、范围较窄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0-3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盈利能力≦14分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总资产报酬率和净资产利润率高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12-14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总资产报酬率和净资产利润率较高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8-11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总资产报酬率和净资产利润率一般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4-7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总资产报酬率和净资产利润率较低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0-3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发展能力≦14分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营业增长率和资本积累率高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12-14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营业增长率和资本积累率较高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8-11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营业增长率和资本积累率一般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4-7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营业增长率和资本积累率较低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0-3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团队实力≦10分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研发团队成员专业能力、综合能力强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8-10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研发团队成员专业能力、综合能力较强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5-7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研发团队成员专业能力、综合能力一般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2-4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研发团队成员专业能力、综合能力较低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管理水平≦7分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企业经营管理水平高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6-7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企业经营管理水平较高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4-5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企业经营管理水平一般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2-3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企业经营管理水平较低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0-1</w:t>
            </w: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合计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专家意见</w:t>
            </w:r>
          </w:p>
        </w:tc>
        <w:tc>
          <w:tcPr>
            <w:tcW w:w="8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4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专家签字</w:t>
            </w:r>
          </w:p>
        </w:tc>
        <w:tc>
          <w:tcPr>
            <w:tcW w:w="5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pStyle w:val="16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6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年      月      日</w:t>
            </w:r>
          </w:p>
        </w:tc>
      </w:tr>
    </w:tbl>
    <w:p>
      <w:pPr>
        <w:adjustRightInd w:val="0"/>
        <w:snapToGrid w:val="0"/>
        <w:spacing w:line="590" w:lineRule="exact"/>
        <w:rPr>
          <w:rFonts w:ascii="仿宋_GB2312" w:hAnsi="仿宋" w:eastAsia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59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2240" w:h="15840"/>
      <w:pgMar w:top="1440" w:right="1800" w:bottom="1440" w:left="1800" w:header="720" w:footer="720" w:gutter="0"/>
      <w:pgNumType w:fmt="numberInDash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- 17 -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L9r1V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- 17 -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50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909D1"/>
    <w:rsid w:val="7C9FB763"/>
    <w:rsid w:val="7EEFA0B3"/>
    <w:rsid w:val="7FFFA534"/>
    <w:rsid w:val="BDFF46D4"/>
    <w:rsid w:val="FB6D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cs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unhideWhenUsed/>
    <w:qFormat/>
    <w:uiPriority w:val="0"/>
    <w:pPr>
      <w:jc w:val="left"/>
    </w:pPr>
  </w:style>
  <w:style w:type="paragraph" w:styleId="5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4"/>
    <w:next w:val="4"/>
    <w:link w:val="19"/>
    <w:semiHidden/>
    <w:unhideWhenUsed/>
    <w:qFormat/>
    <w:uiPriority w:val="0"/>
    <w:rPr>
      <w:b/>
      <w:bCs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4">
    <w:name w:val="批注框文本 字符"/>
    <w:basedOn w:val="10"/>
    <w:link w:val="5"/>
    <w:semiHidden/>
    <w:qFormat/>
    <w:uiPriority w:val="0"/>
    <w:rPr>
      <w:kern w:val="2"/>
      <w:sz w:val="18"/>
      <w:szCs w:val="18"/>
    </w:rPr>
  </w:style>
  <w:style w:type="paragraph" w:customStyle="1" w:styleId="15">
    <w:name w:val="表样式排头"/>
    <w:qFormat/>
    <w:uiPriority w:val="0"/>
    <w:pPr>
      <w:widowControl w:val="0"/>
      <w:jc w:val="center"/>
    </w:pPr>
    <w:rPr>
      <w:rFonts w:ascii="Calibri" w:hAnsi="Calibri" w:eastAsia="宋体" w:cs="Arial"/>
      <w:b/>
      <w:color w:val="0C0C0C"/>
      <w:kern w:val="2"/>
      <w:sz w:val="28"/>
      <w:szCs w:val="24"/>
      <w:lang w:val="en-US" w:eastAsia="zh-CN" w:bidi="ar-SA"/>
    </w:rPr>
  </w:style>
  <w:style w:type="paragraph" w:customStyle="1" w:styleId="16">
    <w:name w:val="左一"/>
    <w:qFormat/>
    <w:uiPriority w:val="0"/>
    <w:pPr>
      <w:widowControl w:val="0"/>
    </w:pPr>
    <w:rPr>
      <w:rFonts w:ascii="Calibri" w:hAnsi="Calibri" w:eastAsia="宋体" w:cs="Arial"/>
      <w:color w:val="0C0C0C"/>
      <w:kern w:val="2"/>
      <w:sz w:val="28"/>
      <w:szCs w:val="24"/>
      <w:lang w:val="en-US" w:eastAsia="zh-CN" w:bidi="ar-SA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8">
    <w:name w:val="批注文字 字符"/>
    <w:basedOn w:val="10"/>
    <w:link w:val="4"/>
    <w:qFormat/>
    <w:uiPriority w:val="0"/>
    <w:rPr>
      <w:kern w:val="2"/>
      <w:sz w:val="21"/>
    </w:rPr>
  </w:style>
  <w:style w:type="character" w:customStyle="1" w:styleId="19">
    <w:name w:val="批注主题 字符"/>
    <w:basedOn w:val="18"/>
    <w:link w:val="8"/>
    <w:semiHidden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797</Words>
  <Characters>4544</Characters>
  <Lines>37</Lines>
  <Paragraphs>10</Paragraphs>
  <TotalTime>317</TotalTime>
  <ScaleCrop>false</ScaleCrop>
  <LinksUpToDate>false</LinksUpToDate>
  <CharactersWithSpaces>5331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2017-03-19T02:00:00Z</dcterms:created>
  <dc:creator>Administrator</dc:creator>
  <cp:lastModifiedBy>Cody李家名</cp:lastModifiedBy>
  <cp:lastPrinted>2022-10-19T22:30:00Z</cp:lastPrinted>
  <dcterms:modified xsi:type="dcterms:W3CDTF">2022-12-20T10:52:51Z</dcterms:modified>
  <dc:title>福田区科技园区认定与管理暂行办法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