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深圳市福田区人力资源局</w:t>
      </w:r>
    </w:p>
    <w:p>
      <w:pPr>
        <w:pStyle w:val="2"/>
        <w:jc w:val="center"/>
        <w:rPr>
          <w:rFonts w:hint="eastAsia"/>
          <w:lang w:val="en-US" w:eastAsia="zh-CN"/>
        </w:rPr>
      </w:pPr>
      <w:r>
        <w:rPr>
          <w:rFonts w:hint="eastAsia" w:ascii="方正小标宋简体" w:hAnsi="方正小标宋简体" w:eastAsia="方正小标宋简体" w:cs="方正小标宋简体"/>
          <w:sz w:val="44"/>
          <w:szCs w:val="44"/>
          <w:lang w:val="en-US" w:eastAsia="zh-CN"/>
        </w:rPr>
        <w:t>行政调解事项清单</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为进一步明确行政调解职责，规范行政调解行为，现将</w:t>
      </w:r>
      <w:r>
        <w:rPr>
          <w:rFonts w:hint="eastAsia" w:ascii="仿宋_GB2312" w:hAnsi="仿宋_GB2312" w:cs="仿宋_GB2312"/>
          <w:sz w:val="32"/>
          <w:szCs w:val="32"/>
          <w:lang w:val="en-US" w:eastAsia="zh-CN"/>
        </w:rPr>
        <w:t>深圳市福田区人力资源局</w:t>
      </w:r>
      <w:r>
        <w:rPr>
          <w:rFonts w:hint="eastAsia" w:ascii="仿宋_GB2312" w:hAnsi="仿宋_GB2312" w:eastAsia="仿宋_GB2312" w:cs="仿宋_GB2312"/>
          <w:sz w:val="32"/>
          <w:szCs w:val="32"/>
          <w:lang w:val="en-US" w:eastAsia="zh-CN"/>
        </w:rPr>
        <w:t>行政调解所涉法律、法规、规章和规范性文件等行政调解依据梳理如下：</w:t>
      </w:r>
    </w:p>
    <w:p>
      <w:pPr>
        <w:pStyle w:val="2"/>
        <w:rPr>
          <w:rFonts w:hint="eastAsia"/>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1110"/>
        <w:gridCol w:w="1095"/>
        <w:gridCol w:w="2895"/>
        <w:gridCol w:w="765"/>
        <w:gridCol w:w="1110"/>
        <w:gridCol w:w="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7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color w:val="3D3D3D"/>
                <w:kern w:val="0"/>
                <w:sz w:val="24"/>
                <w:szCs w:val="24"/>
                <w:u w:val="none"/>
                <w:lang w:val="en-US" w:eastAsia="zh-CN" w:bidi="ar"/>
              </w:rPr>
              <w:t>序号</w:t>
            </w:r>
          </w:p>
        </w:tc>
        <w:tc>
          <w:tcPr>
            <w:tcW w:w="111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color w:val="3D3D3D"/>
                <w:kern w:val="0"/>
                <w:sz w:val="24"/>
                <w:szCs w:val="24"/>
                <w:u w:val="none"/>
                <w:lang w:val="en-US" w:eastAsia="zh-CN" w:bidi="ar"/>
              </w:rPr>
              <w:t>行政调解事项</w:t>
            </w:r>
          </w:p>
        </w:tc>
        <w:tc>
          <w:tcPr>
            <w:tcW w:w="109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color w:val="3D3D3D"/>
                <w:kern w:val="0"/>
                <w:sz w:val="24"/>
                <w:szCs w:val="24"/>
                <w:u w:val="none"/>
                <w:lang w:val="en-US" w:eastAsia="zh-CN" w:bidi="ar"/>
              </w:rPr>
              <w:t>依  据</w:t>
            </w:r>
          </w:p>
        </w:tc>
        <w:tc>
          <w:tcPr>
            <w:tcW w:w="289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color w:val="3D3D3D"/>
                <w:kern w:val="0"/>
                <w:sz w:val="24"/>
                <w:szCs w:val="24"/>
                <w:u w:val="none"/>
                <w:lang w:val="en-US" w:eastAsia="zh-CN" w:bidi="ar"/>
              </w:rPr>
              <w:t>具体条款和内容</w:t>
            </w:r>
          </w:p>
        </w:tc>
        <w:tc>
          <w:tcPr>
            <w:tcW w:w="76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color w:val="3D3D3D"/>
                <w:kern w:val="0"/>
                <w:sz w:val="24"/>
                <w:szCs w:val="24"/>
                <w:u w:val="none"/>
                <w:lang w:val="en-US" w:eastAsia="zh-CN" w:bidi="ar"/>
              </w:rPr>
              <w:t>类 型</w:t>
            </w:r>
          </w:p>
        </w:tc>
        <w:tc>
          <w:tcPr>
            <w:tcW w:w="111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color w:val="3D3D3D"/>
                <w:kern w:val="0"/>
                <w:sz w:val="24"/>
                <w:szCs w:val="24"/>
                <w:u w:val="none"/>
                <w:lang w:val="en-US" w:eastAsia="zh-CN" w:bidi="ar"/>
              </w:rPr>
              <w:t>具体实施部门</w:t>
            </w:r>
          </w:p>
        </w:tc>
        <w:tc>
          <w:tcPr>
            <w:tcW w:w="97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具体负</w:t>
            </w:r>
          </w:p>
          <w:p>
            <w:pPr>
              <w:keepNext w:val="0"/>
              <w:keepLines w:val="0"/>
              <w:widowControl/>
              <w:suppressLineNumbers w:val="0"/>
              <w:jc w:val="center"/>
              <w:textAlignment w:val="center"/>
              <w:rPr>
                <w:vertAlign w:val="baseline"/>
              </w:rPr>
            </w:pPr>
            <w:r>
              <w:rPr>
                <w:rFonts w:hint="eastAsia" w:ascii="宋体" w:hAnsi="宋体" w:eastAsia="宋体" w:cs="宋体"/>
                <w:i w:val="0"/>
                <w:color w:val="000000"/>
                <w:kern w:val="0"/>
                <w:sz w:val="22"/>
                <w:szCs w:val="22"/>
                <w:u w:val="none"/>
                <w:lang w:val="en-US" w:eastAsia="zh-CN" w:bidi="ar"/>
              </w:rPr>
              <w:t>责科室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7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color w:val="3D3D3D"/>
                <w:kern w:val="0"/>
                <w:sz w:val="24"/>
                <w:szCs w:val="24"/>
                <w:u w:val="none"/>
                <w:lang w:val="en-US" w:eastAsia="zh-CN" w:bidi="ar"/>
              </w:rPr>
              <w:t>1</w:t>
            </w:r>
          </w:p>
        </w:tc>
        <w:tc>
          <w:tcPr>
            <w:tcW w:w="1110" w:type="dxa"/>
            <w:noWrap w:val="0"/>
            <w:vAlign w:val="center"/>
          </w:tcPr>
          <w:p>
            <w:pPr>
              <w:keepNext w:val="0"/>
              <w:keepLines w:val="0"/>
              <w:widowControl/>
              <w:suppressLineNumbers w:val="0"/>
              <w:shd w:val="clear" w:color="auto" w:fill="FFFFFF"/>
              <w:spacing w:line="390" w:lineRule="atLeast"/>
              <w:ind w:left="0" w:firstLine="0"/>
              <w:jc w:val="both"/>
              <w:rPr>
                <w:rFonts w:hint="eastAsia" w:ascii="仿宋_GB2312" w:hAnsi="仿宋_GB2312" w:eastAsia="仿宋_GB2312" w:cs="仿宋_GB2312"/>
                <w:i w:val="0"/>
                <w:color w:val="3D3D3D"/>
                <w:kern w:val="0"/>
                <w:sz w:val="24"/>
                <w:szCs w:val="24"/>
                <w:u w:val="none"/>
                <w:lang w:val="en-US" w:eastAsia="zh-CN" w:bidi="ar"/>
              </w:rPr>
            </w:pPr>
            <w:r>
              <w:rPr>
                <w:rFonts w:hint="eastAsia" w:ascii="仿宋_GB2312" w:hAnsi="仿宋_GB2312" w:eastAsia="仿宋_GB2312" w:cs="仿宋_GB2312"/>
                <w:i w:val="0"/>
                <w:color w:val="3D3D3D"/>
                <w:kern w:val="0"/>
                <w:sz w:val="24"/>
                <w:szCs w:val="24"/>
                <w:u w:val="none"/>
                <w:lang w:val="en-US" w:eastAsia="zh-CN" w:bidi="ar"/>
              </w:rPr>
              <w:t>劳动保障监察投诉案件调解</w:t>
            </w:r>
          </w:p>
        </w:tc>
        <w:tc>
          <w:tcPr>
            <w:tcW w:w="1095" w:type="dxa"/>
            <w:noWrap w:val="0"/>
            <w:vAlign w:val="center"/>
          </w:tcPr>
          <w:p>
            <w:pPr>
              <w:keepNext w:val="0"/>
              <w:keepLines w:val="0"/>
              <w:widowControl/>
              <w:suppressLineNumbers w:val="0"/>
              <w:shd w:val="clear" w:color="auto" w:fill="FFFFFF"/>
              <w:spacing w:line="390" w:lineRule="atLeast"/>
              <w:ind w:left="0" w:firstLine="0"/>
              <w:jc w:val="both"/>
              <w:rPr>
                <w:rFonts w:hint="eastAsia" w:ascii="仿宋_GB2312" w:hAnsi="仿宋_GB2312" w:eastAsia="仿宋_GB2312" w:cs="仿宋_GB2312"/>
                <w:i w:val="0"/>
                <w:color w:val="3D3D3D"/>
                <w:kern w:val="0"/>
                <w:sz w:val="24"/>
                <w:szCs w:val="24"/>
                <w:u w:val="none"/>
                <w:lang w:val="en-US" w:eastAsia="zh-CN" w:bidi="ar"/>
              </w:rPr>
            </w:pPr>
            <w:r>
              <w:rPr>
                <w:rFonts w:hint="eastAsia" w:ascii="仿宋_GB2312" w:hAnsi="仿宋_GB2312" w:eastAsia="仿宋_GB2312" w:cs="仿宋_GB2312"/>
                <w:i w:val="0"/>
                <w:color w:val="3D3D3D"/>
                <w:kern w:val="0"/>
                <w:sz w:val="24"/>
                <w:szCs w:val="24"/>
                <w:u w:val="none"/>
                <w:lang w:val="en-US" w:eastAsia="zh-CN" w:bidi="ar"/>
              </w:rPr>
              <w:t>《广东省劳动保障监察条例》</w:t>
            </w:r>
          </w:p>
        </w:tc>
        <w:tc>
          <w:tcPr>
            <w:tcW w:w="2895" w:type="dxa"/>
            <w:noWrap w:val="0"/>
            <w:vAlign w:val="center"/>
          </w:tcPr>
          <w:p>
            <w:pPr>
              <w:keepNext w:val="0"/>
              <w:keepLines w:val="0"/>
              <w:widowControl/>
              <w:suppressLineNumbers w:val="0"/>
              <w:shd w:val="clear" w:color="auto" w:fill="FFFFFF"/>
              <w:spacing w:line="390" w:lineRule="atLeast"/>
              <w:ind w:left="0" w:firstLine="0"/>
              <w:jc w:val="both"/>
              <w:rPr>
                <w:rFonts w:hint="eastAsia" w:ascii="仿宋_GB2312" w:hAnsi="仿宋_GB2312" w:eastAsia="仿宋_GB2312" w:cs="仿宋_GB2312"/>
                <w:sz w:val="24"/>
                <w:szCs w:val="24"/>
                <w:vertAlign w:val="baseline"/>
              </w:rPr>
            </w:pPr>
            <w:r>
              <w:rPr>
                <w:rFonts w:hint="eastAsia" w:ascii="仿宋_GB2312" w:hAnsi="仿宋_GB2312" w:eastAsia="仿宋_GB2312" w:cs="仿宋_GB2312"/>
                <w:b/>
                <w:bCs/>
                <w:i w:val="0"/>
                <w:color w:val="3D3D3D"/>
                <w:kern w:val="0"/>
                <w:sz w:val="24"/>
                <w:szCs w:val="24"/>
                <w:u w:val="none"/>
                <w:lang w:val="en-US" w:eastAsia="zh-CN" w:bidi="ar"/>
              </w:rPr>
              <w:t>第四十二条</w:t>
            </w:r>
            <w:r>
              <w:rPr>
                <w:rFonts w:hint="eastAsia" w:ascii="仿宋_GB2312" w:hAnsi="仿宋_GB2312" w:eastAsia="仿宋_GB2312" w:cs="仿宋_GB2312"/>
                <w:i w:val="0"/>
                <w:color w:val="3D3D3D"/>
                <w:kern w:val="0"/>
                <w:sz w:val="24"/>
                <w:szCs w:val="24"/>
                <w:u w:val="none"/>
                <w:lang w:val="en-US" w:eastAsia="zh-CN" w:bidi="ar"/>
              </w:rPr>
              <w:t xml:space="preserve"> 人力资源社会保障行政部门对金钱给付等投诉案件，可以依一方当事人申请并经对方同意后，组织双方调解。 调解达成一致意见并当场全部履行的，人力资源社会保障行政部门视情节轻重依法不予处罚或者减轻对用人单位的处罚。 调解达成一致意见但未当场全部履行的，当事人双方可以向劳动争议仲裁机构申请审查确认后出具仲裁调解书。人力资源社会保障行政部门视情节轻重依法从轻或者减轻对用人单位的处罚。</w:t>
            </w:r>
          </w:p>
        </w:tc>
        <w:tc>
          <w:tcPr>
            <w:tcW w:w="76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color w:val="3D3D3D"/>
                <w:kern w:val="0"/>
                <w:sz w:val="24"/>
                <w:szCs w:val="24"/>
                <w:u w:val="none"/>
                <w:lang w:val="en-US" w:eastAsia="zh-CN" w:bidi="ar"/>
              </w:rPr>
              <w:t>地方性法规</w:t>
            </w:r>
          </w:p>
        </w:tc>
        <w:tc>
          <w:tcPr>
            <w:tcW w:w="111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color w:val="3D3D3D"/>
                <w:kern w:val="0"/>
                <w:sz w:val="24"/>
                <w:szCs w:val="24"/>
                <w:u w:val="none"/>
                <w:lang w:val="en-US" w:eastAsia="zh-CN" w:bidi="ar"/>
              </w:rPr>
              <w:t>福田区人力资</w:t>
            </w:r>
            <w:bookmarkStart w:id="0" w:name="_GoBack"/>
            <w:bookmarkEnd w:id="0"/>
            <w:r>
              <w:rPr>
                <w:rFonts w:hint="eastAsia" w:ascii="仿宋_GB2312" w:hAnsi="仿宋_GB2312" w:eastAsia="仿宋_GB2312" w:cs="仿宋_GB2312"/>
                <w:i w:val="0"/>
                <w:color w:val="3D3D3D"/>
                <w:kern w:val="0"/>
                <w:sz w:val="24"/>
                <w:szCs w:val="24"/>
                <w:u w:val="none"/>
                <w:lang w:val="en-US" w:eastAsia="zh-CN" w:bidi="ar"/>
              </w:rPr>
              <w:t>源局</w:t>
            </w:r>
          </w:p>
        </w:tc>
        <w:tc>
          <w:tcPr>
            <w:tcW w:w="971" w:type="dxa"/>
            <w:noWrap w:val="0"/>
            <w:vAlign w:val="center"/>
          </w:tcPr>
          <w:p>
            <w:pPr>
              <w:keepNext w:val="0"/>
              <w:keepLines w:val="0"/>
              <w:widowControl/>
              <w:suppressLineNumbers w:val="0"/>
              <w:jc w:val="center"/>
              <w:textAlignment w:val="center"/>
              <w:rPr>
                <w:rFonts w:hint="eastAsia" w:ascii="宋体" w:hAnsi="宋体" w:eastAsia="宋体" w:cs="宋体"/>
                <w:i w:val="0"/>
                <w:color w:val="3D3D3D"/>
                <w:kern w:val="0"/>
                <w:sz w:val="24"/>
                <w:szCs w:val="24"/>
                <w:u w:val="none"/>
                <w:lang w:val="en-US" w:eastAsia="zh-CN" w:bidi="ar"/>
              </w:rPr>
            </w:pPr>
            <w:r>
              <w:rPr>
                <w:rFonts w:hint="eastAsia" w:ascii="仿宋_GB2312" w:hAnsi="仿宋_GB2312" w:eastAsia="仿宋_GB2312" w:cs="仿宋_GB2312"/>
                <w:i w:val="0"/>
                <w:color w:val="3D3D3D"/>
                <w:kern w:val="0"/>
                <w:sz w:val="24"/>
                <w:szCs w:val="24"/>
                <w:u w:val="none"/>
                <w:lang w:val="en-US" w:eastAsia="zh-CN" w:bidi="ar"/>
              </w:rPr>
              <w:t>劳动监察大队、人力资源综合事务中心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76" w:type="dxa"/>
            <w:noWrap w:val="0"/>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color w:val="000000"/>
                <w:sz w:val="24"/>
                <w:szCs w:val="24"/>
                <w:u w:val="none"/>
                <w:lang w:val="en-US" w:eastAsia="zh-CN"/>
              </w:rPr>
              <w:t>2</w:t>
            </w:r>
          </w:p>
        </w:tc>
        <w:tc>
          <w:tcPr>
            <w:tcW w:w="1110" w:type="dxa"/>
            <w:noWrap w:val="0"/>
            <w:vAlign w:val="center"/>
          </w:tcPr>
          <w:p>
            <w:pPr>
              <w:keepNext w:val="0"/>
              <w:keepLines w:val="0"/>
              <w:widowControl/>
              <w:suppressLineNumbers w:val="0"/>
              <w:shd w:val="clear" w:color="auto" w:fill="FFFFFF"/>
              <w:spacing w:line="390" w:lineRule="atLeast"/>
              <w:ind w:left="0" w:firstLine="0"/>
              <w:jc w:val="both"/>
              <w:rPr>
                <w:rFonts w:hint="eastAsia" w:ascii="仿宋_GB2312" w:hAnsi="仿宋_GB2312" w:eastAsia="仿宋_GB2312" w:cs="仿宋_GB2312"/>
                <w:i w:val="0"/>
                <w:color w:val="3D3D3D"/>
                <w:kern w:val="0"/>
                <w:sz w:val="24"/>
                <w:szCs w:val="24"/>
                <w:u w:val="none"/>
                <w:lang w:val="en-US" w:eastAsia="zh-CN" w:bidi="ar"/>
              </w:rPr>
            </w:pPr>
            <w:r>
              <w:rPr>
                <w:rFonts w:hint="eastAsia" w:ascii="仿宋_GB2312" w:hAnsi="仿宋_GB2312" w:eastAsia="仿宋_GB2312" w:cs="仿宋_GB2312"/>
                <w:i w:val="0"/>
                <w:color w:val="3D3D3D"/>
                <w:kern w:val="0"/>
                <w:sz w:val="24"/>
                <w:szCs w:val="24"/>
                <w:u w:val="none"/>
                <w:lang w:val="en-US" w:eastAsia="zh-CN" w:bidi="ar"/>
              </w:rPr>
              <w:t>集体合同签订纠纷调解</w:t>
            </w:r>
          </w:p>
        </w:tc>
        <w:tc>
          <w:tcPr>
            <w:tcW w:w="1095" w:type="dxa"/>
            <w:noWrap w:val="0"/>
            <w:vAlign w:val="center"/>
          </w:tcPr>
          <w:p>
            <w:pPr>
              <w:keepNext w:val="0"/>
              <w:keepLines w:val="0"/>
              <w:widowControl/>
              <w:suppressLineNumbers w:val="0"/>
              <w:shd w:val="clear" w:color="auto" w:fill="FFFFFF"/>
              <w:spacing w:line="390" w:lineRule="atLeast"/>
              <w:ind w:left="0" w:firstLine="0"/>
              <w:jc w:val="both"/>
              <w:rPr>
                <w:rFonts w:hint="eastAsia" w:ascii="仿宋_GB2312" w:hAnsi="仿宋_GB2312" w:eastAsia="仿宋_GB2312" w:cs="仿宋_GB2312"/>
                <w:i w:val="0"/>
                <w:color w:val="3D3D3D"/>
                <w:kern w:val="0"/>
                <w:sz w:val="24"/>
                <w:szCs w:val="24"/>
                <w:u w:val="none"/>
                <w:lang w:val="en-US" w:eastAsia="zh-CN" w:bidi="ar"/>
              </w:rPr>
            </w:pPr>
            <w:r>
              <w:rPr>
                <w:rFonts w:hint="eastAsia" w:ascii="仿宋_GB2312" w:hAnsi="仿宋_GB2312" w:eastAsia="仿宋_GB2312" w:cs="仿宋_GB2312"/>
                <w:i w:val="0"/>
                <w:color w:val="3D3D3D"/>
                <w:kern w:val="0"/>
                <w:sz w:val="24"/>
                <w:szCs w:val="24"/>
                <w:u w:val="none"/>
                <w:lang w:val="en-US" w:eastAsia="zh-CN" w:bidi="ar"/>
              </w:rPr>
              <w:t>《中华人民共和国劳动法》</w:t>
            </w:r>
          </w:p>
        </w:tc>
        <w:tc>
          <w:tcPr>
            <w:tcW w:w="2895" w:type="dxa"/>
            <w:noWrap w:val="0"/>
            <w:vAlign w:val="center"/>
          </w:tcPr>
          <w:p>
            <w:pPr>
              <w:keepNext w:val="0"/>
              <w:keepLines w:val="0"/>
              <w:widowControl/>
              <w:suppressLineNumbers w:val="0"/>
              <w:shd w:val="clear" w:color="auto" w:fill="FFFFFF"/>
              <w:spacing w:line="390" w:lineRule="atLeast"/>
              <w:ind w:left="0" w:firstLine="0"/>
              <w:jc w:val="both"/>
              <w:rPr>
                <w:rFonts w:hint="eastAsia" w:ascii="仿宋_GB2312" w:hAnsi="仿宋_GB2312" w:eastAsia="仿宋_GB2312" w:cs="仿宋_GB2312"/>
                <w:i w:val="0"/>
                <w:color w:val="3D3D3D"/>
                <w:kern w:val="0"/>
                <w:sz w:val="24"/>
                <w:szCs w:val="24"/>
                <w:u w:val="none"/>
                <w:lang w:val="en-US" w:eastAsia="zh-CN" w:bidi="ar"/>
              </w:rPr>
            </w:pPr>
            <w:r>
              <w:rPr>
                <w:rFonts w:hint="eastAsia" w:ascii="仿宋_GB2312" w:hAnsi="仿宋_GB2312" w:eastAsia="仿宋_GB2312" w:cs="仿宋_GB2312"/>
                <w:b/>
                <w:bCs/>
                <w:i w:val="0"/>
                <w:color w:val="3D3D3D"/>
                <w:kern w:val="0"/>
                <w:sz w:val="24"/>
                <w:szCs w:val="24"/>
                <w:u w:val="none"/>
                <w:lang w:val="en-US" w:eastAsia="zh-CN" w:bidi="ar"/>
              </w:rPr>
              <w:t>第八十四条</w:t>
            </w:r>
            <w:r>
              <w:rPr>
                <w:rFonts w:hint="eastAsia" w:ascii="仿宋_GB2312" w:hAnsi="仿宋_GB2312" w:eastAsia="仿宋_GB2312" w:cs="仿宋_GB2312"/>
                <w:i w:val="0"/>
                <w:color w:val="3D3D3D"/>
                <w:kern w:val="0"/>
                <w:sz w:val="24"/>
                <w:szCs w:val="24"/>
                <w:u w:val="none"/>
                <w:lang w:val="en-US" w:eastAsia="zh-CN" w:bidi="ar"/>
              </w:rPr>
              <w:t xml:space="preserve"> 因签订集体合同发生争议，当事人协商解决不成的，当地人民政府劳动行政部门可以组织有关各方协调处理。</w:t>
            </w:r>
          </w:p>
        </w:tc>
        <w:tc>
          <w:tcPr>
            <w:tcW w:w="76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3D3D3D"/>
                <w:kern w:val="0"/>
                <w:sz w:val="24"/>
                <w:szCs w:val="24"/>
                <w:u w:val="none"/>
                <w:lang w:val="en-US" w:eastAsia="zh-CN" w:bidi="ar"/>
              </w:rPr>
            </w:pPr>
            <w:r>
              <w:rPr>
                <w:rFonts w:hint="eastAsia" w:ascii="仿宋_GB2312" w:hAnsi="仿宋_GB2312" w:eastAsia="仿宋_GB2312" w:cs="仿宋_GB2312"/>
                <w:i w:val="0"/>
                <w:color w:val="3D3D3D"/>
                <w:kern w:val="0"/>
                <w:sz w:val="24"/>
                <w:szCs w:val="24"/>
                <w:u w:val="none"/>
                <w:lang w:val="en-US" w:eastAsia="zh-CN" w:bidi="ar"/>
              </w:rPr>
              <w:t>法律</w:t>
            </w:r>
          </w:p>
        </w:tc>
        <w:tc>
          <w:tcPr>
            <w:tcW w:w="1110" w:type="dxa"/>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3D3D3D"/>
                <w:kern w:val="0"/>
                <w:sz w:val="24"/>
                <w:szCs w:val="24"/>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i w:val="0"/>
                <w:color w:val="3D3D3D"/>
                <w:kern w:val="0"/>
                <w:sz w:val="24"/>
                <w:szCs w:val="24"/>
                <w:u w:val="none"/>
                <w:lang w:val="en-US" w:eastAsia="zh-CN" w:bidi="ar"/>
              </w:rPr>
            </w:pPr>
            <w:r>
              <w:rPr>
                <w:rFonts w:hint="eastAsia" w:ascii="仿宋_GB2312" w:hAnsi="仿宋_GB2312" w:eastAsia="仿宋_GB2312" w:cs="仿宋_GB2312"/>
                <w:i w:val="0"/>
                <w:color w:val="3D3D3D"/>
                <w:kern w:val="0"/>
                <w:sz w:val="24"/>
                <w:szCs w:val="24"/>
                <w:u w:val="none"/>
                <w:lang w:val="en-US" w:eastAsia="zh-CN" w:bidi="ar"/>
              </w:rPr>
              <w:t>福田区人力资源局</w:t>
            </w:r>
          </w:p>
        </w:tc>
        <w:tc>
          <w:tcPr>
            <w:tcW w:w="971" w:type="dxa"/>
            <w:noWrap w:val="0"/>
            <w:vAlign w:val="center"/>
          </w:tcPr>
          <w:p>
            <w:pPr>
              <w:keepNext w:val="0"/>
              <w:keepLines w:val="0"/>
              <w:widowControl/>
              <w:suppressLineNumbers w:val="0"/>
              <w:jc w:val="center"/>
              <w:textAlignment w:val="center"/>
              <w:rPr>
                <w:rFonts w:hint="eastAsia" w:ascii="宋体" w:hAnsi="宋体" w:eastAsia="宋体" w:cs="宋体"/>
                <w:i w:val="0"/>
                <w:color w:val="3D3D3D"/>
                <w:kern w:val="0"/>
                <w:sz w:val="24"/>
                <w:szCs w:val="24"/>
                <w:u w:val="none"/>
                <w:lang w:val="en-US" w:eastAsia="zh-CN" w:bidi="ar"/>
              </w:rPr>
            </w:pPr>
            <w:r>
              <w:rPr>
                <w:rFonts w:hint="eastAsia" w:ascii="仿宋_GB2312" w:hAnsi="仿宋_GB2312" w:eastAsia="仿宋_GB2312" w:cs="仿宋_GB2312"/>
                <w:i w:val="0"/>
                <w:color w:val="3D3D3D"/>
                <w:kern w:val="0"/>
                <w:sz w:val="24"/>
                <w:szCs w:val="24"/>
                <w:u w:val="none"/>
                <w:lang w:val="en-US" w:eastAsia="zh-CN" w:bidi="ar"/>
              </w:rPr>
              <w:t>劳动监察大队、人力资源综合事务中心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76" w:type="dxa"/>
            <w:noWrap w:val="0"/>
            <w:vAlign w:val="center"/>
          </w:tcPr>
          <w:p>
            <w:pPr>
              <w:keepNext w:val="0"/>
              <w:keepLines w:val="0"/>
              <w:widowControl/>
              <w:suppressLineNumbers w:val="0"/>
              <w:shd w:val="clear" w:color="auto" w:fill="FFFFFF"/>
              <w:spacing w:line="390" w:lineRule="atLeast"/>
              <w:ind w:left="0" w:firstLine="0"/>
              <w:jc w:val="center"/>
              <w:rPr>
                <w:rFonts w:hint="eastAsia" w:ascii="仿宋_GB2312" w:hAnsi="仿宋_GB2312" w:eastAsia="仿宋_GB2312" w:cs="仿宋_GB2312"/>
                <w:i w:val="0"/>
                <w:caps w:val="0"/>
                <w:color w:val="333333"/>
                <w:spacing w:val="0"/>
                <w:kern w:val="0"/>
                <w:sz w:val="24"/>
                <w:szCs w:val="24"/>
                <w:shd w:val="clear" w:color="auto" w:fill="FFFFFF"/>
                <w:lang w:val="en-US" w:eastAsia="zh-CN" w:bidi="ar"/>
              </w:rPr>
            </w:pPr>
            <w:r>
              <w:rPr>
                <w:rFonts w:hint="eastAsia" w:ascii="仿宋_GB2312" w:hAnsi="仿宋_GB2312" w:eastAsia="仿宋_GB2312" w:cs="仿宋_GB2312"/>
                <w:i w:val="0"/>
                <w:caps w:val="0"/>
                <w:color w:val="333333"/>
                <w:spacing w:val="0"/>
                <w:kern w:val="0"/>
                <w:sz w:val="24"/>
                <w:szCs w:val="24"/>
                <w:shd w:val="clear" w:color="auto" w:fill="FFFFFF"/>
                <w:lang w:val="en-US" w:eastAsia="zh-CN" w:bidi="ar"/>
              </w:rPr>
              <w:t>3</w:t>
            </w:r>
          </w:p>
        </w:tc>
        <w:tc>
          <w:tcPr>
            <w:tcW w:w="1110" w:type="dxa"/>
            <w:noWrap w:val="0"/>
            <w:vAlign w:val="center"/>
          </w:tcPr>
          <w:p>
            <w:pPr>
              <w:keepNext w:val="0"/>
              <w:keepLines w:val="0"/>
              <w:widowControl/>
              <w:suppressLineNumbers w:val="0"/>
              <w:shd w:val="clear" w:color="auto" w:fill="FFFFFF"/>
              <w:spacing w:line="390" w:lineRule="atLeast"/>
              <w:ind w:left="0" w:firstLine="0"/>
              <w:jc w:val="both"/>
              <w:rPr>
                <w:rFonts w:hint="eastAsia" w:ascii="仿宋_GB2312" w:hAnsi="仿宋_GB2312" w:eastAsia="仿宋_GB2312" w:cs="仿宋_GB2312"/>
                <w:i w:val="0"/>
                <w:color w:val="3D3D3D"/>
                <w:kern w:val="0"/>
                <w:sz w:val="24"/>
                <w:szCs w:val="24"/>
                <w:u w:val="none"/>
                <w:lang w:val="en-US" w:eastAsia="zh-CN" w:bidi="ar"/>
              </w:rPr>
            </w:pPr>
            <w:r>
              <w:rPr>
                <w:rFonts w:hint="eastAsia" w:ascii="仿宋_GB2312" w:hAnsi="仿宋_GB2312" w:eastAsia="仿宋_GB2312" w:cs="仿宋_GB2312"/>
                <w:i w:val="0"/>
                <w:color w:val="3D3D3D"/>
                <w:kern w:val="0"/>
                <w:sz w:val="24"/>
                <w:szCs w:val="24"/>
                <w:u w:val="none"/>
                <w:lang w:val="en-US" w:eastAsia="zh-CN" w:bidi="ar"/>
              </w:rPr>
              <w:t>集体协商争议协调处理</w:t>
            </w:r>
          </w:p>
        </w:tc>
        <w:tc>
          <w:tcPr>
            <w:tcW w:w="1095" w:type="dxa"/>
            <w:noWrap w:val="0"/>
            <w:vAlign w:val="center"/>
          </w:tcPr>
          <w:p>
            <w:pPr>
              <w:keepNext w:val="0"/>
              <w:keepLines w:val="0"/>
              <w:widowControl/>
              <w:suppressLineNumbers w:val="0"/>
              <w:shd w:val="clear" w:color="auto" w:fill="FFFFFF"/>
              <w:spacing w:line="390" w:lineRule="atLeast"/>
              <w:ind w:left="0" w:firstLine="0"/>
              <w:jc w:val="both"/>
              <w:rPr>
                <w:rFonts w:hint="eastAsia" w:ascii="仿宋_GB2312" w:hAnsi="仿宋_GB2312" w:eastAsia="仿宋_GB2312" w:cs="仿宋_GB2312"/>
                <w:i w:val="0"/>
                <w:color w:val="3D3D3D"/>
                <w:kern w:val="0"/>
                <w:sz w:val="24"/>
                <w:szCs w:val="24"/>
                <w:u w:val="none"/>
                <w:lang w:val="en-US" w:eastAsia="zh-CN" w:bidi="ar"/>
              </w:rPr>
            </w:pPr>
            <w:r>
              <w:rPr>
                <w:rFonts w:hint="eastAsia" w:ascii="仿宋_GB2312" w:hAnsi="仿宋_GB2312" w:eastAsia="仿宋_GB2312" w:cs="仿宋_GB2312"/>
                <w:i w:val="0"/>
                <w:color w:val="3D3D3D"/>
                <w:kern w:val="0"/>
                <w:sz w:val="24"/>
                <w:szCs w:val="24"/>
                <w:u w:val="none"/>
                <w:lang w:val="en-US" w:eastAsia="zh-CN" w:bidi="ar"/>
              </w:rPr>
              <w:t>《集体合同规定》（中华人民共和国劳动和社会保障部令第22号 ）</w:t>
            </w:r>
          </w:p>
        </w:tc>
        <w:tc>
          <w:tcPr>
            <w:tcW w:w="2895" w:type="dxa"/>
            <w:noWrap w:val="0"/>
            <w:vAlign w:val="center"/>
          </w:tcPr>
          <w:p>
            <w:pPr>
              <w:keepNext w:val="0"/>
              <w:keepLines w:val="0"/>
              <w:widowControl/>
              <w:suppressLineNumbers w:val="0"/>
              <w:shd w:val="clear" w:color="auto" w:fill="FFFFFF"/>
              <w:spacing w:line="390" w:lineRule="atLeast"/>
              <w:ind w:left="0" w:firstLine="0"/>
              <w:jc w:val="both"/>
              <w:rPr>
                <w:rFonts w:hint="eastAsia" w:ascii="仿宋_GB2312" w:hAnsi="仿宋_GB2312" w:eastAsia="仿宋_GB2312" w:cs="仿宋_GB2312"/>
                <w:i w:val="0"/>
                <w:color w:val="3D3D3D"/>
                <w:kern w:val="0"/>
                <w:sz w:val="24"/>
                <w:szCs w:val="24"/>
                <w:u w:val="none"/>
                <w:lang w:val="en-US" w:eastAsia="zh-CN" w:bidi="ar"/>
              </w:rPr>
            </w:pPr>
            <w:r>
              <w:rPr>
                <w:rFonts w:hint="eastAsia" w:ascii="仿宋_GB2312" w:hAnsi="仿宋_GB2312" w:eastAsia="仿宋_GB2312" w:cs="仿宋_GB2312"/>
                <w:b/>
                <w:bCs/>
                <w:i w:val="0"/>
                <w:color w:val="3D3D3D"/>
                <w:kern w:val="0"/>
                <w:sz w:val="24"/>
                <w:szCs w:val="24"/>
                <w:u w:val="none"/>
                <w:lang w:val="en-US" w:eastAsia="zh-CN" w:bidi="ar"/>
              </w:rPr>
              <w:t>第四十九条</w:t>
            </w:r>
            <w:r>
              <w:rPr>
                <w:rFonts w:hint="eastAsia" w:ascii="仿宋_GB2312" w:hAnsi="仿宋_GB2312" w:eastAsia="仿宋_GB2312" w:cs="仿宋_GB2312"/>
                <w:i w:val="0"/>
                <w:color w:val="3D3D3D"/>
                <w:kern w:val="0"/>
                <w:sz w:val="24"/>
                <w:szCs w:val="24"/>
                <w:u w:val="none"/>
                <w:lang w:val="en-US" w:eastAsia="zh-CN" w:bidi="ar"/>
              </w:rPr>
              <w:t xml:space="preserve"> 集体协商过程中发生争议，双方当事人不能协商解决的，当事人一方或双方可以书面向劳动保障行政部门提出协调处理申请；未提出申请的，劳动保障行政部门认为必要时也可以进行协调处理。</w:t>
            </w:r>
          </w:p>
        </w:tc>
        <w:tc>
          <w:tcPr>
            <w:tcW w:w="76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3D3D3D"/>
                <w:kern w:val="0"/>
                <w:sz w:val="24"/>
                <w:szCs w:val="24"/>
                <w:u w:val="none"/>
                <w:lang w:val="en-US" w:eastAsia="zh-CN" w:bidi="ar"/>
              </w:rPr>
            </w:pPr>
            <w:r>
              <w:rPr>
                <w:rFonts w:hint="eastAsia" w:ascii="仿宋_GB2312" w:hAnsi="仿宋_GB2312" w:eastAsia="仿宋_GB2312" w:cs="仿宋_GB2312"/>
                <w:i w:val="0"/>
                <w:color w:val="3D3D3D"/>
                <w:kern w:val="0"/>
                <w:sz w:val="24"/>
                <w:szCs w:val="24"/>
                <w:u w:val="none"/>
                <w:lang w:val="en-US" w:eastAsia="zh-CN" w:bidi="ar"/>
              </w:rPr>
              <w:t>部门行政规章</w:t>
            </w:r>
          </w:p>
        </w:tc>
        <w:tc>
          <w:tcPr>
            <w:tcW w:w="1110" w:type="dxa"/>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3D3D3D"/>
                <w:kern w:val="0"/>
                <w:sz w:val="24"/>
                <w:szCs w:val="24"/>
                <w:u w:val="none"/>
                <w:lang w:val="en-US" w:eastAsia="zh-CN" w:bidi="ar"/>
              </w:rPr>
            </w:pPr>
            <w:r>
              <w:rPr>
                <w:rFonts w:hint="eastAsia" w:ascii="仿宋_GB2312" w:hAnsi="仿宋_GB2312" w:eastAsia="仿宋_GB2312" w:cs="仿宋_GB2312"/>
                <w:i w:val="0"/>
                <w:color w:val="3D3D3D"/>
                <w:kern w:val="0"/>
                <w:sz w:val="24"/>
                <w:szCs w:val="24"/>
                <w:u w:val="none"/>
                <w:lang w:val="en-US" w:eastAsia="zh-CN" w:bidi="ar"/>
              </w:rPr>
              <w:t>福田区人力资源局</w:t>
            </w:r>
          </w:p>
        </w:tc>
        <w:tc>
          <w:tcPr>
            <w:tcW w:w="971" w:type="dxa"/>
            <w:noWrap w:val="0"/>
            <w:vAlign w:val="center"/>
          </w:tcPr>
          <w:p>
            <w:pPr>
              <w:keepNext w:val="0"/>
              <w:keepLines w:val="0"/>
              <w:widowControl/>
              <w:suppressLineNumbers w:val="0"/>
              <w:jc w:val="center"/>
              <w:textAlignment w:val="center"/>
              <w:rPr>
                <w:rFonts w:hint="eastAsia" w:ascii="宋体" w:hAnsi="宋体" w:eastAsia="宋体" w:cs="宋体"/>
                <w:i w:val="0"/>
                <w:color w:val="3D3D3D"/>
                <w:kern w:val="0"/>
                <w:sz w:val="24"/>
                <w:szCs w:val="24"/>
                <w:u w:val="none"/>
                <w:lang w:val="en-US" w:eastAsia="zh-CN" w:bidi="ar"/>
              </w:rPr>
            </w:pPr>
            <w:r>
              <w:rPr>
                <w:rFonts w:hint="eastAsia" w:ascii="仿宋_GB2312" w:hAnsi="仿宋_GB2312" w:eastAsia="仿宋_GB2312" w:cs="仿宋_GB2312"/>
                <w:i w:val="0"/>
                <w:color w:val="3D3D3D"/>
                <w:kern w:val="0"/>
                <w:sz w:val="24"/>
                <w:szCs w:val="24"/>
                <w:u w:val="none"/>
                <w:lang w:val="en-US" w:eastAsia="zh-CN" w:bidi="ar"/>
              </w:rPr>
              <w:t>劳动监察大队</w:t>
            </w:r>
            <w:r>
              <w:rPr>
                <w:rFonts w:hint="eastAsia" w:ascii="仿宋_GB2312" w:hAnsi="仿宋_GB2312" w:cs="仿宋_GB2312"/>
                <w:i w:val="0"/>
                <w:color w:val="3D3D3D"/>
                <w:kern w:val="0"/>
                <w:sz w:val="24"/>
                <w:szCs w:val="24"/>
                <w:u w:val="none"/>
                <w:lang w:val="en-US" w:eastAsia="zh-CN" w:bidi="ar"/>
              </w:rPr>
              <w:t>、劳动人事争议仲裁院</w:t>
            </w:r>
          </w:p>
        </w:tc>
      </w:tr>
    </w:tbl>
    <w:p>
      <w:pPr>
        <w:pStyle w:val="2"/>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Arial">
    <w:altName w:val="Nimbus Roman No9 L"/>
    <w:panose1 w:val="020B0604020202020204"/>
    <w:charset w:val="00"/>
    <w:family w:val="swiss"/>
    <w:pitch w:val="default"/>
    <w:sig w:usb0="E0002AFF" w:usb1="C0007843" w:usb2="00000009" w:usb3="00000000" w:csb0="400001FF" w:csb1="FFFF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8DB72F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4">
    <w:name w:val="Default Paragraph Fon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2"/>
    <w:uiPriority w:val="0"/>
    <w:pPr>
      <w:widowControl w:val="0"/>
      <w:spacing w:after="120" w:afterLines="0" w:line="480" w:lineRule="auto"/>
      <w:jc w:val="both"/>
    </w:pPr>
    <w:rPr>
      <w:rFonts w:ascii="Times New Roman" w:hAnsi="Times New Roman" w:eastAsia="仿宋_GB2312"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市人力资源和社会保障局</Company>
  <Pages>1</Pages>
  <Words>0</Words>
  <Characters>0</Characters>
  <Lines>0</Lines>
  <Paragraphs>0</Paragraphs>
  <TotalTime>2</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2020-10-29T16:15:00Z</dcterms:created>
  <dc:creator>杨书豪</dc:creator>
  <cp:lastModifiedBy>liangyingjian</cp:lastModifiedBy>
  <dcterms:modified xsi:type="dcterms:W3CDTF">2021-12-27T17:44:59Z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