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tbl>
      <w:tblPr>
        <w:tblStyle w:val="4"/>
        <w:tblW w:w="5263" w:type="pct"/>
        <w:jc w:val="center"/>
        <w:tblLayout w:type="autofit"/>
        <w:tblCellMar>
          <w:top w:w="0" w:type="dxa"/>
          <w:left w:w="108" w:type="dxa"/>
          <w:bottom w:w="0" w:type="dxa"/>
          <w:right w:w="108" w:type="dxa"/>
        </w:tblCellMar>
      </w:tblPr>
      <w:tblGrid>
        <w:gridCol w:w="645"/>
        <w:gridCol w:w="1226"/>
        <w:gridCol w:w="2387"/>
        <w:gridCol w:w="2638"/>
        <w:gridCol w:w="1080"/>
        <w:gridCol w:w="3262"/>
        <w:gridCol w:w="2539"/>
        <w:gridCol w:w="1143"/>
      </w:tblGrid>
      <w:tr>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0" w:name="RANGE!A1:H35"/>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0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（社会团体）</w:t>
            </w:r>
            <w:bookmarkEnd w:id="0"/>
          </w:p>
        </w:tc>
      </w:tr>
      <w:tr>
        <w:tblPrEx>
          <w:tblCellMar>
            <w:top w:w="0" w:type="dxa"/>
            <w:left w:w="108" w:type="dxa"/>
            <w:bottom w:w="0" w:type="dxa"/>
            <w:right w:w="108" w:type="dxa"/>
          </w:tblCellMar>
        </w:tblPrEx>
        <w:trPr>
          <w:trHeight w:val="198" w:hRule="atLeast"/>
          <w:jc w:val="center"/>
        </w:trPr>
        <w:tc>
          <w:tcPr>
            <w:tcW w:w="216" w:type="pct"/>
            <w:tcBorders>
              <w:top w:val="single" w:color="auto" w:sz="4" w:space="0"/>
              <w:left w:val="single" w:color="auto" w:sz="4" w:space="0"/>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11"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800"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84"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2"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93"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51"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8"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584"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1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自取得《社会团体法人登记证书》之日起1年未开展活动</w:t>
            </w:r>
          </w:p>
        </w:tc>
        <w:tc>
          <w:tcPr>
            <w:tcW w:w="80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《社会团体登记管理条例》第二十九条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3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社会团体自取得《社会团体法人登记证书》之日起1年未开展活动。</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涂改、出租、出借《社会团体法人登记证书》，或者出租、出借社会团体印章</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6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超出章程规定的宗旨和业务范围进行活动</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Arial" w:hAnsi="Arial" w:eastAsia="仿宋_GB2312" w:cs="Arial"/>
                <w:kern w:val="0"/>
                <w:sz w:val="18"/>
                <w:szCs w:val="20"/>
              </w:rPr>
            </w:pPr>
            <w:r>
              <w:rPr>
                <w:rFonts w:hint="eastAsia" w:ascii="仿宋_GB2312" w:hAnsi="宋体" w:eastAsia="仿宋_GB2312" w:cs="宋体"/>
                <w:kern w:val="0"/>
                <w:sz w:val="18"/>
                <w:szCs w:val="20"/>
              </w:rPr>
              <w:t>1.《社会团体登记管理条例》第二十八条</w:t>
            </w:r>
            <w:r>
              <w:rPr>
                <w:rFonts w:hint="eastAsia" w:ascii="Arial" w:hAnsi="Arial" w:eastAsia="仿宋_GB2312" w:cs="Arial"/>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r>
              <w:rPr>
                <w:rFonts w:hint="eastAsia" w:ascii="仿宋_GB2312" w:hAnsi="宋体" w:eastAsia="仿宋_GB2312" w:cs="宋体"/>
                <w:kern w:val="0"/>
                <w:sz w:val="18"/>
                <w:szCs w:val="20"/>
              </w:rPr>
              <w:br w:type="page"/>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无正当理由，1年不按照《社会团体登记管理条例》规定的期限参加年检；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责令改正后，仍不按照规定接受监督检查的或拒不接受监督检查的。</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9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再次责令改正后，仍不按照规定接受监督检查的或拒不接受监督检查的；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有暴力抗拒检查或违法行为造成严重影响。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社会团体的登记事项需要变更的，应当自业务主管单位审查同意之日起30日内，向登记管理机关申请变更登记。</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《社会团体登记管理条例》第三十条第一款第（四）项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1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违反规定设立分支机构、代表机构，或者对分支机构、代表机构疏于管理，造成严重后果</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1.《社会团体登记管理条例》第十七条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不得设立地域性的分支机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1.《社会团体登记管理条例》第三十条第一款第（五）项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2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1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《社会团体登记管理条例》第四条第二款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社会团体不得从事营利性经营活动。</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07"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0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侵占、私分、挪用社会团体资产或者所接受的捐赠、资助</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七）侵占、私分、挪用社会团体资产或者所接受的捐赠、资助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34"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01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820"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前款规定的行为有违法经营额或者违法所得的，予以没收，可以并处违法经营额1倍以上3倍以下或者违法所得3倍以上5倍以下的罚款。</w:t>
            </w:r>
          </w:p>
        </w:tc>
        <w:tc>
          <w:tcPr>
            <w:tcW w:w="3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1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开展违反其他法律、法规的活动，有关国家机关认为应当撤销登记</w:t>
            </w:r>
          </w:p>
        </w:tc>
        <w:tc>
          <w:tcPr>
            <w:tcW w:w="80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3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有关国家机关依法认为社会团体的违法活动应当撤销登记。</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5"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1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0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申请成立社会团体，应当经其业务主管单位审查同意，由发起人向登记管理机关申请登记。筹备期间不得开展筹备以外的活动。</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6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109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5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取缔后没收非法财产</w:t>
            </w:r>
          </w:p>
        </w:tc>
        <w:tc>
          <w:tcPr>
            <w:tcW w:w="37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p/>
    <w:p/>
    <w:p/>
    <w:p/>
    <w:p/>
    <w:p/>
    <w:p/>
    <w:p/>
    <w:p/>
    <w:p/>
    <w:p/>
    <w:p/>
    <w:p/>
    <w:p/>
    <w:p/>
    <w:p/>
    <w:p/>
    <w:p>
      <w:pPr>
        <w:rPr>
          <w:rFonts w:hint="eastAsia"/>
        </w:rPr>
      </w:pPr>
    </w:p>
    <w:p/>
    <w:p/>
    <w:p/>
    <w:tbl>
      <w:tblPr>
        <w:tblStyle w:val="4"/>
        <w:tblW w:w="5250" w:type="pct"/>
        <w:jc w:val="center"/>
        <w:tblLayout w:type="autofit"/>
        <w:tblCellMar>
          <w:top w:w="0" w:type="dxa"/>
          <w:left w:w="108" w:type="dxa"/>
          <w:bottom w:w="0" w:type="dxa"/>
          <w:right w:w="108" w:type="dxa"/>
        </w:tblCellMar>
      </w:tblPr>
      <w:tblGrid>
        <w:gridCol w:w="679"/>
        <w:gridCol w:w="1497"/>
        <w:gridCol w:w="2161"/>
        <w:gridCol w:w="2780"/>
        <w:gridCol w:w="1110"/>
        <w:gridCol w:w="2965"/>
        <w:gridCol w:w="2578"/>
        <w:gridCol w:w="1113"/>
      </w:tblGrid>
      <w:tr>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single" w:color="auto" w:sz="6" w:space="0"/>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1" w:name="RANGE!A1:H34"/>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（民办非企业单位）</w:t>
            </w:r>
            <w:bookmarkEnd w:id="1"/>
          </w:p>
        </w:tc>
      </w:tr>
      <w:tr>
        <w:tblPrEx>
          <w:tblCellMar>
            <w:top w:w="0" w:type="dxa"/>
            <w:left w:w="108" w:type="dxa"/>
            <w:bottom w:w="0" w:type="dxa"/>
            <w:right w:w="108" w:type="dxa"/>
          </w:tblCellMar>
        </w:tblPrEx>
        <w:trPr>
          <w:trHeight w:val="50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涂改、出租、出借民办非企业单位登记证书，或者出租、出借民办非企业单位印章</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超出其章程规定的宗旨和业务范围进行活动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92"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7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4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62"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对于依照本条例第十二条第二款的规定发给登记证书的民办非企业单位，登记管理机关对其应当简化年度检查的内容。</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经登记管理机关核准登记的民办非企业单位，应当按照本办法的规定，接受登记管理机关的年检。截至上年度12月31日，成立登记时间未超过6个月的民办非企业单位，不参加当年的年检。</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3.《民办非企业单位登记管理暂行条例》第二十五条第一款第（三）项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民办非企业单位有下列情形之一的，由登记管理机关予以警告，责令改正，可以限期停止活动；情节严重的，予以撤销登记；构成犯罪的，依法追究刑事责任：（三）拒不接受或者不按照规定接受监督检查的；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对监督检查发现的问题，经责令改正不及时改正，违法行为造成不良影响。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0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连续两年“年检不合格”；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累计三年不参加年度检查；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《民办非企业单位登记管理暂行条例》第十五条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 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民办非企业单位有下列情形之一的，由登记管理机关予以警告，责令改正，可以限期停止活动；情节严重的，予以撤销登记；构成犯罪的，依法追究刑事责任：（四）不按照规定办理变更登记的；</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8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设立分支机构</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《民办非企业单位登记管理暂行条例》第十三条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民办非企业单位不得设立分支机构。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民办非企业单位有下列情形之一的，由登记管理机关予以警告，责令改正，可以限期停止活动；情节严重的，予以撤销登记；构成犯罪的，依法追究刑事责任：（五）设立分支机构的；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8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1"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《民办非企业单位登记管理暂行条例》第四条第二款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民办非企业单位不得从事营利性经营活动。</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1.《民办非企业单位登记管理暂行条例》第二十五条第一款第（六）项</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4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侵占、私分、挪用民办非企业单位的资产或者所接受的捐赠、资助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《民办非企业单位登记管理暂行条例》第二十一条第一款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民办非企业单位的资产来源必须合法，任何单位和个人不得侵占、私分或者挪用民办非企业单位的资产。</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4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25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《民办非企业单位登记管理暂行条例》第二十一条第三款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1.《民办非企业单位登记管理暂行条例》第二十五条第一款第（八）项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《民办非企业单位登记管理暂行条例》第二十一条第三款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开展违反其他法律有关国家机关认为应当撤销登记</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民办非企业单位的活动违反其他法律、法规的，由有关国家机关依法处理;有关国家机关认为应当撤销登记的，由登记管理机关撤销登记。</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《民办非企业单位登记管理暂行条例》第二十六条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民办非企业单位的活动违反其他法律、法规的，由有关国家机关依法处理;有关国家机关认为应当撤销登记的，由登记管理机关撤销登记。</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有关国家机关认为应当撤销登记。</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812"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bookmarkStart w:id="2" w:name="RANGE!A1:H23"/>
    </w:p>
    <w:p/>
    <w:p/>
    <w:p/>
    <w:p/>
    <w:p/>
    <w:p/>
    <w:p/>
    <w:p/>
    <w:p/>
    <w:p/>
    <w:p/>
    <w:p/>
    <w:bookmarkEnd w:id="2"/>
    <w:tbl>
      <w:tblPr>
        <w:tblStyle w:val="4"/>
        <w:tblW w:w="5275" w:type="pct"/>
        <w:jc w:val="center"/>
        <w:tblLayout w:type="autofit"/>
        <w:tblCellMar>
          <w:top w:w="0" w:type="dxa"/>
          <w:left w:w="108" w:type="dxa"/>
          <w:bottom w:w="0" w:type="dxa"/>
          <w:right w:w="108" w:type="dxa"/>
        </w:tblCellMar>
      </w:tblPr>
      <w:tblGrid>
        <w:gridCol w:w="631"/>
        <w:gridCol w:w="1618"/>
        <w:gridCol w:w="2162"/>
        <w:gridCol w:w="2778"/>
        <w:gridCol w:w="1107"/>
        <w:gridCol w:w="2949"/>
        <w:gridCol w:w="2593"/>
        <w:gridCol w:w="1101"/>
        <w:gridCol w:w="15"/>
      </w:tblGrid>
      <w:tr>
        <w:tblPrEx>
          <w:tblCellMar>
            <w:top w:w="0" w:type="dxa"/>
            <w:left w:w="108" w:type="dxa"/>
            <w:bottom w:w="0" w:type="dxa"/>
            <w:right w:w="108" w:type="dxa"/>
          </w:tblCellMar>
        </w:tblPrEx>
        <w:trPr>
          <w:gridAfter w:val="1"/>
          <w:wAfter w:w="5" w:type="pct"/>
          <w:trHeight w:val="1159" w:hRule="atLeast"/>
          <w:jc w:val="center"/>
        </w:trPr>
        <w:tc>
          <w:tcPr>
            <w:tcW w:w="4995" w:type="pct"/>
            <w:gridSpan w:val="8"/>
            <w:tcBorders>
              <w:top w:val="nil"/>
              <w:left w:val="nil"/>
              <w:bottom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（基金会）</w:t>
            </w:r>
          </w:p>
        </w:tc>
      </w:tr>
      <w:tr>
        <w:tblPrEx>
          <w:tblCellMar>
            <w:top w:w="0" w:type="dxa"/>
            <w:left w:w="108" w:type="dxa"/>
            <w:bottom w:w="0" w:type="dxa"/>
            <w:right w:w="108" w:type="dxa"/>
          </w:tblCellMar>
        </w:tblPrEx>
        <w:trPr>
          <w:trHeight w:val="50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5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予以取缔，没收非法财产，并向社会公告。</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239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70"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基金会、境外基金会代表机构有下列情形之一的，应当向登记管理机关申请注销登记：(一)按照章程规定终止的；(二)无法按照章程规定的宗旨继续从事公益活动的；(三)由于其他原因终止的。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2.《基金会管理条例》第十七条 基金会撤销其分支机构、代表机构的，应当向登记管理机关办理分支机构、代表机构的注销登记。基金会注销的，其分支机构、代表机构同时注销。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3.《基金会管理条例》第十八条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基金会、基金会分支机构、基金会代表机构或者境外基金会代表机构有下列情形之一的，登记管理机关应当撤销登记：（二）符合注销条件，不按照本条例的规定办理注销登记仍继续开展活动的。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8"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未按照章程规定的宗旨和公益活动的业务范围进行活动</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1.《基金会管理条例》第二十五条第一款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基金会组织募捐、接受捐赠，应当符合章程规定的宗旨和公益活动的业务范围。境外基金会代表机构不得在中国境内组织募捐、接受捐赠。</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2.《基金会管理条例》第二十七条第二款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基金会应当根据章程规定的宗旨和公益活动的业务范围使用其财产；捐赠协议明确了具体使用方式的捐赠，根据捐赠协议的约定使用。</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一)未按照章程规定的宗旨和公益活动的业务范围进行活动的；</w:t>
            </w:r>
            <w:r>
              <w:rPr>
                <w:rFonts w:hint="eastAsia" w:ascii="仿宋_GB2312" w:hAnsi="宋体" w:eastAsia="仿宋_GB2312" w:cs="宋体"/>
                <w:kern w:val="0"/>
                <w:sz w:val="18"/>
                <w:szCs w:val="20"/>
              </w:rPr>
              <w:br w:type="page"/>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3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基金会在填制会计凭证、登记会计账簿、编制财务会计报告中弄虚作假的</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2.《基金会管理条例》第四十二条 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3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7"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基金会、基金会分支机构、基金会代表机构和境外基金会代表机构的登记事项需要变更的，应当向登记管理机关申请变更登记。</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基金会、基金会分支机构、基金会代表机构或者境外基金会代表机构有下列情形之一的，由登记管理机关给予警告、责令停止活动；情节严重的，可以撤销登记：(三)不按照规定办理变更登记的；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经责令后改正，违法行为造成一定影响。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23"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8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未按条例的规定完成公益事业支出额度</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公募基金会每年用于从事章程规定的公益事业支出，不得低于上一年总收入的70%；非公募基金会每年用于从事章程规定的公益事业支出，不得低于上一年基金余额的8%。</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四)未按照本条例的规定完成公益事业支出额度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70%高于上一年总收入的50%的；无正当理由，非公募基金会用于从事章程规定的公益事业支出低于上一年基金余额的8%高于上一年基金余额的7%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6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50%高于上一年总收入的40%的；无正当理由，非公募基金会用于从事章程规定的公益事业支出低于上一年基金余额的7%高于上一年基金余额的6%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41"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40%的；无正当理由，非公募基金会用于从事章程规定的公益事业支出低于上一年基金余额的6%的；连续三年以上未按照《基金会管理条例》规定完成公益事业支出额度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1"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未按照条例的规定接受年度检查，或者年度检查不合格</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1.《基金会管理条例》第三十六条第一款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基金会、境外基金会代表机构应当于每年3月31日前向登记管理机关报送上一年度工作报告，接受年度检查。年度工作报告在报送登记管理机关前应当经业务主管单位审查同意。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基金会、境外基金会代表机构应当于每年3月31日前向登记管理机关报送经业务主管单位审查同意的上一年度的年度工作报告，接受登记管理机关检查。</w:t>
            </w:r>
            <w:r>
              <w:rPr>
                <w:rFonts w:hint="eastAsia" w:ascii="仿宋_GB2312" w:hAnsi="宋体" w:eastAsia="仿宋_GB2312" w:cs="宋体"/>
                <w:kern w:val="0"/>
                <w:sz w:val="18"/>
                <w:szCs w:val="20"/>
              </w:rPr>
              <w:br w:type="page"/>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3.《基金会年度检查办法》第十条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基金会、境外基金会代表机构无正当理由不参加年检的，由登记管理机关责令停止活动，并向社会公告。</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4.《基金会年度检查办法》第十一条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基金会、境外基金会代表机构连续两年不接受年检的，由登记管理机关依法撤销登记。</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8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连续2年“年检不合格”。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责令停止活动，并向社会公告；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连续3年“年检不合格”；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不履行信息公布义务或者公布虚假信息</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1.《基金会管理条例》第二十五条第二款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公募基金会组织募捐，应当向社会公布募得资金后拟开展的公益活动和资金的详细使用计划。</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2.《基金会管理条例》第三十条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基金会开展公益资助项目，应当向社会公布所开展的公益资助项目种类以及申请、评审程序。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3.《基金会管理条例》第三十八条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基金会、境外基金会代表机构应当在通过登记管理机关的年度检查后，将年度工作报告在登记管理机关指定的媒体上公布，接受社会公众的查询、监督。</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基金会、基金会分支机构、基金会代表机构或者境外基金会代表机构有下列情形之一的，由登记管理机关给予警告、责令停止活动；情节严重的，可以撤销登记：(六)不履行信息公布义务或者公布虚假信息的。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公布虚假信息未造成不良影响。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2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公布虚假信息，造成一定不良影响。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经责令整改，仍不按照规定履行信息公布义务；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bl>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37"/>
        <w:gridCol w:w="40"/>
      </w:tblGrid>
      <w:tr>
        <w:tblPrEx>
          <w:tblCellMar>
            <w:top w:w="0" w:type="dxa"/>
            <w:left w:w="108" w:type="dxa"/>
            <w:bottom w:w="0" w:type="dxa"/>
            <w:right w:w="108" w:type="dxa"/>
          </w:tblCellMar>
        </w:tblPrEx>
        <w:trPr>
          <w:gridAfter w:val="1"/>
          <w:wAfter w:w="13" w:type="pct"/>
          <w:trHeight w:val="1380" w:hRule="atLeast"/>
          <w:jc w:val="center"/>
        </w:trPr>
        <w:tc>
          <w:tcPr>
            <w:tcW w:w="4987" w:type="pct"/>
            <w:gridSpan w:val="8"/>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（行业协会）</w:t>
            </w:r>
          </w:p>
        </w:tc>
      </w:tr>
      <w:tr>
        <w:tblPrEx>
          <w:tblCellMar>
            <w:top w:w="0" w:type="dxa"/>
            <w:left w:w="108" w:type="dxa"/>
            <w:bottom w:w="0" w:type="dxa"/>
            <w:right w:w="108" w:type="dxa"/>
          </w:tblCellMar>
        </w:tblPrEx>
        <w:trPr>
          <w:trHeight w:val="53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9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31"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未经登记、载入活动异常永久名录、被撤销登记或者被依法吊销登记证书后以行业协会名义开展活动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四条未经登记、载入活动异常永久名录、被撤销登记或者被依法吊销登记证书后以行业协会的名义开展活动的，由登记管理机关予以取缔、没收非法财物，并向社会公告。涉嫌犯罪的，依法移送司法机关。</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《深圳经济特区行业协会条例》第六十四条 </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未经登记、载入活动异常永久名录、被撤销登记或者被依法吊销登记证书后以行业协会的名义开展活动的，由登记管理机关予以取缔、没收非法财物，并向社会公告。涉嫌犯罪的，依法移送司法机关。</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没收非法财物</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w:t>
            </w:r>
            <w:bookmarkStart w:id="8" w:name="_GoBack"/>
            <w:bookmarkEnd w:id="8"/>
            <w:r>
              <w:rPr>
                <w:rFonts w:hint="eastAsia" w:ascii="仿宋_GB2312" w:hAnsi="宋体" w:eastAsia="仿宋_GB2312" w:cs="宋体"/>
                <w:kern w:val="0"/>
                <w:sz w:val="18"/>
                <w:szCs w:val="20"/>
              </w:rPr>
              <w:t>被被依法吊销登记证书后以行业协会名义开展活动的。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予以取缔，没收非法财物，并向社会公告。</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《广东省行业协会条例》第三十四条 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8"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7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应当向登记管理机关申请注销：(一)章程规定的解散事由出现的；(二)会员大会或者会员代表大会决议解散的；(三)因分立、合并需要解散的。行业协会在办理注销登记前，应当依照章程规定进行清算。自清算结束之日起十五日内到登记管理机关办理注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《广东省行业协会条例》第三十四条 第一款第（四）项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不依法办理变更登记</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《深圳经济特区行业协会条例》第二十二条</w:t>
            </w:r>
          </w:p>
          <w:p>
            <w:pPr>
              <w:adjustRightInd w:val="0"/>
              <w:snapToGrid w:val="0"/>
              <w:spacing w:line="200" w:lineRule="exact"/>
              <w:ind w:left="2"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登记证书的登记事项发生变更的，行业协会应当在三十日内向登记管理机关申请变更登记；章程修改的，行业协会应当在三十日内报登记管理机关核准。</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行业协会有下列情形之一的，由登记管理机关责令限期改正并予以警告，有违法所得的，予以没收：（一）未按规定办理变更登记的；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需变更事项未办理变更</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未在规定时间将上一年度工作报告报送登记管理机关的；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不按照规定接受监督检查，造成一定危害后果；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连续超过3年不在规定时间内将上一年度工作报告报送登记管理机关的；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经责令改正后仍不按照规定接受监督检查或拒不接受监督检查；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行业协会实施违反《深圳经济特区行业协会条例》规定的其他行为</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    行业协会有下列情形之一的，由登记管理机关责令限期改正并予以警告，有违法所得的，予以没收：（三）有违反本条例规定的其他行为的。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行业协会有下列情形之一的，由登记管理机关责令限期改正并予以警告，有违法所得的，予以没收：（三）有违反本条例规定的其他行为的。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行业协会有违反《深圳经济特区行业协会条例》规定的其他行为的。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未按照章程规定的宗旨和业务范围开展活动</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经责令后及时改正，未造成危害后果的。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开展的活动属于国家明令禁止或危害社会稳定的；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对分支机构、代表机构疏于管理，造成严重后果，经责令后改正，主动采取补救措施，消除影响。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没收违法经营额或者违法所得，并处违法经营额一倍或者违法所得三倍罚款。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4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没收违法经营额或者违法所得，并处违法经营额三倍或者违法所得五倍罚款。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提供虚假或者隐瞒重要事实的财务预算、决算报告</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0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6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私分、侵占、挪用行业协会资产或者所接受捐赠、资助的财物的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侵占、私分金额低于5万元的；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挪用低于金额20万元的；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0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侵占、私分金额超过5万元低于10万元的；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挪用金额超过20万元低于100万元的；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侵占、私分金额超过10万元；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违法或者违反章程规定取得其他收入或者使用资助、捐赠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取得收入存在强迫行为的；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强制入会或者在会员之间实施歧视性待遇，限制会员加入其他行业协会</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（三）强制入会或者在会员之间实施歧视性待遇，限制会员加入其他行业协会；</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违反法律、法规和章程的规定向会员收费或者摊派</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（四）违反法律、法规和章程规定，向会员收费或者摊派；</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违反法律、法规和章程规定，向会员收费或者摊派费用金额累计低于20万元的；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未经法律、法规授权或者委托而行使公共行政管理职能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《广东省行业协会条例》第二十八条第（五）项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行业协会不得有下列行为：（五）未经法律、法规授权或者委托而行使公共行政管理职能。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行业协会有下列情形之一的，由登记管理机关给予警告，责令改正；情节严重的，予以撤销登记：（五）有本条例第二十八条规定情形的。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违法经营额或违法所得在20万元以下的；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行业协会涂改、倒卖、出租、出借登记证书的或者出租、出借印章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《深圳经济特区行业协会条例》第六十六条第一款第（一）项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出租、出借违法行为持续时间低于3个月的；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9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涂改2项及以上的；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出租、出借违法行为持续时间在3个月以上，12个月以下的；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出租、出借违法行为持续时间超过12个月的；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行业协会违反《深圳经济特区行业协会条例》或者章程规定，严重侵犯会员权益的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《深圳经济特区行业协会条例》第六十八条第（二）项</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违反《深圳经济特区行业协会条例》或者章程规定，严重侵犯会员权益的。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行业协会通过举办评比、表彰活动向会员收取费用或者变相收取费用的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《深圳经济特区行业协会条例》第四十八条第（六）项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（六）通过举办评比、表彰活动向会员收取费用或者变相收取费用。</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通过举办评比、表彰活动向会员收取费用或者变相收取费用累计10万元以上，低于50万元的；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行业协会实施违反法律、法规及章程禁止的其他行为的（不含前表其他行为）</w:t>
            </w:r>
            <w:r>
              <w:rPr>
                <w:rFonts w:hint="eastAsia" w:ascii="仿宋_GB2312" w:hAnsi="宋体" w:eastAsia="仿宋_GB2312" w:cs="宋体"/>
                <w:kern w:val="0"/>
                <w:sz w:val="18"/>
                <w:szCs w:val="20"/>
              </w:rPr>
              <w:br w:type="page"/>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《深圳经济特区行业协会条例》第四十八条第（七）项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（七）法律、法规及章程禁止的其他行为。</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 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2.《深圳经济特区行业协会条例》第六十八条第（二）项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（二）违反本条例或者章程规定，严重侵犯会员权益的；</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实施违反法律、法规及章程禁止的其他行为，违法所得累计超过50万元的；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行为危害国家、社会安全稳定的；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警告、吊销登记证书</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第一款第（四）项行业协会有下列情形之一的，由登记管理机关给予警告并责令其限期改正，逾期不改正的，由登记管理机关撤销登记：（四）违反本条例其他行为的。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行业协会有下列情形之一的，由登记管理机关给予警告并责令其限期改正，逾期不改正的，由登记管理机关撤销登记：（四）违反本条例其他行为的。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77"/>
      </w:tblGrid>
      <w:tr>
        <w:tblPrEx>
          <w:tblCellMar>
            <w:top w:w="0" w:type="dxa"/>
            <w:left w:w="108" w:type="dxa"/>
            <w:bottom w:w="0" w:type="dxa"/>
            <w:right w:w="108" w:type="dxa"/>
          </w:tblCellMar>
        </w:tblPrEx>
        <w:trPr>
          <w:trHeight w:val="1140" w:hRule="atLeast"/>
          <w:jc w:val="center"/>
        </w:trPr>
        <w:tc>
          <w:tcPr>
            <w:tcW w:w="5000" w:type="pct"/>
            <w:gridSpan w:val="8"/>
            <w:tcBorders>
              <w:left w:val="nil"/>
              <w:bottom w:val="single" w:color="auto" w:sz="6" w:space="0"/>
              <w:right w:val="nil"/>
            </w:tcBorders>
            <w:vAlign w:val="center"/>
          </w:tcPr>
          <w:p>
            <w:pPr>
              <w:adjustRightInd w:val="0"/>
              <w:snapToGrid w:val="0"/>
              <w:spacing w:line="720" w:lineRule="exact"/>
              <w:jc w:val="center"/>
              <w:rPr>
                <w:rFonts w:ascii="仿宋_GB2312" w:hAnsi="宋体" w:eastAsia="仿宋_GB2312" w:cs="宋体"/>
                <w:kern w:val="0"/>
                <w:sz w:val="18"/>
                <w:szCs w:val="20"/>
              </w:rPr>
            </w:pPr>
            <w:r>
              <w:rPr>
                <w:rFonts w:hint="eastAsia" w:ascii="方正小标宋简体" w:hAnsi="宋体" w:eastAsia="方正小标宋简体" w:cs="宋体"/>
                <w:kern w:val="0"/>
                <w:sz w:val="44"/>
                <w:szCs w:val="44"/>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20"/>
              </w:rPr>
              <w:t>（殡葬管理）</w:t>
            </w:r>
          </w:p>
        </w:tc>
      </w:tr>
      <w:tr>
        <w:tblPrEx>
          <w:tblCellMar>
            <w:top w:w="0" w:type="dxa"/>
            <w:left w:w="108" w:type="dxa"/>
            <w:bottom w:w="0" w:type="dxa"/>
            <w:right w:w="108" w:type="dxa"/>
          </w:tblCellMar>
        </w:tblPrEx>
        <w:trPr>
          <w:trHeight w:val="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实施机构</w:t>
            </w:r>
          </w:p>
        </w:tc>
      </w:tr>
      <w:tr>
        <w:tblPrEx>
          <w:tblCellMar>
            <w:top w:w="0" w:type="dxa"/>
            <w:left w:w="108" w:type="dxa"/>
            <w:bottom w:w="0" w:type="dxa"/>
            <w:right w:w="108" w:type="dxa"/>
          </w:tblCellMar>
        </w:tblPrEx>
        <w:trPr>
          <w:trHeight w:val="91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1.《殡葬管理条例》第九条第一款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任何单位和个人未经批准，不得擅自兴建殡葬设施。</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2.《深圳经济特区殡葬管理条例》第十七条 设立殡仪馆、火葬场、公墓和骨灰堂等殡葬设施应当符合殡葬设施建设规划和法律、法规规定的其他条件，并按照国家有关规定办理批准或者其他相关手续。任何组织和个人未经批准不得擅自兴建殡葬设施。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未经批准，擅自兴建殡葬设施的，由民政部门会同建设、土地行政管理部门予以取缔，责令恢复原状，没收违法所得，可以并处违法所得1倍以上3倍以下的罚款。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2.《深圳经济特区殡葬管理条例》第三十三条 违反本条例第十七条规定，未经批准擅自兴建殡葬设施的，由民政部门会同规划和自然资源部门予以取缔，责令恢复原状，没收违法所得，并可以处违法所得一倍以上三倍以下罚款。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5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初次违法且违法违法所得在5万元以下的；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7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29"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制造、销售不符合国家技术标准的殡葬设备</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火化机、运尸车、尸体冷藏柜等殡葬设备，必须符合国家规定的技术标准。禁止制造、销售不符合国家技术标准的殡葬设备。</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禁止生产、销售不符合国家技术标准的殡葬设备。 </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《殡葬管理条例》第二十二条 </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第一款制造、销售不符合国家技术标准的殡葬设备的，由民政部门会同工商行政管理部门责令停止制造、销售，可以并处制造、销售金额1倍以上3倍以下的罚款。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1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制造、销售封建迷信殡葬用品</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禁止制造、销售封建迷信的丧葬用品。禁止在实行火葬的地区出售棺材等土葬用品。</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禁止生产、销售封建迷信丧葬用品。</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《殡葬管理条例》第二十二条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第二款制造、销售封建迷信殡葬用品的，由民政部门会同工商行政管理部门予以没收，可以并处制造、销售金额1倍以上3倍以下的罚款。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1"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除法律、法规规定允许土葬的专门墓园外，公墓内不得埋葬尸体或者装棺埋葬骨灰、骸骨。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严格限制墓穴占地面积，安葬遗体的墓穴每个占地不得超过四平方米，安葬骨灰或者骸骨的墓穴每个占地不得超过一平方米。</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3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墓穴占地面积超过标准1倍以上，2倍以下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墓穴占地面积超过标准2倍以上；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违反规定出售墓穴、骨灰存放格位的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经营性公墓和骨灰堂应当凭殡仪馆出具的火化证明出售墓穴、骨灰存放格位。但是为死者健在的配偶留作合葬的墓穴除外。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第一款规定出售墓穴、骨灰存放格位的，由民政部门责令停止违法活动，没收违法所得，并可处以违法所得一倍以上三倍以下罚款。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违反规定出售墓穴、骨灰存放格位低于3个的。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4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违反规定转让墓穴、骨灰存放格位的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禁止转让墓穴、骨灰存放格位。</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第二款规定转让墓穴、骨灰存放格位的，由民政部门责令停止违法活动，没收违法所得，并可处以违法所得一倍以上三倍以下罚款。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违反规定转让墓穴、骨灰存放格位低于3个的；</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r>
              <w:rPr>
                <w:rFonts w:hint="eastAsia" w:ascii="仿宋_GB2312" w:hAnsi="宋体" w:eastAsia="仿宋_GB2312" w:cs="宋体"/>
                <w:kern w:val="0"/>
                <w:sz w:val="18"/>
                <w:szCs w:val="20"/>
              </w:rPr>
              <w:br w:type="page"/>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1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5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公民在本市死亡的，尸体应当实行火化，但国家规定可以土葬的少数民族人员除外。少数民族人员自愿实行丧葬改革的，他人不得干涉。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经民族宗教事务管理部门和民政部门确认符合前款规定土葬条件的死者，其遗体应当在政府批准设置的专门墓园内安葬。</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本条例第七条规定对应当火化的尸体实施土葬的，由民政部门责令丧事承办人限期办理火化手续；逾期拒不办理的，由民政部门实行强制火化，所需费用由丧事承办人负担，并由民政部门对丧事承办人处以五千元以上一万元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将应当火化的遗体土葬的，经民政部门责令丧事承办人限期办理火化手续后，在规定期限内主动改正违法行为，未造成不良影响的。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逾期不办理火化，民政部门强制火化时予以配合的。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并处5000元以上7000元以下罚款。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逾期不办理火化，民政部门强制火化时不予配合的。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并处7000元以上1万元以下罚款。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为违法土葬提供土地的单位或者个人，由民政部门没收违法所得，并对其处以五千元以上一万元以下罚款。</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第二款为违法土葬提供土地的单位或者个人，由民政部门没收违法所得，并对其处以五千元以上一万元以下罚款。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没收违法所得，并处5000元以上8000元以下罚款。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没收违法所得，并处8000元以上1万元以下罚款。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2"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《深圳经济特区殡葬管理条例》第八条</w:t>
            </w:r>
            <w:r>
              <w:rPr>
                <w:rFonts w:hint="eastAsia" w:ascii="仿宋_GB2312" w:hAnsi="宋体" w:eastAsia="仿宋_GB2312" w:cs="宋体"/>
                <w:kern w:val="0"/>
                <w:sz w:val="18"/>
                <w:szCs w:val="20"/>
              </w:rPr>
              <w:br w:type="page"/>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凡在本市范围内死亡的人员，应当实行火化的，其尸体不得运出本市。但是法律、法规另有规定的除外。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违反本条例第八条规定擅自将在本市死亡人员的尸体运出本市的，由民政部门对直接责任人员处五千元罚款；为违法外运尸体提供便利条件的，对其处三千元罚款。</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擅自将在本市死亡人员的尸体运出本市的，由民政部门对直接责任人员处以五千元罚款；为违法外运尸体提供便利条件的，对其处以三千元罚款。</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未经批准从事殡葬服务业务的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殡葬服务业属特种行业，由民政部门统一实行行业管理。从事殡葬服务业务和殡葬设备、用品生产、销售的，应当按照国家有关规定办理批准或者其他有关手续。</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《深圳经济特区殡葬管理条例》第三十六条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违反本条例第二十五条规定未经批准从事殡葬服务业务的，由民政部门会同市场监管部门责令停止业务，没收违法所得，并可以处违法所得一倍以上三倍以下罚款。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违法行为经责令立即停止，主动改正违法行为，违法行为没有造成危害后果；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违法所得低于5000元的；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开展服务次数未超过3次的。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11" w:hRule="atLeast"/>
          <w:jc w:val="center"/>
        </w:trPr>
        <w:tc>
          <w:tcPr>
            <w:tcW w:w="206"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经责令未在限期内改正或改正达不到要求的；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违法所得5000元以上，5万元以下的；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开展服务次数超过3次以上，10次以下的。</w:t>
            </w:r>
          </w:p>
        </w:tc>
        <w:tc>
          <w:tcPr>
            <w:tcW w:w="837"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违法行为被发现后，经责令拒不改正的；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开展服务次数超过10次的。</w:t>
            </w:r>
          </w:p>
        </w:tc>
        <w:tc>
          <w:tcPr>
            <w:tcW w:w="837"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bookmarkStart w:id="3" w:name="RANGE!A1:H8"/>
    </w:p>
    <w:tbl>
      <w:tblPr>
        <w:tblStyle w:val="4"/>
        <w:tblW w:w="5225" w:type="pct"/>
        <w:tblInd w:w="-318" w:type="dxa"/>
        <w:tblLayout w:type="autofit"/>
        <w:tblCellMar>
          <w:top w:w="0" w:type="dxa"/>
          <w:left w:w="108" w:type="dxa"/>
          <w:bottom w:w="0" w:type="dxa"/>
          <w:right w:w="108" w:type="dxa"/>
        </w:tblCellMar>
      </w:tblPr>
      <w:tblGrid>
        <w:gridCol w:w="723"/>
        <w:gridCol w:w="1591"/>
        <w:gridCol w:w="2035"/>
        <w:gridCol w:w="2743"/>
        <w:gridCol w:w="1087"/>
        <w:gridCol w:w="3371"/>
        <w:gridCol w:w="2112"/>
        <w:gridCol w:w="749"/>
        <w:gridCol w:w="401"/>
      </w:tblGrid>
      <w:tr>
        <w:tblPrEx>
          <w:tblCellMar>
            <w:top w:w="0" w:type="dxa"/>
            <w:left w:w="108" w:type="dxa"/>
            <w:bottom w:w="0" w:type="dxa"/>
            <w:right w:w="108" w:type="dxa"/>
          </w:tblCellMar>
        </w:tblPrEx>
        <w:trPr>
          <w:gridAfter w:val="1"/>
          <w:wAfter w:w="135" w:type="pct"/>
          <w:trHeight w:val="1140" w:hRule="atLeast"/>
        </w:trPr>
        <w:tc>
          <w:tcPr>
            <w:tcW w:w="4865"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（区划）</w:t>
            </w:r>
            <w:bookmarkEnd w:id="3"/>
          </w:p>
        </w:tc>
      </w:tr>
      <w:tr>
        <w:tblPrEx>
          <w:tblCellMar>
            <w:top w:w="0" w:type="dxa"/>
            <w:left w:w="108" w:type="dxa"/>
            <w:bottom w:w="0" w:type="dxa"/>
            <w:right w:w="108" w:type="dxa"/>
          </w:tblCellMar>
        </w:tblPrEx>
        <w:trPr>
          <w:trHeight w:val="533" w:hRule="atLeast"/>
        </w:trPr>
        <w:tc>
          <w:tcPr>
            <w:tcW w:w="2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13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7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88"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4"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故意损毁或者擅自移动界桩或者其他行政区域界线标志物</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《行政区域界线管理条例》第六条第一款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任何组织或者个人不得擅自移动或者损坏界桩。非法移动界桩的，其行为无效。</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界桩破损程度较轻，可以修复，并主动支付修复或恢复费用。 </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责令支付修复或恢复费用，处以500元以下罚款。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0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界桩破损程度较重，无法修复；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擅自移动界桩。</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责令支付修复或恢复费用，处以500元以上，1000元以下罚款。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92"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擅自编制行政区域界线详图，或者绘制的地图的行政区域界线的画法与行政区域界线详图的画法不一致</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没收，没收违法所得，罚款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没收违法编制的行政区域界线详图和违法所得，不予罚款。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2"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以营利为目的，绘制的地图的行政区域界线的画法与行政区域界线详图的画法不一致，对外发行累计5000份以下。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没收违法编制的行政区域界线详图和违法所得，并处以2000元以上，5000元以下罚款。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以营利为目的，绘制的地图的行政区域界线的画法与行政区域界线详图的画法不一致，对外发行累计5000份以上；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没收违法编制的行政区域界线详图和违法所得，并处以5000元以上1万元以下罚款。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4" w:name="RANGE!A1:H11"/>
    </w:p>
    <w:bookmarkEnd w:id="4"/>
    <w:tbl>
      <w:tblPr>
        <w:tblStyle w:val="4"/>
        <w:tblW w:w="5218" w:type="pct"/>
        <w:jc w:val="center"/>
        <w:tblLayout w:type="autofit"/>
        <w:tblCellMar>
          <w:top w:w="0" w:type="dxa"/>
          <w:left w:w="108" w:type="dxa"/>
          <w:bottom w:w="0" w:type="dxa"/>
          <w:right w:w="108" w:type="dxa"/>
        </w:tblCellMar>
      </w:tblPr>
      <w:tblGrid>
        <w:gridCol w:w="737"/>
        <w:gridCol w:w="1497"/>
        <w:gridCol w:w="2038"/>
        <w:gridCol w:w="2769"/>
        <w:gridCol w:w="1059"/>
        <w:gridCol w:w="3009"/>
        <w:gridCol w:w="2470"/>
        <w:gridCol w:w="1166"/>
        <w:gridCol w:w="47"/>
      </w:tblGrid>
      <w:tr>
        <w:tblPrEx>
          <w:tblCellMar>
            <w:top w:w="0" w:type="dxa"/>
            <w:left w:w="108" w:type="dxa"/>
            <w:bottom w:w="0" w:type="dxa"/>
            <w:right w:w="108" w:type="dxa"/>
          </w:tblCellMar>
        </w:tblPrEx>
        <w:trPr>
          <w:trHeight w:val="1200" w:hRule="atLeast"/>
          <w:jc w:val="center"/>
        </w:trPr>
        <w:tc>
          <w:tcPr>
            <w:tcW w:w="5000" w:type="pct"/>
            <w:gridSpan w:val="9"/>
            <w:tcBorders>
              <w:top w:val="nil"/>
              <w:left w:val="nil"/>
              <w:bottom w:val="single" w:color="auto" w:sz="4" w:space="0"/>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6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（社会救助）</w:t>
            </w:r>
          </w:p>
        </w:tc>
      </w:tr>
      <w:tr>
        <w:tblPrEx>
          <w:tblCellMar>
            <w:top w:w="0" w:type="dxa"/>
            <w:left w:w="108" w:type="dxa"/>
            <w:bottom w:w="0" w:type="dxa"/>
            <w:right w:w="108" w:type="dxa"/>
          </w:tblCellMar>
        </w:tblPrEx>
        <w:trPr>
          <w:gridAfter w:val="1"/>
          <w:wAfter w:w="17" w:type="pct"/>
          <w:trHeight w:val="539"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5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gridAfter w:val="1"/>
          <w:wAfter w:w="17" w:type="pct"/>
          <w:trHeight w:val="1549"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申请或者已获得社会救助的家庭，应当按照规定如实申报家庭收入状况、财产状况。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2.《城市居民最低生活保障条例》第七条第二款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3.《深圳市最低生活保障办法》第二十四条第三款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获得最低生活保障家庭及人员应当积极配合区民政部门、街道办事处有关抽查、复核和调查评估工作。</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2.《城市居民最低生活保障条例》第十四条 第（一）项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3.《广东省最低生活保障制度实施办法》第二十九条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最低生活保障金的，由审批机关取消其最低生活保障，责令退回非法获取的最低生活保障金，将有关情况依照国家和省有关规定记入当事人信用档案，并通过公共信用信息共享平台予以公开；情节严重的，处骗取金额1倍以上3倍以下罚款；构成违反治安管理行为的，依法给予治安管理处罚。</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4.《深圳市最低生活保障办法》第三十五条第（一）项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一）采取虚报、瞒报、伪造等违法手段、骗取最低生活保障待遇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537"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546"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283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120"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在享受城市居民最低生活保障待遇期间家庭收入情况好转，不按规定告知管理审批机关，继续享受城市居民最低生活保障待遇</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1.《城市居民最低生活保障条例》第十条第一款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享受城市居民最低生活保障待遇的城市居民家庭人均收入情况发生变化的，应当及时通过居民委员会告知管理审批机关，办理停发、减发或者增发城市居民最低生活保障待遇的手续。</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《深圳市最低生活保障办法》第二十五条第一款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获得最低生活保障家庭应当如实报告家庭经济状况和生活状况等情况。家庭经济状况和生活状况发生变化的，申请人或者其家庭成员应当在变化发生后三十日内向受理最低保障申请的街道办事处报告。</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1.《城市居民最低生活保障条例》第十四条第一款第（一）项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《深圳市最低生活保障办法》第三十五条第（二）项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二）享受最低生活保障待遇期间，最低生活保障人员家庭经济状况和生活状况发生变化，不再符合最低生活保障待遇条件，未按照本办法规定报告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40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追回冒领款物，不予罚款。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410"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违法行为持续时间在3个月以上，6个月以下；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追回冒领款物；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处冒领金额1倍罚款。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339"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违法行为持续时间在6个月以上；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处冒领金额3倍罚款。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974"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违反规定，截留、挤占、挪用、私分社会救助资金、物资</w:t>
            </w:r>
          </w:p>
        </w:tc>
        <w:tc>
          <w:tcPr>
            <w:tcW w:w="68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1.《社会救助暂行办法》第五条第二款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2.《广东省社会救助条例》第七条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tc>
        <w:tc>
          <w:tcPr>
            <w:tcW w:w="93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违反本办法规定，截留、挤占、挪用、私分社会救助资金、物资的，由有关部门责令追回；有违法所得的，没收违法所得；对直接负责的主管人员和其他直接责任人员依法给予处分。</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2.《广东省社会救助条例》第九十条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违反本条例规定，截留、挤占、挪用、私分社会救助资金、物资的，由有关部门责令追回；有违法所得的，没收违法所得；对直接负责的主管人员和其他直接责任人员依法给予处分。</w:t>
            </w:r>
          </w:p>
        </w:tc>
        <w:tc>
          <w:tcPr>
            <w:tcW w:w="35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截留、挤占、挪用、私分社会救助资金、物资的。</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责令追回；</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bl>
    <w:p>
      <w:pPr>
        <w:spacing w:line="40" w:lineRule="exact"/>
      </w:pPr>
      <w:bookmarkStart w:id="5" w:name="RANGE!A1:H16"/>
      <w:r>
        <w:br w:type="page"/>
      </w:r>
    </w:p>
    <w:tbl>
      <w:tblPr>
        <w:tblStyle w:val="4"/>
        <w:tblW w:w="5193" w:type="pct"/>
        <w:jc w:val="center"/>
        <w:tblLayout w:type="autofit"/>
        <w:tblCellMar>
          <w:top w:w="0" w:type="dxa"/>
          <w:left w:w="108" w:type="dxa"/>
          <w:bottom w:w="0" w:type="dxa"/>
          <w:right w:w="108" w:type="dxa"/>
        </w:tblCellMar>
      </w:tblPr>
      <w:tblGrid>
        <w:gridCol w:w="650"/>
        <w:gridCol w:w="1555"/>
        <w:gridCol w:w="2070"/>
        <w:gridCol w:w="2735"/>
        <w:gridCol w:w="1072"/>
        <w:gridCol w:w="3009"/>
        <w:gridCol w:w="2464"/>
        <w:gridCol w:w="1166"/>
      </w:tblGrid>
      <w:tr>
        <w:tblPrEx>
          <w:tblCellMar>
            <w:top w:w="0" w:type="dxa"/>
            <w:left w:w="108" w:type="dxa"/>
            <w:bottom w:w="0" w:type="dxa"/>
            <w:right w:w="108" w:type="dxa"/>
          </w:tblCellMar>
        </w:tblPrEx>
        <w:trPr>
          <w:trHeight w:val="1014" w:hRule="atLeast"/>
          <w:jc w:val="center"/>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（福利彩票）</w:t>
            </w:r>
            <w:bookmarkEnd w:id="5"/>
          </w:p>
        </w:tc>
      </w:tr>
      <w:tr>
        <w:tblPrEx>
          <w:tblCellMar>
            <w:top w:w="0" w:type="dxa"/>
            <w:left w:w="108" w:type="dxa"/>
            <w:bottom w:w="0" w:type="dxa"/>
            <w:right w:w="108" w:type="dxa"/>
          </w:tblCellMar>
        </w:tblPrEx>
        <w:trPr>
          <w:trHeight w:val="529"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99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彩票代销者委托他人代销彩票或者转借、出租、出售彩票投注专用设备</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1.《彩票管理条例》第十五条第二款</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彩票代销者不得委托他人代销彩票。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2.《彩票管理条例》第十六条 </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彩票销售机构应当为彩票代销者配置彩票投注专用设备。彩票投注专用设备属于彩票销售机构所有，彩票代销者不得转借、出租、出售。</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彩票代销者有下列行为之一的，由民政部门、体育行政部门责令改正，处2000元以上1万元以下罚款；有违法所得的，没收违法所得：（一）委托他人代销彩票或者转借、出租、出售彩票投注专用设备的；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初次转借、出租的，且转借、出租时间累计6个月内的。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委托期限3个月以上6个月内的；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转借、出租2次以上的；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转借、出租时间累计6个月以上12个月内的。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委托期限6个月以上的；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转借、出租时间累计12个月以上的；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彩票代销者出售彩票投注专用设备的。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1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彩票代销者进行虚假性、误导性宣传</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彩票发行机构、彩票销售机构、彩票代销者不得有下列行为：（一）进行虚假性、误导性宣传；</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彩票代销者有下列行为之一的，由民政部门、体育行政部门责令改正，处2000元以上1万元以下罚款；有违法所得的，没收违法所得：（二）进行虚假性、误导性宣传的；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仅在口头上进行虚假性、误导性宣传的。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在销售场所内进行虚假性、误导性书面宣传的。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彩票代销者以诋毁同业者等手段进行不正当竞争</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彩票发行机构、彩票销售机构、彩票代销者不得有下列行为：（二）以诋毁同业者等手段进行不正当竞争；</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彩票代销者有下列行为之一的，由民政部门、体育行政部门责令改正，处2000元以上1万元以下罚款；有违法所得的，没收违法所得：（三）以诋毁同业者等手段进行不正当竞争的；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仅在销售场所内以口头诋毁等手段进行不正当竞争的。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5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在销售场所内以书面诋毁等手段进行不正当竞争的。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在销售场所外或网络上以诋毁等手段进行不正当竞争的。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彩票代销者向未成年人销售彩票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彩票发行机构、彩票销售机构、彩票代销者不得有下列行为：（三）向未成年人销售彩票；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彩票代销者有下列行为之一的，由民政部门、体育行政部门责令改正，处2000元以上1万元以下罚款；有违法所得的，没收违法所得：（四）向未成年人销售彩票的；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明知购买者为未成年人，而向其销售彩票的。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8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诱导未成年人购买彩票的。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彩票代销者以赊销或者信用方式销售彩票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彩票发行机构、彩票销售机构、彩票代销者不得有下列行为：（四）以赊销或者信用方式销售彩票。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《彩票管理条例》第四十一条第一款第（五）项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彩票代销者有下列行为之一的，由民政部门、体育行政部门责令改正，处2000元以上1万元以下罚款；有违法所得的，没收违法所得：（五）以赊销或者信用方式销售彩票的。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以赊销或者信用方式销售彩票金额累计低于5000元的。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1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以赊销或者信用方式销售彩票金额累计5000元以上1万元以下的。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以赊销或者信用方式销售彩票金额累计10000元以上的。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pPr>
        <w:adjustRightInd w:val="0"/>
        <w:snapToGrid w:val="0"/>
        <w:spacing w:line="220" w:lineRule="exact"/>
        <w:jc w:val="left"/>
        <w:rPr>
          <w:rFonts w:ascii="仿宋_GB2312" w:hAnsi="宋体" w:eastAsia="仿宋_GB2312" w:cs="宋体"/>
          <w:kern w:val="0"/>
          <w:sz w:val="18"/>
          <w:szCs w:val="20"/>
        </w:rPr>
      </w:pPr>
    </w:p>
    <w:p>
      <w:pPr>
        <w:adjustRightInd w:val="0"/>
        <w:snapToGrid w:val="0"/>
        <w:spacing w:line="220" w:lineRule="exact"/>
        <w:jc w:val="left"/>
        <w:rPr>
          <w:rFonts w:ascii="仿宋_GB2312" w:hAnsi="宋体" w:eastAsia="仿宋_GB2312" w:cs="宋体"/>
          <w:kern w:val="0"/>
          <w:sz w:val="18"/>
          <w:szCs w:val="20"/>
        </w:rPr>
      </w:pPr>
    </w:p>
    <w:p/>
    <w:p/>
    <w:p/>
    <w:p>
      <w:pPr>
        <w:rPr>
          <w:rFonts w:hint="eastAsia"/>
        </w:rPr>
      </w:pPr>
    </w:p>
    <w:p>
      <w:pPr>
        <w:rPr>
          <w:rFonts w:hint="eastAsia"/>
        </w:rPr>
      </w:pPr>
    </w:p>
    <w:p/>
    <w:p/>
    <w:p/>
    <w:p/>
    <w:tbl>
      <w:tblPr>
        <w:tblStyle w:val="4"/>
        <w:tblW w:w="5171" w:type="pct"/>
        <w:jc w:val="center"/>
        <w:tblLayout w:type="autofit"/>
        <w:tblCellMar>
          <w:top w:w="0" w:type="dxa"/>
          <w:left w:w="108" w:type="dxa"/>
          <w:bottom w:w="0" w:type="dxa"/>
          <w:right w:w="108" w:type="dxa"/>
        </w:tblCellMar>
      </w:tblPr>
      <w:tblGrid>
        <w:gridCol w:w="648"/>
        <w:gridCol w:w="1448"/>
        <w:gridCol w:w="2114"/>
        <w:gridCol w:w="2688"/>
        <w:gridCol w:w="1064"/>
        <w:gridCol w:w="3014"/>
        <w:gridCol w:w="2469"/>
        <w:gridCol w:w="1214"/>
      </w:tblGrid>
      <w:tr>
        <w:tblPrEx>
          <w:tblCellMar>
            <w:top w:w="0" w:type="dxa"/>
            <w:left w:w="108" w:type="dxa"/>
            <w:bottom w:w="0" w:type="dxa"/>
            <w:right w:w="108" w:type="dxa"/>
          </w:tblCellMar>
        </w:tblPrEx>
        <w:trPr>
          <w:trHeight w:val="71" w:hRule="atLeast"/>
          <w:jc w:val="center"/>
        </w:trPr>
        <w:tc>
          <w:tcPr>
            <w:tcW w:w="5000" w:type="pct"/>
            <w:gridSpan w:val="8"/>
            <w:tcBorders>
              <w:bottom w:val="single" w:color="auto" w:sz="6" w:space="0"/>
            </w:tcBorders>
            <w:vAlign w:val="center"/>
          </w:tcPr>
          <w:p>
            <w:pPr>
              <w:adjustRightInd w:val="0"/>
              <w:snapToGrid w:val="0"/>
              <w:spacing w:line="560" w:lineRule="exact"/>
              <w:jc w:val="center"/>
              <w:rPr>
                <w:rFonts w:ascii="仿宋_GB2312" w:hAnsi="黑体"/>
                <w:spacing w:val="10"/>
                <w:kern w:val="0"/>
                <w:sz w:val="32"/>
                <w:szCs w:val="32"/>
              </w:rPr>
            </w:pPr>
            <w:r>
              <w:rPr>
                <w:rFonts w:hint="eastAsia" w:ascii="方正小标宋简体" w:hAnsi="宋体" w:eastAsia="方正小标宋简体" w:cs="宋体"/>
                <w:kern w:val="0"/>
                <w:sz w:val="40"/>
                <w:szCs w:val="28"/>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32"/>
              </w:rPr>
              <w:t>（养老）</w:t>
            </w:r>
          </w:p>
        </w:tc>
      </w:tr>
      <w:tr>
        <w:tblPrEx>
          <w:tblCellMar>
            <w:top w:w="0" w:type="dxa"/>
            <w:left w:w="108" w:type="dxa"/>
            <w:bottom w:w="0" w:type="dxa"/>
            <w:right w:w="108" w:type="dxa"/>
          </w:tblCellMar>
        </w:tblPrEx>
        <w:trPr>
          <w:trHeight w:val="430"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4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0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未与老年人或者其代理人订立养老服务合同</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一般包括下列条款：（一）养老机构的名称、住所、法定代表人或者主要负责人、联系方式；（二）老年人或者其代理人和紧急联系人的姓名、住址、身份证明、联系方式；（三）照料护理等级和服务内容、服务方式；（四）收费标准和费用支付方式；（五）服务期限和场所；（六）协议变更、解除与终止的条件；（七）暂停或者终止服务时老年人安置方式；（八）违约责任和争议解决方式；（九）当事人协商一致的其他内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一）未与老年人或者其代理人订立养老服务合同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未与老年人或者其代理人签订服务协议，或者未按照协议约定提供服务的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养老机构应当与老年人或者其代理人签订服务协议，明确当事人的权利和义务。服务协议一般包括下列条款：（一）养老机构的名称、住所、法定代表人或者主要负责人、联系方式；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老年人或者其代理人和紧急联系人的姓名、住址、身份证明、联系方式；（三）照料护理等级和服务内容、服务方式；（四）收费标准和费用支付方式；（五）服务期限和场所；（六）协议变更、解除与终止的条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（七）暂停或者终止服务时老年人安置方式；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（八）违约责任和争议解决方式；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（九）当事人协商一致的其他内容。</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第一款第（二）项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养老机构有下列行为之一的，由民政部门责令改正，给予警告；情节严重的，处以3万元以下的罚款；（二）未与老年人或者其代理人签订服务协议，或者未按照协议约定提供服务的；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65" w:leftChars="-31" w:firstLine="64" w:firstLineChars="36"/>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83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未按照协议约定提供服务3项以上，5项以下的；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未按照协议约定提供服务超过5项的。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未按照有关强制性国家标准提供服务的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养老机构应当按照建筑、消防、食品安全、医疗卫生、特种设备等法律、法规和强制性标准开展服务活动。养老机构及其工作人员应当依法保障收住老年人的人身权、财产权等合法权益。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养老机构有下列行为之一的，由民政部门责令改正，给予警告；情节严重的，处以3万元以下的罚款：（三）未按照有关强制性国家标准提供服务的；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2.《广东省养老服务条例》第八十三条第一款第（二）项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二）未按照有关强制性标准开展服务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未按照国家有关标准和规定开展服务，主动改正违法行为，未对服务对象造成损害。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83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未按照国家有关标准和规定开展服务，经责令后及时改正，对服务对象造成较小损害。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未按照国家有关标准和规定开展服务，经责令后未及时改正，对服务对象造成一定损害的。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未按照有关强制性标准开展服务，对服务对象造成较大损害或造成严重不良社会影响的。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1.《养老机构管理办法》第二十六条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养老机构应当配备与服务和运营相适应的工作人员，并依法与其签订聘用合同或者劳动合同，定期开展职业道德教育和业务培训。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养老机构中从事医疗、康复、消防等服务的人员，应当具备相应的职业资格。养老机构应当加强对养老护理人员的职业技能培训，建立健全体现职业技能等级等因素的薪酬制度。</w:t>
            </w:r>
          </w:p>
          <w:p>
            <w:pPr>
              <w:adjustRightInd w:val="0"/>
              <w:snapToGrid w:val="0"/>
              <w:spacing w:line="22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 第二款</w:t>
            </w:r>
            <w:r>
              <w:rPr>
                <w:rFonts w:hint="eastAsia" w:ascii="仿宋_GB2312" w:hAnsi="宋体" w:eastAsia="仿宋_GB2312" w:cs="宋体"/>
                <w:kern w:val="0"/>
                <w:sz w:val="18"/>
                <w:szCs w:val="20"/>
              </w:rPr>
              <w:br w:type="page"/>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养老机构应当配备与服务、运营相适应的管理人员和专业技术人员，按照不同护理等级配备规定数量的养老护理人员。</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养老机构有下列行为之一的，由民政部门责令改正，给予警告；情节严重的，处以3万元以下的罚款：（四）工作人员的资格不符合规定的；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三）配备人员的资格不符合规定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配备工作人员的资格不符合规定的情形出现2-5人次；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配备人员的资格不符合规定的情形出现5人次以上。</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向负责监督检查的民政部门隐瞒有关情况、提供虚假材料或者拒绝提供反映其活动情况真实材料</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1.《养老机构管理办法》第三十七条第三款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对民政部门依法进行的监督检查，养老机构应当配合，如实提供相关资料和信息，不得隐瞒、拒绝、阻碍。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2.《养老机构管理办法》第四十二条 民政部门应当定期开展养老服务行业统计工作，养老机构应当及时准确报送相关信息。</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《养老机构管理办法》第四十六条第一款第（八）项</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养老机构有下列行为之一的，由民政部门责令改正，给予警告；情节严重的，处以3万元以下的罚款：（八）向负责监督检查的民政部门隐瞒有关情况、提供虚假材料或者拒绝提供反映其活动情况真实材料的；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1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多次（两次或两次以上）向负责监督检查的民政部门隐瞒有关情况、提供虚假材料或者拒绝提供反映其活动情况真实材料；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2"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利用养老机构的房屋、场地、设施开展与养老服务宗旨无关的活动</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2.《广东省养老服务条例》第三十四条第四款</w:t>
            </w:r>
            <w:r>
              <w:rPr>
                <w:rFonts w:hint="eastAsia" w:ascii="仿宋_GB2312" w:hAnsi="宋体" w:eastAsia="仿宋_GB2312" w:cs="宋体"/>
                <w:kern w:val="0"/>
                <w:sz w:val="18"/>
                <w:szCs w:val="20"/>
              </w:rPr>
              <w:br w:type="page"/>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禁止利用养老机构的场地、建筑物、设施开展与养老服务宗旨无关的活动。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2.《广东省养老服务条例》第八十三条第一款第（五）项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五）利用养老机构的场地、建筑物、设施开展与养老服务宗旨无关的活动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5次以上利用养老机构的房屋、场地、设施开展与养老服务宗旨无关的活动的。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2.《广东省养老服务条例》第三十四条第三款</w:t>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养老机构应当加强对工作人员的职业道德教育和规范。养老机构及其工作人员应当尊重入住老年人的人格尊严，不得歧视、侮辱、虐待、遗弃老年人。</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四）歧视、侮辱、虐待、遗弃老年人或者实施其他侵犯老年人合法权益行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歧视、侮辱、虐待或遗弃老年人以及其他侵犯老年人合法权益，对老年人造成较大损害或造成严重不良社会影响的。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1.《养老机构管理办法》第三十五条第一款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养老机构因变更或者终止等原因暂停、终止服务的，应当在合理期限内提前书面通知老年人或者其代理人，并书面告知民政部门。</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2.《广东省养老服务条例》第三十七条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5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暂停、终止养老服务前未按照规定提交安置方案，对老年人造成较大损害或造成严重不良社会影响的。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1.《广东省养老服务条例》第三十七条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2.《深圳经济特区养老服务条例》第三十条第一款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妥善安置入住老年人。养老机构应当在暂停或者终止养老服务六十日前，书面告知入住老年人及其监护人，并向社会公告；同时，将入住老年人的安置方案书面告知养老机构所在地的区民政部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2.《深圳经济特区养老服务条例》第七十八条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违反本条例第三十条第一款规定，养老服务机构暂停或终止养老服务未妥善安置入住老年人的，由区民政部门责令限期改正；逾期不改正的，处十万元以上五十万元以下罚款。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暂停、终止养老服务后未妥善安置入住老年人，主动改正违法行为，未对老年人造成损害及不良社会影响的。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5"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暂停、终止养老服务后未妥善安置入住老年人，经责令后及时改正，对老年人造成一定损害或造成一定不良社会影响的。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暂停或终止养老服务后未妥善安置入住老年人，逾期不改正，逾期时间在10日以下的；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对老年人造成较大损害或造成较大不良社会影响的。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暂停或终止养老服务后未妥善安置入住老年人，逾期不改正，逾期时间超过10日的；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对老年人造成严重损害或造成严重不良社会影响的。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处30万元以上50万元以下罚款。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《广东省养老服务条例》第三十五条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 第一款第（六）项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六）未及时将患有可能影响老年人身体健康的疾病的护理人员、餐饮服务人员调离岗位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5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未及时将患有可能影响老年人身体健康的疾病的护理人员、餐饮服务人员调离岗位，对老年人造成较大损害或造成严重不良社会影响的。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擅自改变政府投资或者资助建设、配置的养老服务设施用途的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1.《广东省养老服务条例》第十五条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主动改正违法行为，违法行为没有违法所得，没有造成危害后果。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6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经责令改正后逾期不改正的，违法行为造成不良影响。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处30万元以上60万元以下罚款；</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依法取消相应投标资格并予以公告。</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擅自拆除政府投资或者资助建设的养老服务设施的，经责令恢复原状后，及时改正，未造成不良社会影响的；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处养老服务设施工程造价百分之五以上不超过百分之八的罚款。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1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处养老服务设施工程造价百分之八以上百分之十以下罚款。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擅自拆除政府投资或者资助建设的养老服务设施的，经责令恢复原状后，逾期未恢复原状的。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处养老服务设施工程重建造价两倍的罚款。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541"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4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7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1.《广东省养老服务条例》第五十七条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县级以上人民政府应当按照国家和省的有关规定，建立健全养老服务补贴制度，根据养老服务需求评估结果，对为经济困难的高龄、失能或者部分失能等老年人提供养老服务的组织或者个人，给予相应补贴。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2.《广东省养老服务条例》第五十八条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县级以上人民政府应当按照国家和省的有关规定，对社会力量设立的公益性养老服务组织给予相应的建设补贴。县级以上人民政府应当根据养老机构、医养结合机构实际服务的老年人数量等情况给予运营补贴。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3.《深圳经济特区养老服务条例》第十八条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人民政府应当通过补贴和其他激励措施引导、支持养老服务机构开展家庭养老床位建设，完善居家养老、社区养老、机构养老相互衔接的专业化长期照护服务体系，为中度以上失能老年人居家养老提供专业化照护服务。</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4.《深圳经济特区养老服务条例》第二十二条第二款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市、区人民政府可以通过公建民营、提供场地、租金补贴等方式支持社会力量举办养老服务机构。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5.《深圳经济特区养老服务条例》第三十一条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养老机构购买养老机构责任保险的，市、区人民政府可以给予适当补贴。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6.《深圳经济特区养老服务条例》第四十七条第二款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对在养老服务机构连续从事康复护理等养老服务工作达到规定年限的高等学校、职业学校、技工学校毕业生，民政部门可以给予适当奖励或者补贴。</w:t>
            </w:r>
            <w:r>
              <w:rPr>
                <w:rFonts w:hint="eastAsia" w:ascii="仿宋_GB2312" w:hAnsi="宋体" w:eastAsia="仿宋_GB2312" w:cs="宋体"/>
                <w:kern w:val="0"/>
                <w:sz w:val="18"/>
                <w:szCs w:val="20"/>
              </w:rPr>
              <w:br w:type="page"/>
            </w:r>
          </w:p>
        </w:tc>
        <w:tc>
          <w:tcPr>
            <w:tcW w:w="9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《深圳经济特区养老服务条例》第八十条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养老服务机构或者个人骗取补贴、补助、奖励的，由区民政部门责令退回，并处骗取补贴、补助、奖励数额三倍罚款；构成犯罪的，依法追究刑事责任。  </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责令退回，并处骗取补贴、补助、奖励数额3倍罚款。</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09"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建立入院评估制度，对老年人的身心状况进行评估，并根据评估结果确定照料护理等级。老年人身心状况发生变化，需要变更照料护理等级的，养老机构应当重新进行评估。养老机构确定或者变更老年人照料护理等级，应当经老年人或者其代理人同意。</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养老机构有下列行为之一的，由民政部门责令改正，给予警告；情节严重的，处以3万元以下的罚款：（一）未建立入院评估制度或者未按照规定开展评估活动的；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0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未依照规定预防和处置突发事件的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《养老机构管理办法》第三十一条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养老机构应当依法制定自然灾害、事故灾难、公共卫生事件、社会安全事件等突发事件应急预案，在场所内配备报警装置和必要的应急救援设备、设施，定期开展突发事件应急演练。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突发事件发生后，养老机构应当立即启动应急预案，采取防止危害扩大的必要处置措施，同时根据突发事件应对管理职责分工向有关部门和民政部门报告。</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《养老机构管理办法》第四十六条第一款第（六）项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第四十六条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养老机构有下列行为之一的，由民政部门责令改正，给予警告；情节严重的，处以3万元以下的罚款：（六）未依照本办法规定预防和处置突发事件的；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9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《中华人民共和国老年人权益保障法》第四十五条第一款第（四）项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停业整顿</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不予处罚。</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70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停业整顿1个月。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经责令改正没有及时改正，违法行为造成不良影响；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停业整顿3个月。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停业整顿6个月。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法律、法规、规章规定的其他违法行为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第一款第（九）项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94" w:hRule="atLeast"/>
          <w:jc w:val="center"/>
        </w:trPr>
        <w:tc>
          <w:tcPr>
            <w:tcW w:w="2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有法律、法规、规章规定的其他违法行为，对老年人造成损害的；</w:t>
            </w:r>
          </w:p>
        </w:tc>
        <w:tc>
          <w:tcPr>
            <w:tcW w:w="842"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42"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6" w:name="RANGE!A1:H14"/>
    </w:p>
    <w:p/>
    <w:p/>
    <w:p/>
    <w:p/>
    <w:p/>
    <w:tbl>
      <w:tblPr>
        <w:tblStyle w:val="4"/>
        <w:tblW w:w="5223" w:type="pct"/>
        <w:tblInd w:w="-318" w:type="dxa"/>
        <w:tblLayout w:type="autofit"/>
        <w:tblCellMar>
          <w:top w:w="0" w:type="dxa"/>
          <w:left w:w="108" w:type="dxa"/>
          <w:bottom w:w="0" w:type="dxa"/>
          <w:right w:w="108" w:type="dxa"/>
        </w:tblCellMar>
      </w:tblPr>
      <w:tblGrid>
        <w:gridCol w:w="681"/>
        <w:gridCol w:w="1549"/>
        <w:gridCol w:w="2108"/>
        <w:gridCol w:w="2698"/>
        <w:gridCol w:w="1113"/>
        <w:gridCol w:w="2988"/>
        <w:gridCol w:w="2431"/>
        <w:gridCol w:w="1238"/>
      </w:tblGrid>
      <w:tr>
        <w:tblPrEx>
          <w:tblCellMar>
            <w:top w:w="0" w:type="dxa"/>
            <w:left w:w="108" w:type="dxa"/>
            <w:bottom w:w="0" w:type="dxa"/>
            <w:right w:w="108" w:type="dxa"/>
          </w:tblCellMar>
        </w:tblPrEx>
        <w:trPr>
          <w:trHeight w:val="1275" w:hRule="atLeast"/>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（志愿服务）</w:t>
            </w:r>
            <w:bookmarkEnd w:id="6"/>
          </w:p>
        </w:tc>
      </w:tr>
      <w:tr>
        <w:tblPrEx>
          <w:tblCellMar>
            <w:top w:w="0" w:type="dxa"/>
            <w:left w:w="108" w:type="dxa"/>
            <w:bottom w:w="0" w:type="dxa"/>
            <w:right w:w="108" w:type="dxa"/>
          </w:tblCellMar>
        </w:tblPrEx>
        <w:trPr>
          <w:trHeight w:val="539" w:hRule="atLeast"/>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1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90"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1.《志愿服务条例》第二十条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志愿服务组织、志愿服务对象应当尊重志愿者的人格尊严;未经志愿者本人同意，不得公开或者泄露其有关信息。</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志愿服务组织泄露志愿者有关信息、侵害志愿服务对象个人隐私的，由民政部门予以警告，责令限期改正;逾期不改正的，责令限期停止活动并进行整改;情节严重的，吊销登记证书并予以公告。</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市、区民政部门。吊销登记证书行政处罚，由原发证机关实施。</w:t>
            </w:r>
          </w:p>
        </w:tc>
      </w:tr>
      <w:tr>
        <w:tblPrEx>
          <w:tblCellMar>
            <w:top w:w="0" w:type="dxa"/>
            <w:left w:w="108" w:type="dxa"/>
            <w:bottom w:w="0" w:type="dxa"/>
            <w:right w:w="108" w:type="dxa"/>
          </w:tblCellMar>
        </w:tblPrEx>
        <w:trPr>
          <w:trHeight w:val="1252"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志愿服务组织泄露志愿者有关信息、侵害志愿服务对象个人隐私，经责令后未及时改正，造成不良影响。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志愿服务组织泄露志愿者有关信息、侵害志愿服务对象个人隐私，经责令改正拒不改正，造成严重影响。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8"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志愿服务组织、志愿者向志愿服务对象收取或者变相收取报酬的，由民政部门予以警告，责令退还收取的报酬;情节严重的，对有关组织或者个人并处所收取报酬一倍以上五倍以下的罚款。</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主动退还收取的报酬，违法行为没有造成危害后果。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6"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处以收取报酬1倍以上2倍以下罚款。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4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经责令后未能按时退还收取的报酬；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处以收取报酬2倍以上3倍以下罚款。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经责令后拒不退还收取的报酬；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处以收取报酬3倍以上5倍以下罚款。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1.《志愿服务条例》第十九条第一款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2.《志愿服务条例》第十九条第二款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志愿者需要志愿服务记录证明的，志愿服务组织应当依据志愿服务记录无偿、如实出具。</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志愿服务组织不依法记录志愿服务信息或者出具志愿服务记录证明的，由民政部门予以警告，责令限期改正;逾期不改正的，责令限期停止活动，并可以向社会和有关单位通报。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警告、通报批评、限期停止活动</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志愿服务组织不依法记录志愿服务信息或者出具志愿服务记录证明，经责令后及时改正，违法行为没有造成危害后果。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志愿服务组织不依法记录志愿服务信息或者出具志愿服务记录证明，经责令后未能及时改正，违法行造成不良影响。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志愿服务组织不依法记录志愿服务信息或者出具志愿服务记录证明，经责令后拒不改正，违法行造成严重影响。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7"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伪造、变造或者使用伪造、变造的志愿服务记录证明的</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《广东省志愿服务条例》第二十条第三款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任何组织和个人不得伪造、变造或者使用伪造、变造的志愿服务记录证明。</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《广东省志愿服务条例》第三十五条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任何组织和个人违反本条例第二十条第三款规定，伪造、变造或者使用伪造、变造的志愿服务记录证明的，由民政部门予以警告，责令改正，并可以向社会和有关单位通报。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0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伪造、变造或者使用伪造、变造的志愿服务记录证明，违法行为造成不良影响的。</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bl>
    <w:p>
      <w:bookmarkStart w:id="7" w:name="RANGE!A1:H77"/>
    </w:p>
    <w:p/>
    <w:p/>
    <w:p/>
    <w:p/>
    <w:p/>
    <w:p/>
    <w:p/>
    <w:tbl>
      <w:tblPr>
        <w:tblStyle w:val="4"/>
        <w:tblW w:w="5319" w:type="pct"/>
        <w:jc w:val="center"/>
        <w:tblLayout w:type="autofit"/>
        <w:tblCellMar>
          <w:top w:w="0" w:type="dxa"/>
          <w:left w:w="108" w:type="dxa"/>
          <w:bottom w:w="0" w:type="dxa"/>
          <w:right w:w="108" w:type="dxa"/>
        </w:tblCellMar>
      </w:tblPr>
      <w:tblGrid>
        <w:gridCol w:w="693"/>
        <w:gridCol w:w="1640"/>
        <w:gridCol w:w="2105"/>
        <w:gridCol w:w="2699"/>
        <w:gridCol w:w="1098"/>
        <w:gridCol w:w="3007"/>
        <w:gridCol w:w="2615"/>
        <w:gridCol w:w="1188"/>
        <w:gridCol w:w="33"/>
      </w:tblGrid>
      <w:tr>
        <w:tblPrEx>
          <w:tblCellMar>
            <w:top w:w="0" w:type="dxa"/>
            <w:left w:w="108" w:type="dxa"/>
            <w:bottom w:w="0" w:type="dxa"/>
            <w:right w:w="108" w:type="dxa"/>
          </w:tblCellMar>
        </w:tblPrEx>
        <w:trPr>
          <w:gridAfter w:val="1"/>
          <w:wAfter w:w="11" w:type="pct"/>
          <w:trHeight w:val="1196" w:hRule="atLeast"/>
          <w:jc w:val="center"/>
        </w:trPr>
        <w:tc>
          <w:tcPr>
            <w:tcW w:w="4989"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（慈善）</w:t>
            </w:r>
            <w:bookmarkEnd w:id="7"/>
          </w:p>
        </w:tc>
      </w:tr>
      <w:tr>
        <w:tblPrEx>
          <w:tblCellMar>
            <w:top w:w="0" w:type="dxa"/>
            <w:left w:w="108" w:type="dxa"/>
            <w:bottom w:w="0" w:type="dxa"/>
            <w:right w:w="108" w:type="dxa"/>
          </w:tblCellMar>
        </w:tblPrEx>
        <w:trPr>
          <w:trHeight w:val="50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9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9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6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2.《中华人民共和国慈善法》第一百条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5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未按照慈善宗旨开展活动超过3次；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私分、挪用、截留或者侵占慈善财产</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1.《中华人民共和国慈善法》第五十二条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慈善组织的财产应当根据章程和捐赠协议的规定全部用于慈善目的，不得在发起人、捐赠人以及慈善组织成员中分配。任何组织和个人不得私分、挪用、截留或者侵占慈善财产。</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1.《中华人民共和国慈善法》第九十八条第一款第（二）项</w:t>
            </w:r>
          </w:p>
          <w:p>
            <w:pPr>
              <w:adjustRightInd w:val="0"/>
              <w:snapToGrid w:val="0"/>
              <w:spacing w:line="220" w:lineRule="exact"/>
              <w:ind w:left="105" w:leftChars="50"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慈善组织有下列情形之一的，由民政部门责令限期改正；逾期不改正的，吊销登记证书并予以公告：（二）私分、挪用、截留或者侵占慈善财产的；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挪用金额6万元以下,且主动改正违法行为，违法行为没有造成危害后果。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2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5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接受附加违反法律法规或者违背社会公德条件的捐赠，或者对受益人附加违反法律法规或者违背社会公德的条件</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慈善组织不得从事、资助危害国家安全和社会公共利益的活动，不得接受附加违反法律法规和违背社会公德条件的捐赠，不得对受益人附加违反法律法规和违背社会公德的条件。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 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8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9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9"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违反《中华人民共和国慈善法》第十四条规定造成慈善财产损失</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 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慈善组织有下列情形之一的，由民政部门予以警告、责令限期改正；逾期不改正的，责令限期停止活动并进行整改：（一）违反本法第十四条规定造成慈善财产损失的；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慈善组织的发起人、主要捐赠人以及管理人员利用其关联关系损害慈善组织、受益人的利益和社会公共利益3次以上；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《中华人民共和国慈善法》第五十四条第一款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慈善组织有下列情形之一的，由民政部门予以警告、责令限期改正；逾期不改正的，责令限期停止活动并进行整改：（二）将不得用于投资的财产用于投资的；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《中华人民共和国慈善法》第五十五条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1.《中华人民共和国慈善法》第九十九条第一款第（三）项</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慈善组织有下列情形之一的，由民政部门予以警告、责令限期改正；逾期不改正的，责令限期停止活动并进行整改：（三）擅自改变捐赠财产用途的；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4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擅自改变捐赠财产用途20万元以上，经责令限期改正，逾期不改正的；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开展慈善活动的年度支出或者管理费用的标准违反本法第六十条规定</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《中华人民共和国慈善法》第六十条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捐赠协议对单项捐赠财产的慈善活动支出和管理费用有约定的，按照其约定。</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1.《中华人民共和国慈善法》第九十九条第一款第（四）项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慈善组织有下列情形之一的，由民政部门予以警告、责令限期改正；逾期不改正的，责令限期停止活动并进行整改：（四）开展慈善活动的年度支出或者管理费用的标准违反本法第六十条规定的；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57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开展慈善活动的年度支出低于上1年总收入或者前3年收入平均金额的60%，年度管理费用超过当年总支出的15%；</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具有公开募捐资格的基金会以外的慈善组织开展慈善活动的年度支出和管理费用的标准违反标准超过10%；</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未依法履行信息公开义务</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《中华人民共和国慈善法》第七十一条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慈善组织、慈善信托的受托人应当依法履行信息公开义务。信息公开应当真实、完整、及时。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慈善组织有下列情形之一的，由民政部门予以警告、责令限期改正；逾期不改正的，责令限期停止活动并进行整改：（五）未依法履行信息公开义务的；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超期1年以上不履行信息公布义务；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3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未依法报送年度工作报告、财务会计报告或者报备募捐方案</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1.《中华人民共和国慈善法》第十三条</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2.《中华人民共和国慈善法》第二十四条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开展公开募捐，应当制定募捐方案。募捐方案包括募捐目的、起止时间和地域、活动负责人姓名和办公地址、接受捐赠方式、银行账户、受益人、募得款物用途、募捐成本、剩余财产的处理等。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募捐方案应当在开展募捐活动前报慈善组织登记的民政部门备案。</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慈善组织有下列情形之一的，由民政部门予以警告、责令限期改正；逾期不改正的，责令限期停止活动并进行整改：（六）未依法报送年度工作报告、财务会计报告或者报备募捐方案的；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2.《中华人民共和国慈善法》第九十九条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第三款慈善组织有前两款规定的情形，经依法处理后一年内再出现前款规定的情形，或者有其他情节严重情形的，由民政部门吊销登记证书并予以公告。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3.《中华人民共和国慈善法》第一百条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连续2年不依法报送年度工作报告、财务会计报告；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2次以上募捐方案未依法报备；</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2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0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1.《中华人民共和国慈善法》第六十二条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开展慈善服务，应当尊重受益人、志愿者的人格尊严，不得侵害受益人、志愿者的隐私。</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2.《中华人民共和国慈善法》第七十六条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涉及国家秘密、商业秘密、个人隐私的信息以及捐赠人、慈善信托的委托人不同意公开的姓名、名称、住所、通讯方式等信息，不得公开。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主动改正违法行为，且未对捐赠人、志愿者、受益人个人隐私以及捐赠人、慈善信托的委托人造成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3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经责令后改正，但对捐赠人、志愿者、受益人个人隐私以及捐赠人、慈善信托的委托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泄露捐赠人、志愿者、受益人个人隐私以及捐赠人、慈善信托的委托人不同意公开的姓名、名称、住所、通讯方式等信息并从中获利的；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经责令后未及时改正，对捐赠人、志愿者、受益人个人隐私以及捐赠人、慈善信托的委托人造成不良影响的。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3"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不具有公开募捐资格的组织或者个人开展公开募捐</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《中华人民共和国慈善法》第二十二条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开展公开募捐4-5次的；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开展募捐活动，应当尊重和维护募捐对象的合法权益，保障募捐对象的知情权，不得通过虚构事实等方式欺骗、诱导募捐对象实施捐赠。</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2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通过虚构事实等方式欺骗、诱导募捐对象实施捐赠累计人数20人以上，50人以下的；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通过虚构事实等方式欺骗、诱导募捐对象实施捐赠金额累计10万元以上，50万元以下的；经责令后未及时改正，违法行为造成不良影响。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通过虚构事实等方式欺骗、诱导募捐对象实施捐赠累计人数50人以上的；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（三）向单位或者个人摊派或者变相摊派的；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5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向单位或者个人摊派或者变相摊派金额累计10万元以下的；经责令后改正，违法行为造成一定影响。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向单位或者个人摊派或者变相摊派累计次数5次以上10次以下的；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0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向单位或者个人摊派或者变相摊派累计次数10次以上的；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向单位或者个人摊派或者变相摊派金额累计20万元以上的；经责令限期改正，逾期不改正，违法行为造成严重影响。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妨碍公共秩序、企业生产经营或者居民生活</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（四）妨碍公共秩序、企业生产经营或者居民生活的。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8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受到个人或组织投诉举报次数1-2次且被查属实的；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受到个人或组织投诉举报次数3-5次且被查属实的；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受到个人或组织投诉举报次数5次以上且被查属实的；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经责令限期改正，逾期不改正，严重妨碍公共秩序、企业生产经营或者居民生活的。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2.《中华人民共和国慈善法》第四十二条第一款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捐赠人有权查询、复制其捐赠财产管理使用的有关资料，慈善组织应当及时主动向捐赠人反馈有关情况。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3.《中华人民共和国慈善法》第六十五条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慈善组织应当对志愿者实名登记，记录志愿者的服务时间、内容、评价等信息。根据志愿者的要求，慈善组织应当无偿、如实出具志愿服务记录证明。</w:t>
            </w:r>
            <w:r>
              <w:rPr>
                <w:rFonts w:hint="eastAsia" w:ascii="仿宋_GB2312" w:hAnsi="宋体" w:eastAsia="仿宋_GB2312" w:cs="宋体"/>
                <w:kern w:val="0"/>
                <w:sz w:val="18"/>
                <w:szCs w:val="20"/>
              </w:rPr>
              <w:br w:type="page"/>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慈善组织不依法向捐赠人开具捐赠票据、不依法向志愿者出具志愿服务记录证明或者不及时主动向捐赠人反馈有关情况，经责令后及时改正，违法行为没有造成危害后果。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7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慈善组织不依法向捐赠人开具捐赠票据、不依法向志愿者出具志愿服务记录证明或者不及时主动向捐赠人反馈有关情况，经责令后未能及时改正，违法行造成不良影响。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3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慈善组织不依法向捐赠人开具捐赠票据、不依法向志愿者出具志愿服务记录证明或者不及时主动向捐赠人反馈有关情况，经责令后拒不改正，违法行造成严重影响。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将信托财产及其收益用于非慈善目的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累计金额10万元以下；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3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《中华人民共和国慈善法》第四十八条第二款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 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未按照规定将信托事务处理情况及财务状况向民政部门报告或者向社会公开累计次数3-5次的；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未按照规定将信托事务处理情况及财务状况向民政部门报告或者向社会公开累计次数5次以上的；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慈善组织弄虚作假骗取税收优惠情节严重</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善组织弄虚作假骗取税收优惠情节严重的。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2.《慈善组织公开募捐管理办法》第十一条第二款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为同一募捐目的开展的公开募捐活动可以合并备案。公开募捐活动进行中，募捐方案的有关事项发生变化的，慈善组织应当在事项发生变化之日起十日内向其登记的民政部门补正并说明理由。</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3.《慈善组织公开募捐管理办法》第十二条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慈善组织为应对重大自然灾害、事故灾难和公共卫生事件等突发事件，无法在开展公开募捐活动前办理募捐方案备案的，应当在公开募捐活动开始后十日内补办备案手续。</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4.《慈善组织公开募捐管理办法》第十三条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慈善组织在其登记的民政部门管辖区域外，以《慈善法》第二十三条 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5.《慈善组织公开募捐管理办法》第十九条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慈善组织应当加强对募得捐赠财产的管理，依据法律法规、章程规定和募捐方案使用捐赠财产。确需变更募捐方案规定的捐赠财产用途的，应当召开理事会进行审议，报其登记的民政部门备案，并向社会公开。</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慈善组织有下列情形之一的，民政部门可以给予警告、责令限期改正：（二）未依照本办法进行备案的；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22</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慈善组织未按照募捐方案确定的时间、期限、地域范围、方式进行募捐</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1.《慈善组织公开募捐管理办法》第二十三条第（三）项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未按照募捐方案确定的时间、期限、地域范围、方式进行募捐。</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4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23</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慈善组织开展公开募捐活动，应当在募捐活动现场或者募捐活动载体的显著位置，公布本组织名称、公开募捐资格证书、募捐方案、联系方式、募捐信息查询方法等。</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慈善组织有下列情形之一的，民政部门可以给予警告、责令限期改正：（四）开展公开募捐未在募捐活动现场或者募捐活动载体的显著位置公布募捐活动信息的；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18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24</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慈善组织有下列情形之一的，民政部门可以给予警告、责令限期改正：（五）开展公开募捐取得的捐赠财产未纳入慈善组织统一核算和账户管理的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8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25</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tbl>
      <w:tblPr>
        <w:tblStyle w:val="4"/>
        <w:tblW w:w="5317" w:type="pct"/>
        <w:jc w:val="center"/>
        <w:tblLayout w:type="autofit"/>
        <w:tblCellMar>
          <w:top w:w="0" w:type="dxa"/>
          <w:left w:w="108" w:type="dxa"/>
          <w:bottom w:w="0" w:type="dxa"/>
          <w:right w:w="108" w:type="dxa"/>
        </w:tblCellMar>
      </w:tblPr>
      <w:tblGrid>
        <w:gridCol w:w="660"/>
        <w:gridCol w:w="1607"/>
        <w:gridCol w:w="3506"/>
        <w:gridCol w:w="2523"/>
        <w:gridCol w:w="1218"/>
        <w:gridCol w:w="2716"/>
        <w:gridCol w:w="1378"/>
        <w:gridCol w:w="1456"/>
        <w:gridCol w:w="9"/>
      </w:tblGrid>
      <w:tr>
        <w:tblPrEx>
          <w:tblCellMar>
            <w:top w:w="0" w:type="dxa"/>
            <w:left w:w="108" w:type="dxa"/>
            <w:bottom w:w="0" w:type="dxa"/>
            <w:right w:w="108" w:type="dxa"/>
          </w:tblCellMar>
        </w:tblPrEx>
        <w:trPr>
          <w:gridAfter w:val="1"/>
          <w:wAfter w:w="3" w:type="pct"/>
          <w:trHeight w:val="1153" w:hRule="atLeast"/>
          <w:jc w:val="center"/>
        </w:trPr>
        <w:tc>
          <w:tcPr>
            <w:tcW w:w="4997"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（民办社会福利机构）</w:t>
            </w:r>
          </w:p>
        </w:tc>
      </w:tr>
      <w:tr>
        <w:tblPrEx>
          <w:tblCellMar>
            <w:top w:w="0" w:type="dxa"/>
            <w:left w:w="108" w:type="dxa"/>
            <w:bottom w:w="0" w:type="dxa"/>
            <w:right w:w="108" w:type="dxa"/>
          </w:tblCellMar>
        </w:tblPrEx>
        <w:trPr>
          <w:trHeight w:val="519" w:hRule="atLeast"/>
          <w:jc w:val="center"/>
        </w:trPr>
        <w:tc>
          <w:tcPr>
            <w:tcW w:w="21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11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40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0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45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678"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民办社会福利机构未与服务对象（代理人、监护人）签订服务协议，或者协议不符合规定</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与服务对象（代理人、监护人）签定服务协议。服务协议应当载明以下内容：（一）民办社会福利机构的名称、住所、法定代表人或者主要负责人、联系方式；（二）服务对象（代理人、监护人）的姓名、身份证号码、住址及联系方式，监护人为单位的应当载明其名称、住所、法定代表人或者主要负责人、联系方式；（三）服务项目和服务内容；（四）收费标准和费用支付方式；（五）服务期限和服务场所；（六）协议变更、解除及终止的条件；（七）违约责任；（八）意外伤害责任认定和争议解决方式；（九）免责条款；（十）当事人协商一致的其他事项。</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一）未与服务对象（代理人、监护人）签订服务协议，或者协议不符合规定；</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服务协议内容不符合规定不足3项的。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9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服务协议内容不符合规定3项以上，5项以下的。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超过5次未与服务对象（代理人、监护人签订服务协议的；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服务协议内容不符合规定超过5项的；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民办社会福利机构未按照国家有关标准和规定开展服务，或者未按照与服务对象（代理人、监护人）约定的标准提供服务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1.《广东省民办社会福利机构管理规定》第三十四条第一款第（二）项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二）未按照国家有关标准和规定开展服务，或者未按照与服务对象（代理人、监护人）约定的标准提供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未按照国家有关标准和规定开展服务，未对服务对象造成损害的；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未按照与服务对象（代理人、监护人）约定的标准提供服务，未对服务对象造成损害的。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7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未按照国家有关标准和规定开展服务，或者未按照与服务对象（代理人、监护人）约定的标准提供服务，对服务对象造成较大损害或造成严重不良社会影响的；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民办社会福利机构不得擅自收住城市生活无着的流浪乞讨人员。</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2.《广东省民办社会福利机构管理规定》第十七条第二款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民办社会福利机构不得直接从社会接收查找不到生父母或者其他监护人的孤儿和弃婴。需要收住孤儿或者弃婴的，应当经举办地县级以上人民政府民政部门逐一审核批准，并签订代养协议。</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三）擅自收住孤儿、弃婴或者城市生活无着的流浪乞讨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民办社会福利机构初次擅自收住孤儿、弃婴或者城市生活无着的流浪乞讨人员的；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民办社会福利机构擅自收住孤儿、弃婴或者城市生活无着的流浪乞讨人员不足3人的。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民办社会福利机构擅自收住孤儿、弃婴或者城市生活无着的流浪乞讨人员2次以上，3次以下的；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民办社会福利机构擅自收住孤儿、弃婴或者城市生活无着的流浪乞讨人员3人以上，5人以下的。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民办社会福利机构擅自收住孤儿、弃婴或者城市生活无着的流浪乞讨人员超过3次的；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民办社会福利机构擅自收住孤儿、弃婴或者城市生活无着的流浪乞讨人员超过5人的；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民办社会福利机构擅自收住孤儿、弃婴或者城市生活无着的流浪乞讨人员，造成上述人员人身损害的；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民办社会福利机构未按照规定配备人员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配备与机构开展服务相适应的工作人员。直接服务于服务对象的工作人员数与入住的自理服务对象人数比例达到1∶10以内，与介助服务对象人数比例达到1∶6以内，与介护服务对象人数比例达到1∶3以内，与儿童服务对象人数比例达到1∶1以内。服务对象超过200人的应当至少有1名专职营养师。</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民办社会福利机构有下列行为之一的，由县级以上人民政府民政部门责令改正；情节严重的，可以处3万元以下罚款；涉嫌犯罪的，移送司法机关依法处理：（四）未按照规定配备人员；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直接服务于服务对象的工作人员数与入住的自理服务对象人数比例低于1：10，但是大于1：15的；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直接服务于服务对象的工作人员数与介助服务对象人数比例低于1∶6，但是大于1：8的；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直接服务于服务对象的工作人员数与介护服务对象人数比例低于1∶3，但是大于1：4的；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直接服务于服务对象的工作人员数与儿童服务对象人数比例低于1∶1，但是大于1：2的；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服务对象超过200人的民办社会福利机构没有配备专职专职营养师的。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直接服务于服务对象的工作人员数与入住的自理服务对象人数比例低于1：15，但是大于1：20的；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直接服务于服务对象的工作人员数与介助服务对象人数比例低于1∶8，但是大于1：10的；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直接服务于服务对象的工作人员数与介护服务对象人数比例低于1∶4，但是大于1：5的；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直接服务于服务对象的工作人员数与儿童服务对象人数比例低于1∶2，但是大于1：3的。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直接服务于服务对象的工作人员数与儿童服务对象人数比例低于1：3的；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因未按规定配备人员造成服务对象合法权利受到损害的；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6"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民办社会福利机构在审批、登记或者存续期间，向民政部门隐瞒有关情况、提供虚假材料或者拒绝提供反映其活动情况的真实材料</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在审批、登记或者存续期间，向民政部门隐瞒有关情况的。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4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在审批、登记或者存续期间，向民政部门提供虚假材料的。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48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在审批、登记或者存续期间，多次向民政部门隐瞒有关情况、提供虚假材料的；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经民政部门要求提供反映其活动情况的真实材料，拒不提供的；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在审批、登记或者存续期间，向民政部门隐瞒有关情况、提供虚假材料，造成严重后果的；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民办社会福利机构利用社会福利机构的房屋、场地、设施开展与服务宗旨无关的活动</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初次利用社会福利机构的房屋、场地、设施开展与服务宗旨无关的活动的。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1"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利用社会福利机构的房屋、场地、设施开展与服务宗旨无关的活动2-3次的。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36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超过3次利用社会福利机构的房屋、场地、设施开展与服务宗旨无关的活动的；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利用社会福利机构的房屋、场地、设施开展与服务宗旨无关的活动，损害服务对象的合法权益的；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利用社会福利机构的房屋、场地、设施开展与服务宗旨无关的活动，累计超过1年的；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民办社会福利机构未按照规定建立安全生产和公共卫生风险防控机制，制定应急预案</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七）未按照规定建立安全生产和公共卫生风险防控机制，制定应急预案；</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7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未按照规定建立安全生产和公共卫生风险防控机制，制定应急预案，导致发生生产安全事故或公共卫生事件的；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1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民办社会福利机构未按照规定向有关部门报告生产安全事故、公共卫生事件、收住服务对象死亡情况</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 第一款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3.《广东省民办社会福利机构管理规定》第二十条 第二款收住服务对象死亡的，民办社会福利机构应当立即通知其家属（代理人、监护人），并向民政、公安等部门报告。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八）项民办社会福利机构有下列行为之一的，由县级以上人民政府民政部门责令改正；情节严重的，可以处3万元以下罚款；涉嫌犯罪的，移送司法机关依法处理：（八）未按照规定向有关部门报告生产安全事故、公共卫生事件、收住服务对象死亡情况；</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初次未按照规定及时向有关部门报告生产安全事故、公共卫生事件、收住服务对象死亡情况；</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违法行为未造成危害后果。</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超过7天未向有关部门报告生产安全事故、公共卫生事件、收住服务对象死亡情况的。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因未按照规定及时向有关部门报告生产安全事故、公共卫生事件、收住服务对象死亡情况，导致事故或事件未能妥善处理，或造成不良社会影响的；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6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民办社会福利机构存在歧视、侮辱、虐待、遗弃服务对象，或者存在其他侵犯服务对象合法权益的行为</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《广东省民办社会福利机构管理规定》第十八条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九）歧视、侮辱、虐待、遗弃服务对象，或者存在其他侵犯服务对象合法权益的行为；</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侮辱、虐待、遗弃服务对象的；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存在其他侵犯服务对象合法权益的行为造成服务对象人身或精神损害的；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民办社会福利机构擅自暂停或者终止服务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民办社会福利机构有下列行为之一的，由县级以上人民政府民政部门责令改正；情节严重的，可以处3万元以下罚款；涉嫌犯罪的，移送司法机关依法处理：（十）擅自暂停或者终止服务；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6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擅自暂停或者终止服务，未妥善安置服务对象的；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擅自暂停或者终止服务，造成不良社会影响的；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394" w:hRule="atLeast"/>
          <w:jc w:val="center"/>
        </w:trPr>
        <w:tc>
          <w:tcPr>
            <w:tcW w:w="219" w:type="pc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3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11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民办社会福利机构有下列行为之一的，由县级以上人民政府民政部门责令改正；情节严重的，可以处3万元以下罚款；涉嫌犯罪的，移送司法机关依法处理：（十一）发生重大安全责任事故。 </w:t>
            </w:r>
          </w:p>
        </w:tc>
        <w:tc>
          <w:tcPr>
            <w:tcW w:w="40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处3万元罚款。</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E4"/>
    <w:rsid w:val="00A649E9"/>
    <w:rsid w:val="00AF75E4"/>
    <w:rsid w:val="00B75520"/>
    <w:rsid w:val="5D66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sz w:val="18"/>
    </w:rPr>
  </w:style>
  <w:style w:type="paragraph" w:styleId="3">
    <w:name w:val="header"/>
    <w:basedOn w:val="1"/>
    <w:link w:val="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5"/>
    <w:link w:val="2"/>
    <w:qFormat/>
    <w:uiPriority w:val="99"/>
    <w:rPr>
      <w:rFonts w:ascii="Times New Roman" w:hAnsi="Times New Roman" w:eastAsia="宋体" w:cs="Times New Roman"/>
      <w:sz w:val="18"/>
    </w:rPr>
  </w:style>
  <w:style w:type="character" w:customStyle="1" w:styleId="7">
    <w:name w:val="页眉 Char"/>
    <w:basedOn w:val="5"/>
    <w:link w:val="3"/>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82</Pages>
  <Words>12352</Words>
  <Characters>70413</Characters>
  <Lines>586</Lines>
  <Paragraphs>165</Paragraphs>
  <TotalTime>3</TotalTime>
  <ScaleCrop>false</ScaleCrop>
  <LinksUpToDate>false</LinksUpToDate>
  <CharactersWithSpaces>82600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2021-12-07T05:06:00Z</dcterms:created>
  <dc:creator>罗梦岚</dc:creator>
  <cp:lastModifiedBy>Dream、随缘</cp:lastModifiedBy>
  <dcterms:modified xsi:type="dcterms:W3CDTF">2023-03-16T11:04:52Z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F78F67EA558249B0BAF86F143AD55F53</vt:lpwstr>
  </property>
</Properties>
</file>