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60" w:lineRule="exact"/>
        <w:jc w:val="center"/>
        <w:textAlignment w:val="auto"/>
        <w:rPr>
          <w:rFonts w:hint="eastAsia"/>
          <w:sz w:val="44"/>
          <w:szCs w:val="40"/>
        </w:rPr>
      </w:pPr>
    </w:p>
    <w:p>
      <w:pPr>
        <w:widowControl/>
        <w:wordWrap/>
        <w:adjustRightInd/>
        <w:snapToGrid/>
        <w:spacing w:line="560" w:lineRule="exact"/>
        <w:jc w:val="center"/>
        <w:textAlignment w:val="auto"/>
        <w:rPr>
          <w:rFonts w:hint="eastAsia"/>
          <w:sz w:val="44"/>
          <w:szCs w:val="40"/>
        </w:rPr>
      </w:pPr>
    </w:p>
    <w:p>
      <w:pPr>
        <w:widowControl/>
        <w:wordWrap/>
        <w:adjustRightInd/>
        <w:snapToGrid/>
        <w:spacing w:line="560" w:lineRule="exact"/>
        <w:jc w:val="center"/>
        <w:textAlignment w:val="auto"/>
        <w:rPr>
          <w:rFonts w:hint="eastAsia"/>
          <w:sz w:val="44"/>
          <w:szCs w:val="40"/>
        </w:rPr>
      </w:pPr>
      <w:r>
        <w:rPr>
          <w:rFonts w:hint="eastAsia" w:ascii="方正小标宋简体" w:hAnsi="方正小标宋简体" w:eastAsia="方正小标宋简体" w:cs="方正小标宋简体"/>
          <w:b w:val="0"/>
          <w:bCs/>
          <w:color w:val="auto"/>
          <w:sz w:val="44"/>
          <w:szCs w:val="22"/>
          <w:highlight w:val="none"/>
          <w:lang w:val="en-US" w:eastAsia="zh-CN"/>
        </w:rPr>
        <w:t>区企服中心2019年度商协会产业发展专项资金绩效自评报告</w:t>
      </w:r>
    </w:p>
    <w:p>
      <w:pPr>
        <w:widowControl/>
        <w:wordWrap/>
        <w:adjustRightInd/>
        <w:snapToGrid/>
        <w:spacing w:line="560" w:lineRule="exact"/>
        <w:jc w:val="both"/>
        <w:textAlignment w:val="auto"/>
        <w:rPr>
          <w:rFonts w:hint="eastAsia"/>
          <w:sz w:val="44"/>
          <w:szCs w:val="40"/>
        </w:rPr>
      </w:pPr>
    </w:p>
    <w:p>
      <w:pPr>
        <w:widowControl/>
        <w:wordWrap/>
        <w:adjustRightInd/>
        <w:snapToGrid/>
        <w:spacing w:line="560" w:lineRule="exact"/>
        <w:ind w:firstLine="640" w:firstLineChars="200"/>
        <w:jc w:val="both"/>
        <w:textAlignment w:val="auto"/>
        <w:rPr>
          <w:rFonts w:hint="eastAsia" w:ascii="仿宋_GB2312" w:hAnsi="宋体" w:eastAsia="仿宋_GB2312" w:cs="仿宋_GB2312"/>
          <w:kern w:val="2"/>
          <w:sz w:val="32"/>
          <w:szCs w:val="32"/>
          <w:lang w:val="en-US" w:eastAsia="zh-CN"/>
        </w:rPr>
      </w:pPr>
      <w:r>
        <w:rPr>
          <w:rFonts w:hint="eastAsia" w:ascii="仿宋_GB2312" w:hAnsi="仿宋_GB2312" w:eastAsia="仿宋_GB2312" w:cs="仿宋_GB2312"/>
          <w:b w:val="0"/>
          <w:bCs/>
          <w:color w:val="auto"/>
          <w:sz w:val="32"/>
          <w:szCs w:val="28"/>
          <w:highlight w:val="none"/>
          <w:lang w:val="en-US" w:eastAsia="zh-CN"/>
        </w:rPr>
        <w:t>根据《深圳市福田区现代产业体系中长期发展规划（2017-2035年）》、《深圳市福田区产业发展专项资金管理办法》，以及</w:t>
      </w:r>
      <w:r>
        <w:rPr>
          <w:rFonts w:hint="eastAsia" w:ascii="仿宋_GB2312" w:hAnsi="宋体" w:eastAsia="仿宋_GB2312" w:cs="仿宋_GB2312"/>
          <w:kern w:val="2"/>
          <w:sz w:val="32"/>
          <w:szCs w:val="32"/>
          <w:lang w:val="en-US" w:eastAsia="zh-CN"/>
        </w:rPr>
        <w:t>《福田区财政局关于印发〈福田区产业发展专项资金政策绩效评价工作规程（试行）〉等相关文件有关事项的通知（福财〔2019〕207号）》要求，为</w:t>
      </w:r>
      <w:r>
        <w:rPr>
          <w:rFonts w:hint="eastAsia" w:ascii="仿宋_GB2312" w:hAnsi="Times New Roman" w:eastAsia="仿宋_GB2312" w:cs="仿宋_GB2312"/>
          <w:spacing w:val="-10"/>
          <w:kern w:val="2"/>
          <w:sz w:val="32"/>
          <w:szCs w:val="32"/>
          <w:lang w:val="en-US" w:eastAsia="zh-CN"/>
        </w:rPr>
        <w:t>全面了解2019年度商协会产业</w:t>
      </w:r>
      <w:r>
        <w:rPr>
          <w:rFonts w:hint="eastAsia" w:ascii="仿宋_GB2312" w:eastAsia="仿宋_GB2312" w:cs="仿宋_GB2312"/>
          <w:spacing w:val="-10"/>
          <w:kern w:val="2"/>
          <w:sz w:val="32"/>
          <w:szCs w:val="32"/>
          <w:lang w:val="en-US" w:eastAsia="zh-CN"/>
        </w:rPr>
        <w:t>发展专项</w:t>
      </w:r>
      <w:r>
        <w:rPr>
          <w:rFonts w:hint="eastAsia" w:ascii="仿宋_GB2312" w:hAnsi="Times New Roman" w:eastAsia="仿宋_GB2312" w:cs="仿宋_GB2312"/>
          <w:spacing w:val="-10"/>
          <w:kern w:val="2"/>
          <w:sz w:val="32"/>
          <w:szCs w:val="32"/>
          <w:lang w:val="en-US" w:eastAsia="zh-CN"/>
        </w:rPr>
        <w:t>资金使用情况，以便更好地发挥产业资金的引导和撬动作用，</w:t>
      </w:r>
      <w:r>
        <w:rPr>
          <w:rFonts w:hint="eastAsia" w:ascii="仿宋_GB2312" w:hAnsi="仿宋_GB2312" w:eastAsia="仿宋_GB2312" w:cs="仿宋_GB2312"/>
          <w:sz w:val="32"/>
          <w:szCs w:val="32"/>
          <w:lang w:val="en-US" w:eastAsia="zh-CN"/>
        </w:rPr>
        <w:t>区企服中心采用比较法等方式，对2019年度商协会产业资金进行绩效评价。</w:t>
      </w:r>
    </w:p>
    <w:p>
      <w:pPr>
        <w:widowControl/>
        <w:wordWrap/>
        <w:adjustRightInd/>
        <w:snapToGrid/>
        <w:spacing w:line="560" w:lineRule="exact"/>
        <w:ind w:firstLine="640" w:firstLineChars="200"/>
        <w:jc w:val="both"/>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一、项目概况</w:t>
      </w:r>
    </w:p>
    <w:p>
      <w:pPr>
        <w:widowControl/>
        <w:wordWrap/>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（一）商协会产业资金项目基本情况</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为促进福田国际化营商环境建设，重点培育和优先发展服务经济、服务产业的</w:t>
      </w:r>
      <w:r>
        <w:rPr>
          <w:rFonts w:hint="eastAsia" w:ascii="仿宋_GB2312" w:hAnsi="仿宋_GB2312" w:eastAsia="仿宋_GB2312" w:cs="仿宋_GB2312"/>
          <w:color w:val="auto"/>
          <w:sz w:val="32"/>
          <w:szCs w:val="32"/>
          <w:highlight w:val="none"/>
          <w:lang w:eastAsia="zh-CN"/>
        </w:rPr>
        <w:t>商协会</w:t>
      </w:r>
      <w:r>
        <w:rPr>
          <w:rFonts w:hint="eastAsia" w:ascii="仿宋_GB2312" w:hAnsi="仿宋_GB2312" w:eastAsia="仿宋_GB2312" w:cs="仿宋_GB2312"/>
          <w:color w:val="auto"/>
          <w:sz w:val="32"/>
          <w:szCs w:val="32"/>
          <w:highlight w:val="none"/>
        </w:rPr>
        <w:t>，激发社会组织活力，构建分布式高质量发展的营商生态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区企服中心于2014年开始制定支持商协会发展的产业资金政策，并在实践中不断调整优化，2019年商协会产业资金政策共设置24个项目，从落户、装修、运营、产业提升、招商引资等方面，对商协会的发展、提升提供政策与资金支持，政策覆盖面不断扩大，引导性不断增强。</w:t>
      </w:r>
    </w:p>
    <w:p>
      <w:pPr>
        <w:widowControl/>
        <w:wordWrap/>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lang w:val="en-US" w:eastAsia="zh-CN"/>
        </w:rPr>
        <w:t>（二）商协会产业资</w:t>
      </w:r>
      <w:r>
        <w:rPr>
          <w:rFonts w:hint="eastAsia" w:ascii="楷体" w:hAnsi="楷体" w:eastAsia="楷体" w:cs="楷体"/>
          <w:sz w:val="32"/>
          <w:szCs w:val="32"/>
          <w:highlight w:val="none"/>
          <w:lang w:val="en-US" w:eastAsia="zh-CN"/>
        </w:rPr>
        <w:t>金项目资金安排情况</w:t>
      </w:r>
    </w:p>
    <w:p>
      <w:pPr>
        <w:widowControl w:val="0"/>
        <w:numPr>
          <w:ilvl w:val="0"/>
          <w:numId w:val="0"/>
        </w:numPr>
        <w:wordWrap/>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2019年度商协会产业资金总预算金额为1624万元，截止2019年12月31日，共使用商协会产业</w:t>
      </w:r>
      <w:r>
        <w:rPr>
          <w:rFonts w:hint="eastAsia" w:ascii="仿宋_GB2312" w:hAnsi="仿宋_GB2312" w:eastAsia="仿宋_GB2312" w:cs="仿宋_GB2312"/>
          <w:color w:val="auto"/>
          <w:sz w:val="32"/>
          <w:szCs w:val="32"/>
          <w:highlight w:val="none"/>
          <w:lang w:val="en-US" w:eastAsia="zh-CN"/>
        </w:rPr>
        <w:t>资金1592.5888万元</w:t>
      </w:r>
      <w:r>
        <w:rPr>
          <w:rFonts w:hint="eastAsia" w:ascii="仿宋_GB2312" w:hAnsi="仿宋_GB2312" w:eastAsia="仿宋_GB2312" w:cs="仿宋_GB2312"/>
          <w:sz w:val="32"/>
          <w:szCs w:val="32"/>
          <w:highlight w:val="none"/>
          <w:lang w:val="en-US" w:eastAsia="zh-CN"/>
        </w:rPr>
        <w:t>，剩余资金31.4112万元，预算执行率为98.07%。</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32"/>
          <w:szCs w:val="32"/>
          <w:highlight w:val="none"/>
          <w:lang w:val="en-US" w:eastAsia="zh-CN"/>
        </w:rPr>
        <w:t>2019年度共对66家商协会、3家其他单位的151个资金项目进行支持，包括2018年第四批产业资金支持的32家商协会的33个资金项目349.55万元，2019年四批产业</w:t>
      </w:r>
      <w:r>
        <w:rPr>
          <w:rFonts w:hint="eastAsia" w:ascii="仿宋_GB2312" w:hAnsi="仿宋_GB2312" w:eastAsia="仿宋_GB2312" w:cs="仿宋_GB2312"/>
          <w:sz w:val="32"/>
          <w:szCs w:val="32"/>
          <w:lang w:val="en-US" w:eastAsia="zh-CN"/>
        </w:rPr>
        <w:t>资金支持的61个商协会的115个资金项目1071.2588</w:t>
      </w:r>
      <w:r>
        <w:rPr>
          <w:rFonts w:hint="eastAsia" w:ascii="仿宋_GB2312" w:hAnsi="仿宋_GB2312" w:eastAsia="仿宋_GB2312" w:cs="仿宋_GB2312"/>
          <w:color w:val="auto"/>
          <w:sz w:val="32"/>
          <w:szCs w:val="32"/>
          <w:lang w:val="en-US" w:eastAsia="zh-CN"/>
        </w:rPr>
        <w:t>万元，经联审办批准支持的3个“一事一议”项目共171.78万元。</w:t>
      </w:r>
      <w:r>
        <w:rPr>
          <w:rFonts w:hint="eastAsia" w:ascii="仿宋_GB2312" w:hAnsi="仿宋_GB2312" w:eastAsia="仿宋_GB2312" w:cs="仿宋_GB2312"/>
          <w:sz w:val="32"/>
          <w:szCs w:val="32"/>
          <w:lang w:val="en-US" w:eastAsia="zh-CN"/>
        </w:rPr>
        <w:t>就支持项目及金额来看，2019年度共支持12类产业资金项目：12个落户支持项目120万元，占总支持金额的7.5%；4个装修支持项目52.9万元，占比3.3%；2个公共技术服务平台建设支持项目120万元，占比7.5%；3个信息化支持项目30万元，占比1.9%；13个商协会人才支持项目17万元，占比1.1%；81个办公用房租赁支持项目573.6088万元，占比36%；4个展会支持项目90万元，占比5.7%；25个高端峰会项目392.3万元，占比24.6%；3个重点行业数据统计调研支持项目20万元，占比1.3%；1个院士工作站引荐支持项目5万元，占比0.3%；1个特殊项目支持84万元，占比5.3%；2个招商引资支持项目87.78万元，占比5.5%（详见表一、图一、图二）。</w:t>
      </w:r>
    </w:p>
    <w:p>
      <w:pPr>
        <w:widowControl w:val="0"/>
        <w:numPr>
          <w:ilvl w:val="0"/>
          <w:numId w:val="0"/>
        </w:numPr>
        <w:wordWrap/>
        <w:adjustRightInd/>
        <w:snapToGrid/>
        <w:spacing w:line="560" w:lineRule="exact"/>
        <w:ind w:firstLine="562"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28"/>
          <w:szCs w:val="28"/>
          <w:lang w:val="en-US" w:eastAsia="zh-CN"/>
        </w:rPr>
        <w:t>表一：2019年度产业资金支持项目情况表</w:t>
      </w:r>
    </w:p>
    <w:tbl>
      <w:tblPr>
        <w:tblStyle w:val="4"/>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631"/>
        <w:gridCol w:w="1558"/>
        <w:gridCol w:w="2269"/>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项目类别</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b/>
                <w:bCs/>
                <w:i w:val="0"/>
                <w:color w:val="000000"/>
                <w:kern w:val="0"/>
                <w:sz w:val="28"/>
                <w:szCs w:val="28"/>
                <w:u w:val="none"/>
                <w:lang w:val="en-US" w:eastAsia="zh-CN"/>
              </w:rPr>
            </w:pPr>
            <w:r>
              <w:rPr>
                <w:rFonts w:hint="eastAsia" w:ascii="楷体" w:hAnsi="楷体" w:eastAsia="楷体" w:cs="楷体"/>
                <w:b/>
                <w:bCs/>
                <w:i w:val="0"/>
                <w:color w:val="000000"/>
                <w:kern w:val="0"/>
                <w:sz w:val="28"/>
                <w:szCs w:val="28"/>
                <w:u w:val="none"/>
                <w:lang w:val="en-US" w:eastAsia="zh-CN"/>
              </w:rPr>
              <w:t>支持项目数量（个）</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数量比例</w:t>
            </w:r>
          </w:p>
        </w:tc>
        <w:tc>
          <w:tcPr>
            <w:tcW w:w="2269" w:type="dxa"/>
            <w:vAlign w:val="center"/>
          </w:tcPr>
          <w:p>
            <w:pPr>
              <w:widowControl/>
              <w:wordWrap/>
              <w:adjustRightInd/>
              <w:snapToGrid/>
              <w:spacing w:line="440" w:lineRule="exact"/>
              <w:jc w:val="both"/>
              <w:textAlignment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支持金额（万元）</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金额比例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落户支持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12</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7.9%</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120</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装修支持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4</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2.6%</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52.9</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公共技术服务平台建设支持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1.3%</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120</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信息化支持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2.0%</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30</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商协会人才支持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13</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8.6%</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17</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办公用房租赁支持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81</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53.6%</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573.6088</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展会支持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4</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2.6%</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90</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高端峰会支持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25</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16.6%</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392.3</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重点行业数据统计调研支持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3</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2.0%</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20</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院士工作站引荐支持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0.7%</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特殊项目支持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0.7%</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84</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招商引资支持</w:t>
            </w:r>
          </w:p>
        </w:tc>
        <w:tc>
          <w:tcPr>
            <w:tcW w:w="2631"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2</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1.3%</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87.78</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i w:val="0"/>
                <w:color w:val="000000"/>
                <w:kern w:val="0"/>
                <w:sz w:val="28"/>
                <w:szCs w:val="28"/>
                <w:u w:val="none"/>
                <w:lang w:val="en-US" w:eastAsia="zh-CN"/>
              </w:rPr>
            </w:pPr>
            <w:r>
              <w:rPr>
                <w:rFonts w:hint="eastAsia" w:ascii="楷体" w:hAnsi="楷体" w:eastAsia="楷体" w:cs="楷体"/>
                <w:i w:val="0"/>
                <w:color w:val="000000"/>
                <w:kern w:val="0"/>
                <w:sz w:val="28"/>
                <w:szCs w:val="28"/>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vAlign w:val="center"/>
          </w:tcPr>
          <w:p>
            <w:pPr>
              <w:widowControl/>
              <w:wordWrap/>
              <w:adjustRightInd/>
              <w:snapToGrid/>
              <w:spacing w:line="440" w:lineRule="exact"/>
              <w:jc w:val="left"/>
              <w:textAlignment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总计</w:t>
            </w:r>
          </w:p>
        </w:tc>
        <w:tc>
          <w:tcPr>
            <w:tcW w:w="2631" w:type="dxa"/>
            <w:vAlign w:val="center"/>
          </w:tcPr>
          <w:p>
            <w:pPr>
              <w:widowControl/>
              <w:wordWrap/>
              <w:adjustRightInd/>
              <w:snapToGrid/>
              <w:spacing w:line="440" w:lineRule="exact"/>
              <w:jc w:val="center"/>
              <w:textAlignment w:val="center"/>
              <w:rPr>
                <w:rFonts w:hint="default"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151</w:t>
            </w:r>
          </w:p>
        </w:tc>
        <w:tc>
          <w:tcPr>
            <w:tcW w:w="1558" w:type="dxa"/>
            <w:vAlign w:val="center"/>
          </w:tcPr>
          <w:p>
            <w:pPr>
              <w:widowControl/>
              <w:wordWrap/>
              <w:adjustRightInd/>
              <w:snapToGrid/>
              <w:spacing w:line="440" w:lineRule="exact"/>
              <w:jc w:val="center"/>
              <w:textAlignment w:val="center"/>
              <w:rPr>
                <w:rFonts w:hint="eastAsia" w:ascii="楷体" w:hAnsi="楷体" w:eastAsia="楷体" w:cs="楷体"/>
                <w:b/>
                <w:bCs/>
                <w:sz w:val="28"/>
                <w:szCs w:val="28"/>
                <w:lang w:val="en-US" w:eastAsia="zh-CN"/>
              </w:rPr>
            </w:pPr>
            <w:r>
              <w:rPr>
                <w:rFonts w:hint="eastAsia" w:ascii="楷体" w:hAnsi="楷体" w:eastAsia="楷体" w:cs="楷体"/>
                <w:b/>
                <w:bCs/>
                <w:i w:val="0"/>
                <w:color w:val="000000"/>
                <w:kern w:val="0"/>
                <w:sz w:val="28"/>
                <w:szCs w:val="28"/>
                <w:u w:val="none"/>
                <w:lang w:val="en-US" w:eastAsia="zh-CN"/>
              </w:rPr>
              <w:t>100%</w:t>
            </w:r>
          </w:p>
        </w:tc>
        <w:tc>
          <w:tcPr>
            <w:tcW w:w="2269" w:type="dxa"/>
            <w:vAlign w:val="center"/>
          </w:tcPr>
          <w:p>
            <w:pPr>
              <w:widowControl/>
              <w:wordWrap/>
              <w:adjustRightInd/>
              <w:snapToGrid/>
              <w:spacing w:line="440" w:lineRule="exact"/>
              <w:jc w:val="center"/>
              <w:textAlignment w:val="center"/>
              <w:rPr>
                <w:rFonts w:hint="eastAsia" w:ascii="楷体" w:hAnsi="楷体" w:eastAsia="楷体" w:cs="楷体"/>
                <w:b/>
                <w:bCs/>
                <w:i w:val="0"/>
                <w:color w:val="000000"/>
                <w:kern w:val="0"/>
                <w:sz w:val="28"/>
                <w:szCs w:val="28"/>
                <w:u w:val="none"/>
                <w:lang w:val="en-US" w:eastAsia="zh-CN"/>
              </w:rPr>
            </w:pPr>
            <w:r>
              <w:rPr>
                <w:rFonts w:hint="eastAsia" w:ascii="楷体" w:hAnsi="楷体" w:eastAsia="楷体" w:cs="楷体"/>
                <w:b/>
                <w:bCs/>
                <w:i w:val="0"/>
                <w:color w:val="000000"/>
                <w:kern w:val="0"/>
                <w:sz w:val="28"/>
                <w:szCs w:val="28"/>
                <w:u w:val="none"/>
                <w:lang w:val="en-US" w:eastAsia="zh-CN"/>
              </w:rPr>
              <w:t>1592.5888</w:t>
            </w:r>
          </w:p>
        </w:tc>
        <w:tc>
          <w:tcPr>
            <w:tcW w:w="1348" w:type="dxa"/>
            <w:vAlign w:val="center"/>
          </w:tcPr>
          <w:p>
            <w:pPr>
              <w:widowControl/>
              <w:wordWrap/>
              <w:adjustRightInd/>
              <w:snapToGrid/>
              <w:spacing w:line="440" w:lineRule="exact"/>
              <w:jc w:val="center"/>
              <w:textAlignment w:val="center"/>
              <w:rPr>
                <w:rFonts w:hint="eastAsia" w:ascii="楷体" w:hAnsi="楷体" w:eastAsia="楷体" w:cs="楷体"/>
                <w:b/>
                <w:bCs/>
                <w:i w:val="0"/>
                <w:color w:val="000000"/>
                <w:kern w:val="0"/>
                <w:sz w:val="28"/>
                <w:szCs w:val="28"/>
                <w:u w:val="none"/>
                <w:lang w:val="en-US" w:eastAsia="zh-CN"/>
              </w:rPr>
            </w:pPr>
            <w:r>
              <w:rPr>
                <w:rFonts w:hint="eastAsia" w:ascii="楷体" w:hAnsi="楷体" w:eastAsia="楷体" w:cs="楷体"/>
                <w:b/>
                <w:bCs/>
                <w:i w:val="0"/>
                <w:color w:val="000000"/>
                <w:kern w:val="0"/>
                <w:sz w:val="28"/>
                <w:szCs w:val="28"/>
                <w:u w:val="none"/>
                <w:lang w:val="en-US" w:eastAsia="zh-CN"/>
              </w:rPr>
              <w:t>100%</w:t>
            </w:r>
          </w:p>
        </w:tc>
      </w:tr>
    </w:tbl>
    <w:p>
      <w:pPr>
        <w:widowControl w:val="0"/>
        <w:numPr>
          <w:ilvl w:val="0"/>
          <w:numId w:val="0"/>
        </w:numPr>
        <w:wordWrap/>
        <w:adjustRightInd/>
        <w:snapToGrid/>
        <w:spacing w:line="560" w:lineRule="exact"/>
        <w:ind w:firstLine="560" w:firstLineChars="200"/>
        <w:jc w:val="center"/>
        <w:textAlignment w:val="auto"/>
        <w:rPr>
          <w:rFonts w:hint="default" w:ascii="仿宋_GB2312" w:hAnsi="仿宋_GB2312" w:eastAsia="仿宋_GB2312" w:cs="仿宋_GB2312"/>
          <w:sz w:val="32"/>
          <w:szCs w:val="32"/>
          <w:lang w:val="en-US" w:eastAsia="zh-CN"/>
        </w:rPr>
      </w:pPr>
      <w:r>
        <w:rPr>
          <w:rFonts w:ascii="Times New Roman" w:hAnsi="Times New Roman" w:eastAsia="宋体" w:cs="黑体"/>
          <w:kern w:val="2"/>
          <w:sz w:val="28"/>
          <w:szCs w:val="28"/>
          <w:lang w:val="en-US" w:eastAsia="zh-CN" w:bidi="ar-SA"/>
        </w:rPr>
        <w:drawing>
          <wp:anchor distT="0" distB="0" distL="114300" distR="114300" simplePos="0" relativeHeight="251658240" behindDoc="0" locked="0" layoutInCell="1" allowOverlap="1">
            <wp:simplePos x="0" y="0"/>
            <wp:positionH relativeFrom="column">
              <wp:posOffset>756285</wp:posOffset>
            </wp:positionH>
            <wp:positionV relativeFrom="page">
              <wp:posOffset>5891530</wp:posOffset>
            </wp:positionV>
            <wp:extent cx="4157980" cy="3108960"/>
            <wp:effectExtent l="0" t="0" r="3810" b="3175"/>
            <wp:wrapTopAndBottom/>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6">
                      <a:lum/>
                    </a:blip>
                    <a:stretch>
                      <a:fillRect/>
                    </a:stretch>
                  </pic:blipFill>
                  <pic:spPr>
                    <a:xfrm>
                      <a:off x="0" y="0"/>
                      <a:ext cx="4157980" cy="3108960"/>
                    </a:xfrm>
                    <a:prstGeom prst="rect">
                      <a:avLst/>
                    </a:prstGeom>
                    <a:noFill/>
                    <a:ln>
                      <a:noFill/>
                    </a:ln>
                  </pic:spPr>
                </pic:pic>
              </a:graphicData>
            </a:graphic>
          </wp:anchor>
        </w:drawing>
      </w:r>
      <w:r>
        <w:rPr>
          <w:rFonts w:hint="eastAsia" w:ascii="仿宋_GB2312" w:hAnsi="仿宋_GB2312" w:eastAsia="仿宋_GB2312" w:cs="仿宋_GB2312"/>
          <w:b/>
          <w:bCs/>
          <w:sz w:val="28"/>
          <w:szCs w:val="28"/>
          <w:lang w:val="en-US" w:eastAsia="zh-CN"/>
        </w:rPr>
        <w:t>图一：2019年度商协会产业资金支持项目数量情况</w:t>
      </w:r>
    </w:p>
    <w:p>
      <w:pPr>
        <w:widowControl w:val="0"/>
        <w:numPr>
          <w:ilvl w:val="0"/>
          <w:numId w:val="0"/>
        </w:numPr>
        <w:wordWrap/>
        <w:adjustRightInd/>
        <w:snapToGrid/>
        <w:spacing w:line="560" w:lineRule="exact"/>
        <w:ind w:firstLine="420" w:firstLineChars="200"/>
        <w:jc w:val="center"/>
        <w:textAlignment w:val="auto"/>
        <w:rPr>
          <w:rFonts w:hint="eastAsia" w:ascii="仿宋_GB2312" w:hAnsi="仿宋_GB2312" w:eastAsia="仿宋_GB2312" w:cs="仿宋_GB2312"/>
          <w:sz w:val="32"/>
          <w:szCs w:val="32"/>
          <w:lang w:val="en-US" w:eastAsia="zh-CN"/>
        </w:rPr>
      </w:pPr>
      <w:r>
        <w:rPr>
          <w:rFonts w:ascii="Times New Roman" w:hAnsi="Times New Roman" w:eastAsia="宋体" w:cs="黑体"/>
          <w:kern w:val="2"/>
          <w:sz w:val="21"/>
          <w:lang w:val="en-US" w:eastAsia="zh-CN" w:bidi="ar-SA"/>
        </w:rPr>
        <w:drawing>
          <wp:anchor distT="0" distB="0" distL="114300" distR="114300" simplePos="0" relativeHeight="251659264" behindDoc="0" locked="0" layoutInCell="1" allowOverlap="1">
            <wp:simplePos x="0" y="0"/>
            <wp:positionH relativeFrom="column">
              <wp:posOffset>380365</wp:posOffset>
            </wp:positionH>
            <wp:positionV relativeFrom="page">
              <wp:posOffset>954405</wp:posOffset>
            </wp:positionV>
            <wp:extent cx="4754245" cy="3178810"/>
            <wp:effectExtent l="0" t="0" r="15240" b="6985"/>
            <wp:wrapTopAndBottom/>
            <wp:docPr id="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true"/>
                    </pic:cNvPicPr>
                  </pic:nvPicPr>
                  <pic:blipFill>
                    <a:blip r:embed="rId7">
                      <a:lum/>
                    </a:blip>
                    <a:stretch>
                      <a:fillRect/>
                    </a:stretch>
                  </pic:blipFill>
                  <pic:spPr>
                    <a:xfrm>
                      <a:off x="0" y="0"/>
                      <a:ext cx="4754245" cy="3178810"/>
                    </a:xfrm>
                    <a:prstGeom prst="rect">
                      <a:avLst/>
                    </a:prstGeom>
                    <a:noFill/>
                    <a:ln>
                      <a:noFill/>
                    </a:ln>
                  </pic:spPr>
                </pic:pic>
              </a:graphicData>
            </a:graphic>
          </wp:anchor>
        </w:drawing>
      </w:r>
      <w:r>
        <w:rPr>
          <w:rFonts w:hint="eastAsia" w:ascii="仿宋_GB2312" w:hAnsi="仿宋_GB2312" w:eastAsia="仿宋_GB2312" w:cs="仿宋_GB2312"/>
          <w:b/>
          <w:bCs/>
          <w:sz w:val="28"/>
          <w:szCs w:val="28"/>
          <w:lang w:val="en-US" w:eastAsia="zh-CN"/>
        </w:rPr>
        <w:t>图二：2019年度商协会产业资金支持项目金额情况</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（三）商协会产业资金项目组织管理情况</w:t>
      </w:r>
    </w:p>
    <w:p>
      <w:pPr>
        <w:widowControl w:val="0"/>
        <w:numPr>
          <w:ilvl w:val="0"/>
          <w:numId w:val="0"/>
        </w:numPr>
        <w:wordWrap/>
        <w:autoSpaceDE w:val="0"/>
        <w:autoSpaceDN w:val="0"/>
        <w:adjustRightInd/>
        <w:snapToGrid/>
        <w:spacing w:before="0" w:beforeLines="0" w:after="0" w:afterLines="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协会产业资金支持项目的受理、审核严格遵照相关政策及配套细则，遵循客观、公正、科学、规范的原则开展。除特殊项目外，落户、装修、运营、产业提升以及招商引资支持项目均采用专责小组会议审批的办理程序。</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1.制定系列制度，确保专项资金管理规范有效</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企服中心按照《深圳市福田区产业发展专项资金管理办法》要求，制定《深圳市福田区支持商协会发展若干政策》。同时根据商协会发展政策,制定《深圳市福田区支持商协会发展若干政策备案指南》、《深圳市福田区支持商协会发展若干政策申请指南》、《深圳市福田区支持商协会发展若干政策内部操作指引》，为每个商协会项目的备案管理、资金申请以及操作流程提供制度依据，保证有章可循，有据可依，实现商协会产业资金项目的规范化管理。</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2.成立初审小组，提高审核效率</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2019年区企服中心成立商协会产业发展专项资金支持政策初审小组，明确职责与分工，由分管培训推广部的副主任担任组长，培训推广部部长及职员为组员，负责对商协会申请事项进行初审。</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审小组严格按照政策及相关配套细则，采取查检材料、约谈、现场调研或向第三方咨询等方式，查验商协会申请材料的真实性、规范性与符合性。针对商协会申报资料不规范或不足以证明有关事实的情况，及时通知商协会补充材料，保障商协会备案申请及资金申请的审核与资金支持有序顺利推进，提高项目审核效率。</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3.经班子会议审议，规范审议程序</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初审小组审核申请材料后，材料提交区企服中心班子会议审议。班子领导对申请材料进行逐一审核，对符合申报支持条件的项目出具初审意见并形成资金安排方案。</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4.提交专责小组会议，把控资金关口</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申请材料经班子会议审议通过后，提交产业发展专项资金专责小组讨论研究，符合政策规定给予审议通过。</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5.支持结果公示公告</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审议通过的资金项目，由区联审办公示公告5个工作日，如无异议，复核确认拨款文件及材料后，按照资金管理办法进行资金拨付。</w:t>
      </w:r>
    </w:p>
    <w:p>
      <w:pPr>
        <w:widowControl/>
        <w:wordWrap/>
        <w:adjustRightInd/>
        <w:snapToGrid/>
        <w:spacing w:line="560" w:lineRule="exact"/>
        <w:ind w:firstLine="640" w:firstLineChars="200"/>
        <w:jc w:val="both"/>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二、项目绩效分析</w:t>
      </w:r>
    </w:p>
    <w:p>
      <w:pPr>
        <w:widowControl w:val="0"/>
        <w:numPr>
          <w:ilvl w:val="0"/>
          <w:numId w:val="0"/>
        </w:numPr>
        <w:wordWrap/>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（一）预算执行情况</w:t>
      </w:r>
    </w:p>
    <w:p>
      <w:pPr>
        <w:widowControl w:val="0"/>
        <w:numPr>
          <w:ilvl w:val="0"/>
          <w:numId w:val="0"/>
        </w:numPr>
        <w:wordWrap/>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2019年商协会支</w:t>
      </w:r>
      <w:r>
        <w:rPr>
          <w:rFonts w:hint="eastAsia" w:ascii="仿宋_GB2312" w:hAnsi="仿宋_GB2312" w:eastAsia="仿宋_GB2312" w:cs="仿宋_GB2312"/>
          <w:color w:val="auto"/>
          <w:sz w:val="32"/>
          <w:szCs w:val="32"/>
          <w:highlight w:val="none"/>
          <w:lang w:val="en-US" w:eastAsia="zh-CN"/>
        </w:rPr>
        <w:t>持项目资金总预算为1624万元，预算实际支出1592.5888万元，结余31.4112万元，预算执行率达98.07%，2019年预算编制及安排较为合理。</w:t>
      </w:r>
    </w:p>
    <w:p>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2019年共受理、审核资金项目164个，包</w:t>
      </w:r>
      <w:r>
        <w:rPr>
          <w:rFonts w:hint="eastAsia" w:ascii="仿宋_GB2312" w:hAnsi="仿宋_GB2312" w:eastAsia="仿宋_GB2312" w:cs="仿宋_GB2312"/>
          <w:color w:val="auto"/>
          <w:sz w:val="32"/>
          <w:szCs w:val="32"/>
          <w:lang w:val="en-US" w:eastAsia="zh-CN"/>
        </w:rPr>
        <w:t>括162个审核通过项目，2个审核不通过项目。审核通过的项目中，2019年已拨付资金支持项目151个，未拨付资金支持项目11个，资金拨付及时率为92.07%，较及时的对符合政策条件的申请单位予以资金支持。</w:t>
      </w:r>
    </w:p>
    <w:p>
      <w:pPr>
        <w:widowControl w:val="0"/>
        <w:numPr>
          <w:ilvl w:val="0"/>
          <w:numId w:val="0"/>
        </w:numPr>
        <w:wordWrap/>
        <w:adjustRightInd/>
        <w:snapToGrid/>
        <w:spacing w:line="560" w:lineRule="exact"/>
        <w:ind w:firstLine="640" w:firstLineChars="200"/>
        <w:jc w:val="both"/>
        <w:textAlignment w:val="auto"/>
        <w:rPr>
          <w:rFonts w:hint="eastAsia" w:ascii="楷体" w:hAnsi="楷体" w:eastAsia="楷体" w:cs="楷体"/>
          <w:color w:val="auto"/>
          <w:sz w:val="32"/>
          <w:szCs w:val="28"/>
          <w:lang w:eastAsia="zh-CN"/>
        </w:rPr>
      </w:pPr>
      <w:r>
        <w:rPr>
          <w:rFonts w:hint="eastAsia" w:ascii="楷体" w:hAnsi="楷体" w:eastAsia="楷体" w:cs="楷体"/>
          <w:color w:val="auto"/>
          <w:sz w:val="32"/>
          <w:szCs w:val="28"/>
          <w:lang w:eastAsia="zh-CN"/>
        </w:rPr>
        <w:t>（二）绩效目标完成情况</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sz w:val="32"/>
          <w:szCs w:val="32"/>
          <w:highlight w:val="none"/>
          <w:lang w:val="en-US" w:eastAsia="zh-CN"/>
        </w:rPr>
        <w:t>66家商协会148个项目的资金支持，基本实现绩效目标，商协会支持政策在引导商协会向“职业化、专业化、市场化”发展上发挥极大的作用，而获得资金支持的项目对福田产生较大的经济与社会效益，部分项目已逐渐成为行业的标杆、品牌，具体情况如下：</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支持12个落户支持项目，涉及资金120万元。2019年对新落户或新迁入福田辖区的深圳市饭店业协会、深圳市产业园区协会、深圳市行业领袖企业发展促进会、深圳市会计协会等12家商协会予以资金支持，较2018年支持的9家商协会，数量增长33.33%。获得支持的商协会，与《深圳市福田区现代产业体系中长期发展规划（2017-2035年）》中的支柱及新兴产业紧密关联，可为福田产业、经济发展提供有力抓手，</w:t>
      </w:r>
      <w:r>
        <w:rPr>
          <w:rFonts w:hint="eastAsia" w:ascii="仿宋_GB2312" w:hAnsi="仿宋_GB2312" w:eastAsia="仿宋_GB2312" w:cs="仿宋_GB2312"/>
          <w:color w:val="auto"/>
          <w:sz w:val="32"/>
          <w:szCs w:val="32"/>
          <w:lang w:val="en-US" w:eastAsia="zh-CN"/>
        </w:rPr>
        <w:t>为福田带入更多优质的企业、项目、人才、资源。</w:t>
      </w:r>
    </w:p>
    <w:p>
      <w:pPr>
        <w:widowControl w:val="0"/>
        <w:numPr>
          <w:ilvl w:val="0"/>
          <w:numId w:val="0"/>
        </w:numPr>
        <w:wordWrap/>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支持4个装修支持项目，涉及资金52.9万元。该项目为2018年新增项目，首年无商协会申请，2019年实现了零突破。获得装修支持的4家商协会均为2018、2019年新落户或新迁入福田的，而根据政策内容，通过落户支持项目备案的商协会即可申请装修支持，可见，落户及装修支持项目的设置，是吸引优秀的商协会选择福田的原因之一。</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2个公共技术服务平台建设支持项目，涉及资金120万元。深圳市专家人才联合会的“智能专家库-政务专家咨询决策支持系统”以及深圳市投资基金同业公会的“深圳基金公会投资平台”，是商协会在政策鼓励下，充分发挥行业优势，整合对接资源，实现资源有机链接、共享的体现。</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4.支持3个信息化支持项目，涉及资金30万元。对深圳市公路货运与物流行业协会、深圳市智能穿戴产业联合会、深圳市人工智能行业协会</w:t>
      </w:r>
      <w:r>
        <w:rPr>
          <w:rFonts w:hint="eastAsia" w:ascii="仿宋_GB2312" w:hAnsi="仿宋_GB2312" w:eastAsia="仿宋_GB2312" w:cs="仿宋_GB2312"/>
          <w:color w:val="auto"/>
          <w:sz w:val="32"/>
          <w:szCs w:val="32"/>
          <w:highlight w:val="none"/>
          <w:u w:val="none"/>
          <w:lang w:val="en-US" w:eastAsia="zh-CN"/>
        </w:rPr>
        <w:t>建成的为企业提供搜索引擎、品牌推广等信息化服务的综合网络平台</w:t>
      </w:r>
      <w:r>
        <w:rPr>
          <w:rFonts w:hint="eastAsia" w:ascii="仿宋_GB2312" w:hAnsi="仿宋_GB2312" w:eastAsia="仿宋_GB2312" w:cs="仿宋_GB2312"/>
          <w:color w:val="auto"/>
          <w:sz w:val="32"/>
          <w:szCs w:val="32"/>
          <w:lang w:val="en-US" w:eastAsia="zh-CN"/>
        </w:rPr>
        <w:t>提供支持，使商协会信息化项目的辐射范围不断扩大，服务效果、效率不断提高。</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支持13个商协会人才支持项目，涉及商协会从业人员17人，资金17万元。通过政策鼓励从业人员参加技能提升培训，一方面为商协会培养专业人才、提升员工职业能力，另一方面也帮助商协会吸引并留住优秀人才，确保了管理运作的稳定性与协会服务的持续性。</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6.支持36家商协会的办公用房租赁支持项目，涉及资金573.6088万元，包括对31家商协会2018年办公用房租赁的289.55万元支持，对31家商协会2019年办公用房租赁的284.0588万元支持。</w:t>
      </w:r>
      <w:r>
        <w:rPr>
          <w:rFonts w:hint="eastAsia" w:ascii="仿宋_GB2312" w:hAnsi="仿宋_GB2312" w:eastAsia="仿宋_GB2312" w:cs="仿宋_GB2312"/>
          <w:color w:val="auto"/>
          <w:sz w:val="32"/>
          <w:szCs w:val="32"/>
          <w:lang w:val="en-US" w:eastAsia="zh-CN"/>
        </w:rPr>
        <w:t>对优秀商协会办公用房租赁方面的资金支持，使商协会的租金成本压力得以减轻，能够投入更多的资金、精力到服务行业、经济上去，也让更多极具活力的商协会继续在福田扎根发展。</w:t>
      </w:r>
    </w:p>
    <w:p>
      <w:pPr>
        <w:widowControl w:val="0"/>
        <w:numPr>
          <w:ilvl w:val="0"/>
          <w:numId w:val="0"/>
        </w:numPr>
        <w:wordWrap/>
        <w:adjustRightInd/>
        <w:snapToGrid/>
        <w:spacing w:line="560" w:lineRule="exact"/>
        <w:ind w:left="0" w:leftChars="0" w:firstLine="640" w:firstLineChars="200"/>
        <w:jc w:val="both"/>
        <w:textAlignment w:val="auto"/>
        <w:rPr>
          <w:rFonts w:hint="default" w:ascii="仿宋_GB2312" w:hAnsi="仿宋" w:eastAsia="仿宋_GB2312" w:cs="仿宋"/>
          <w:color w:val="auto"/>
          <w:sz w:val="32"/>
          <w:szCs w:val="32"/>
          <w:u w:val="none"/>
          <w:lang w:val="en-US" w:eastAsia="zh-CN"/>
        </w:rPr>
      </w:pPr>
      <w:r>
        <w:rPr>
          <w:rFonts w:hint="eastAsia" w:ascii="仿宋_GB2312" w:hAnsi="仿宋_GB2312" w:eastAsia="仿宋_GB2312" w:cs="仿宋_GB2312"/>
          <w:sz w:val="32"/>
          <w:szCs w:val="32"/>
          <w:lang w:val="en-US" w:eastAsia="zh-CN"/>
        </w:rPr>
        <w:t>7.支持4个展会项目，涉及资金90万</w:t>
      </w:r>
      <w:r>
        <w:rPr>
          <w:rFonts w:hint="eastAsia" w:ascii="仿宋_GB2312" w:hAnsi="仿宋_GB2312" w:eastAsia="仿宋_GB2312" w:cs="仿宋_GB2312"/>
          <w:color w:val="auto"/>
          <w:sz w:val="32"/>
          <w:szCs w:val="32"/>
          <w:lang w:val="en-US" w:eastAsia="zh-CN"/>
        </w:rPr>
        <w:t>元。2019年获得资金支持的展会：2019深圳国际智慧停车设备与技术博览会、中国•深圳国际现代绿色农业博览会、第三届深圳国际跨境电商贸易博览会、2019’中国（深圳）国际品牌内衣展览会暨中国内衣文化周，从展会规模、专业性、行业影响力来看，都属于国际性或全国性的展会，对</w:t>
      </w:r>
      <w:r>
        <w:rPr>
          <w:rFonts w:hint="eastAsia" w:ascii="仿宋_GB2312" w:hAnsi="仿宋" w:eastAsia="仿宋_GB2312" w:cs="仿宋"/>
          <w:color w:val="auto"/>
          <w:sz w:val="32"/>
          <w:szCs w:val="32"/>
          <w:u w:val="none"/>
        </w:rPr>
        <w:t>福田经济结构调整</w:t>
      </w:r>
      <w:r>
        <w:rPr>
          <w:rFonts w:hint="eastAsia" w:ascii="仿宋_GB2312" w:hAnsi="仿宋" w:eastAsia="仿宋_GB2312" w:cs="仿宋"/>
          <w:color w:val="auto"/>
          <w:sz w:val="32"/>
          <w:szCs w:val="32"/>
          <w:u w:val="none"/>
          <w:lang w:eastAsia="zh-CN"/>
        </w:rPr>
        <w:t>、</w:t>
      </w:r>
      <w:r>
        <w:rPr>
          <w:rFonts w:hint="eastAsia" w:ascii="仿宋_GB2312" w:hAnsi="仿宋" w:eastAsia="仿宋_GB2312" w:cs="仿宋"/>
          <w:color w:val="auto"/>
          <w:sz w:val="32"/>
          <w:szCs w:val="32"/>
          <w:u w:val="none"/>
        </w:rPr>
        <w:t>产业优化升级</w:t>
      </w:r>
      <w:r>
        <w:rPr>
          <w:rFonts w:hint="eastAsia" w:ascii="仿宋_GB2312" w:hAnsi="仿宋" w:eastAsia="仿宋_GB2312" w:cs="仿宋"/>
          <w:color w:val="auto"/>
          <w:sz w:val="32"/>
          <w:szCs w:val="32"/>
          <w:u w:val="none"/>
          <w:lang w:eastAsia="zh-CN"/>
        </w:rPr>
        <w:t>和</w:t>
      </w:r>
      <w:r>
        <w:rPr>
          <w:rFonts w:hint="eastAsia" w:ascii="仿宋_GB2312" w:hAnsi="仿宋" w:eastAsia="仿宋_GB2312" w:cs="仿宋"/>
          <w:color w:val="auto"/>
          <w:sz w:val="32"/>
          <w:szCs w:val="32"/>
          <w:u w:val="none"/>
        </w:rPr>
        <w:t>主要行业和经济发展有导向和带动作用</w:t>
      </w:r>
      <w:r>
        <w:rPr>
          <w:rFonts w:hint="eastAsia" w:ascii="仿宋_GB2312" w:hAnsi="仿宋" w:eastAsia="仿宋_GB2312" w:cs="仿宋"/>
          <w:color w:val="auto"/>
          <w:sz w:val="32"/>
          <w:szCs w:val="32"/>
          <w:u w:val="none"/>
          <w:lang w:eastAsia="zh-CN"/>
        </w:rPr>
        <w:t>。其中深圳市内衣行业协会举办的内衣展多次获得产业资金支持，</w:t>
      </w:r>
      <w:r>
        <w:rPr>
          <w:rFonts w:hint="eastAsia" w:ascii="仿宋_GB2312" w:hAnsi="仿宋_GB2312" w:eastAsia="仿宋_GB2312" w:cs="仿宋_GB2312"/>
          <w:color w:val="auto"/>
          <w:sz w:val="32"/>
          <w:szCs w:val="32"/>
          <w:lang w:val="en-US" w:eastAsia="zh-CN"/>
        </w:rPr>
        <w:t>是</w:t>
      </w:r>
      <w:bookmarkStart w:id="0" w:name="_GoBack"/>
      <w:r>
        <w:rPr>
          <w:rFonts w:hint="eastAsia" w:ascii="仿宋_GB2312" w:hAnsi="仿宋_GB2312" w:eastAsia="仿宋_GB2312" w:cs="仿宋_GB2312"/>
          <w:color w:val="auto"/>
          <w:sz w:val="32"/>
          <w:szCs w:val="32"/>
          <w:lang w:val="en-US" w:eastAsia="zh-CN"/>
        </w:rPr>
        <w:t>商务部</w:t>
      </w:r>
      <w:bookmarkEnd w:id="0"/>
      <w:r>
        <w:rPr>
          <w:rFonts w:hint="eastAsia" w:ascii="仿宋_GB2312" w:hAnsi="仿宋_GB2312" w:eastAsia="仿宋_GB2312" w:cs="仿宋_GB2312"/>
          <w:color w:val="auto"/>
          <w:sz w:val="32"/>
          <w:szCs w:val="32"/>
          <w:lang w:val="en-US" w:eastAsia="zh-CN"/>
        </w:rPr>
        <w:t>重点扶持展会，更是全球规模最大、最具影响力的专业品牌内衣展览会。对展会的资金支持，让更多商协会选择在福田举办展会，为福田走向全国、走向世界提供机会与平台，极大的提高福田影响力。</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sz w:val="32"/>
          <w:szCs w:val="32"/>
          <w:u w:val="none"/>
          <w:lang w:val="en-US" w:eastAsia="zh-CN"/>
        </w:rPr>
        <w:t>8.支持21家商协会的25个高端峰会项目，涉及资金392.3万元。</w:t>
      </w:r>
      <w:r>
        <w:rPr>
          <w:rFonts w:hint="eastAsia" w:ascii="仿宋_GB2312" w:hAnsi="仿宋_GB2312" w:eastAsia="仿宋_GB2312" w:cs="仿宋_GB2312"/>
          <w:color w:val="auto"/>
          <w:sz w:val="32"/>
          <w:szCs w:val="32"/>
          <w:lang w:val="en-US" w:eastAsia="zh-CN"/>
        </w:rPr>
        <w:t>从支持的商协会数量来看，2018年共11家商协会获得支持，2019年新增16家。</w:t>
      </w:r>
      <w:r>
        <w:rPr>
          <w:rFonts w:hint="eastAsia" w:ascii="仿宋_GB2312" w:hAnsi="仿宋" w:eastAsia="仿宋_GB2312" w:cs="仿宋"/>
          <w:color w:val="auto"/>
          <w:sz w:val="32"/>
          <w:szCs w:val="32"/>
          <w:u w:val="none"/>
          <w:lang w:val="en-US" w:eastAsia="zh-CN"/>
        </w:rPr>
        <w:t>从支持项目数及金额来看，2019年与2018年</w:t>
      </w:r>
      <w:r>
        <w:rPr>
          <w:rFonts w:hint="eastAsia" w:ascii="仿宋_GB2312" w:hAnsi="仿宋_GB2312" w:eastAsia="仿宋_GB2312" w:cs="仿宋_GB2312"/>
          <w:color w:val="auto"/>
          <w:sz w:val="32"/>
          <w:szCs w:val="32"/>
          <w:lang w:val="en-US" w:eastAsia="zh-CN"/>
        </w:rPr>
        <w:t>支持的17个项目357万元相比，项目数增长47.06%，支持金额增长9.89%。由此可见，该项目在引导</w:t>
      </w:r>
      <w:r>
        <w:rPr>
          <w:rFonts w:hint="eastAsia" w:ascii="仿宋_GB2312" w:hAnsi="仿宋" w:eastAsia="仿宋_GB2312" w:cs="仿宋"/>
          <w:color w:val="auto"/>
          <w:sz w:val="32"/>
          <w:szCs w:val="32"/>
          <w:u w:val="none"/>
          <w:lang w:val="en-US" w:eastAsia="zh-CN"/>
        </w:rPr>
        <w:t>商协会举办高质量、助推产业发展的高端峰会上的力度和效果不断增强，使高层次人才、社会资源、行业资讯通过高端峰会这一活动平台涌入福田。</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获得支持的项目中，深圳市私募基金协会举办的中国（深圳）私募基金高峰论坛、深圳市人工智能行业协会举办的全球人工智能创业者大会以及深圳市福田区会计学会举办的会计发展高峰论坛，均连续两年获得资金支持。可见在政策的鼓励和商协会的努力下，部分高端峰会已成为行业的品牌活动，并对福田产业、经济发展持续产生推动作用。</w:t>
      </w:r>
    </w:p>
    <w:p>
      <w:pPr>
        <w:widowControl w:val="0"/>
        <w:numPr>
          <w:ilvl w:val="0"/>
          <w:numId w:val="0"/>
        </w:numPr>
        <w:wordWrap/>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支持3个重点行业数据统计调研支持项目，涉及资金20万元。深圳市投资基金同业公会的《2018年度深圳市福田区私募基金行业数据统计调研》已连续两年获得区金融工作局的肯定，对政府了解福田私募基金行业发展状况，出台相关政策提供重要的参考和依据。深圳市福田区建筑装饰设计协会的《中国建筑装饰设计产业发展报告》以及深圳市烹饪协会的《深圳餐饮产业发展报告（2018）》均为商协会发挥行业作用，通过调研、分析行业</w:t>
      </w:r>
      <w:r>
        <w:rPr>
          <w:rFonts w:hint="eastAsia" w:ascii="仿宋_GB2312" w:hAnsi="仿宋_GB2312" w:eastAsia="仿宋_GB2312" w:cs="仿宋_GB2312"/>
          <w:color w:val="auto"/>
          <w:sz w:val="32"/>
          <w:szCs w:val="32"/>
          <w:highlight w:val="none"/>
          <w:u w:val="none"/>
          <w:lang w:val="en-US" w:eastAsia="zh-CN"/>
        </w:rPr>
        <w:t>现状，</w:t>
      </w:r>
      <w:r>
        <w:rPr>
          <w:rFonts w:hint="eastAsia" w:ascii="仿宋_GB2312" w:hAnsi="仿宋_GB2312" w:eastAsia="仿宋_GB2312" w:cs="仿宋_GB2312"/>
          <w:color w:val="auto"/>
          <w:sz w:val="32"/>
          <w:szCs w:val="32"/>
          <w:lang w:val="en-US" w:eastAsia="zh-CN"/>
        </w:rPr>
        <w:t>为政府决策献言献策的重要表现。</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10.支持1个院士工作站引荐支持项目，涉及资金5万元。在深圳市专家人才联合会的对接下，深圳燃气院士（专家）工作站挂牌成立，加快了科技成果转化，增强福田企业在粤港澳大湾区清洁能源领域的影响力和辐射力，是福田运用政策，驱动商协会助力科技成果产业化的一大成效。</w:t>
      </w:r>
    </w:p>
    <w:p>
      <w:pPr>
        <w:widowControl w:val="0"/>
        <w:numPr>
          <w:ilvl w:val="0"/>
          <w:numId w:val="0"/>
        </w:numPr>
        <w:wordWrap/>
        <w:adjustRightInd/>
        <w:snapToGrid/>
        <w:spacing w:line="560" w:lineRule="exact"/>
        <w:ind w:left="0" w:leftChars="0" w:firstLine="640" w:firstLineChars="200"/>
        <w:jc w:val="both"/>
        <w:textAlignment w:val="auto"/>
        <w:rPr>
          <w:rFonts w:hint="default" w:ascii="仿宋_GB2312" w:hAnsi="仿宋" w:eastAsia="仿宋_GB2312" w:cs="仿宋"/>
          <w:color w:val="auto"/>
          <w:sz w:val="32"/>
          <w:szCs w:val="32"/>
          <w:u w:val="none"/>
          <w:lang w:val="en-US" w:eastAsia="zh-CN"/>
        </w:rPr>
      </w:pPr>
      <w:r>
        <w:rPr>
          <w:rFonts w:hint="eastAsia" w:ascii="楷体" w:hAnsi="楷体" w:eastAsia="楷体" w:cs="楷体"/>
          <w:color w:val="auto"/>
          <w:sz w:val="32"/>
          <w:szCs w:val="28"/>
          <w:lang w:eastAsia="zh-CN"/>
        </w:rPr>
        <w:t>（三）存在问题及原因分析</w:t>
      </w:r>
    </w:p>
    <w:p>
      <w:pPr>
        <w:widowControl w:val="0"/>
        <w:numPr>
          <w:ilvl w:val="0"/>
          <w:numId w:val="0"/>
        </w:numPr>
        <w:wordWrap/>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在对2019年度商协会产业资金项目进行绩效评价后，发现产业资金支持存在以下问题：</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1.部分支持项目特点影响项目审核进度</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sz w:val="32"/>
          <w:szCs w:val="32"/>
          <w:u w:val="none"/>
          <w:lang w:val="en-US" w:eastAsia="zh-CN"/>
        </w:rPr>
        <w:t>办公用房租赁支持、高端峰会支持两类项目占年度支持资金60%，在政策实际执行过程中，由于办公用房租赁支持申报需要年底结清租金开出票据才能申请，高端峰会大部分集中在10月至12月份举办，活动结束后进行专项审计才能申请，造成项目审核集中在年底，</w:t>
      </w:r>
      <w:r>
        <w:rPr>
          <w:rFonts w:hint="eastAsia" w:ascii="仿宋_GB2312" w:hAnsi="仿宋_GB2312" w:eastAsia="仿宋_GB2312" w:cs="仿宋_GB2312"/>
          <w:color w:val="auto"/>
          <w:sz w:val="32"/>
          <w:szCs w:val="32"/>
          <w:lang w:val="en-US" w:eastAsia="zh-CN"/>
        </w:rPr>
        <w:t>导拨付进度延后，</w:t>
      </w:r>
      <w:r>
        <w:rPr>
          <w:rFonts w:hint="eastAsia" w:ascii="仿宋_GB2312" w:hAnsi="仿宋" w:eastAsia="仿宋_GB2312" w:cs="仿宋"/>
          <w:color w:val="auto"/>
          <w:sz w:val="32"/>
          <w:szCs w:val="32"/>
          <w:u w:val="none"/>
          <w:lang w:val="en-US" w:eastAsia="zh-CN"/>
        </w:rPr>
        <w:t>影响年度每个季度资金支持拨付</w:t>
      </w:r>
      <w:r>
        <w:rPr>
          <w:rFonts w:hint="eastAsia" w:ascii="仿宋_GB2312" w:hAnsi="仿宋_GB2312" w:eastAsia="仿宋_GB2312" w:cs="仿宋_GB2312"/>
          <w:color w:val="auto"/>
          <w:sz w:val="32"/>
          <w:szCs w:val="32"/>
          <w:lang w:val="en-US" w:eastAsia="zh-CN"/>
        </w:rPr>
        <w:t>效率。</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2.部分支持项目与商协会的发展契合度不高</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为了加大对商协会支持的力度，扩大支持的覆盖面，2018年商协会产业资金政策项目数量较往年有大幅度增长，2019年产业资金政策仍旧延续2018年的架构。</w:t>
      </w:r>
    </w:p>
    <w:p>
      <w:pPr>
        <w:widowControl w:val="0"/>
        <w:numPr>
          <w:ilvl w:val="0"/>
          <w:numId w:val="0"/>
        </w:numPr>
        <w:wordWrap/>
        <w:adjustRightInd/>
        <w:snapToGrid/>
        <w:spacing w:line="560" w:lineRule="exact"/>
        <w:ind w:left="0" w:leftChars="0" w:firstLine="640" w:firstLineChars="200"/>
        <w:jc w:val="both"/>
        <w:textAlignment w:val="auto"/>
        <w:rPr>
          <w:rFonts w:hint="default" w:ascii="楷体" w:hAnsi="楷体" w:eastAsia="楷体" w:cs="楷体"/>
          <w:color w:val="0000FF"/>
          <w:sz w:val="32"/>
          <w:szCs w:val="28"/>
          <w:lang w:val="en-US" w:eastAsia="zh-CN"/>
        </w:rPr>
      </w:pPr>
      <w:r>
        <w:rPr>
          <w:rFonts w:hint="eastAsia" w:ascii="仿宋_GB2312" w:hAnsi="仿宋_GB2312" w:eastAsia="仿宋_GB2312" w:cs="仿宋_GB2312"/>
          <w:color w:val="auto"/>
          <w:sz w:val="32"/>
          <w:szCs w:val="32"/>
          <w:lang w:val="en-US" w:eastAsia="zh-CN"/>
        </w:rPr>
        <w:t>但对2019年资金项目的申请情况进行分析后发现，虽2019年已加大政策的宣传力度，且项目申请总量有提升，但是主要集中在几个主要的项目，部分项目连续两年无商协会申请。而无商协会申请的项目均存在项目内容及申请条件与商协会实际发展不完全契合，对商协会未来发展的引领性不足的问题。</w:t>
      </w:r>
    </w:p>
    <w:p>
      <w:pPr>
        <w:widowControl/>
        <w:wordWrap/>
        <w:adjustRightInd/>
        <w:snapToGrid/>
        <w:spacing w:line="560" w:lineRule="exact"/>
        <w:ind w:firstLine="640" w:firstLineChars="200"/>
        <w:jc w:val="both"/>
        <w:textAlignment w:val="auto"/>
        <w:rPr>
          <w:rFonts w:hint="eastAsia" w:ascii="黑体" w:hAnsi="黑体" w:eastAsia="黑体" w:cs="黑体"/>
          <w:color w:val="auto"/>
          <w:sz w:val="32"/>
          <w:szCs w:val="28"/>
          <w:lang w:eastAsia="zh-CN"/>
        </w:rPr>
      </w:pPr>
      <w:r>
        <w:rPr>
          <w:rFonts w:hint="eastAsia" w:ascii="黑体" w:hAnsi="黑体" w:eastAsia="黑体" w:cs="黑体"/>
          <w:color w:val="auto"/>
          <w:sz w:val="32"/>
          <w:szCs w:val="28"/>
          <w:lang w:eastAsia="zh-CN"/>
        </w:rPr>
        <w:t>三、综合评价和建议</w:t>
      </w:r>
    </w:p>
    <w:p>
      <w:pPr>
        <w:widowControl/>
        <w:wordWrap/>
        <w:adjustRightInd/>
        <w:snapToGrid/>
        <w:spacing w:line="560" w:lineRule="exact"/>
        <w:ind w:firstLine="640" w:firstLineChars="200"/>
        <w:jc w:val="both"/>
        <w:textAlignment w:val="auto"/>
        <w:rPr>
          <w:rFonts w:hint="eastAsia" w:ascii="楷体" w:hAnsi="楷体" w:eastAsia="楷体" w:cs="楷体"/>
          <w:color w:val="auto"/>
          <w:sz w:val="32"/>
          <w:szCs w:val="28"/>
          <w:lang w:eastAsia="zh-CN"/>
        </w:rPr>
      </w:pPr>
      <w:r>
        <w:rPr>
          <w:rFonts w:hint="eastAsia" w:ascii="楷体" w:hAnsi="楷体" w:eastAsia="楷体" w:cs="楷体"/>
          <w:color w:val="auto"/>
          <w:sz w:val="32"/>
          <w:szCs w:val="28"/>
          <w:lang w:eastAsia="zh-CN"/>
        </w:rPr>
        <w:t>（一）商协会产业资金项目绩效综合评价</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color w:val="auto"/>
          <w:sz w:val="32"/>
          <w:szCs w:val="32"/>
          <w:lang w:val="en-US" w:eastAsia="zh-CN"/>
        </w:rPr>
        <w:t>2019年区企服中心</w:t>
      </w:r>
      <w:r>
        <w:rPr>
          <w:rFonts w:hint="eastAsia" w:ascii="仿宋_GB2312" w:hAnsi="仿宋_GB2312" w:eastAsia="仿宋_GB2312" w:cs="仿宋_GB2312"/>
          <w:sz w:val="32"/>
          <w:szCs w:val="32"/>
          <w:shd w:val="clear" w:color="auto" w:fill="FFFFFF"/>
          <w:lang w:eastAsia="zh-CN"/>
        </w:rPr>
        <w:t>制定并严格执行《</w:t>
      </w:r>
      <w:r>
        <w:rPr>
          <w:rFonts w:hint="eastAsia" w:ascii="仿宋_GB2312" w:hAnsi="仿宋_GB2312" w:eastAsia="仿宋_GB2312" w:cs="仿宋_GB2312"/>
          <w:color w:val="auto"/>
          <w:sz w:val="32"/>
          <w:szCs w:val="32"/>
        </w:rPr>
        <w:t>深圳市福田区支持</w:t>
      </w:r>
      <w:r>
        <w:rPr>
          <w:rFonts w:hint="eastAsia" w:ascii="仿宋_GB2312" w:hAnsi="仿宋_GB2312" w:eastAsia="仿宋_GB2312" w:cs="仿宋_GB2312"/>
          <w:color w:val="auto"/>
          <w:sz w:val="32"/>
          <w:szCs w:val="32"/>
          <w:lang w:val="en-US" w:eastAsia="zh-CN"/>
        </w:rPr>
        <w:t>商</w:t>
      </w:r>
      <w:r>
        <w:rPr>
          <w:rFonts w:hint="eastAsia" w:ascii="仿宋_GB2312" w:hAnsi="仿宋_GB2312" w:eastAsia="仿宋_GB2312" w:cs="仿宋_GB2312"/>
          <w:color w:val="auto"/>
          <w:sz w:val="32"/>
          <w:szCs w:val="32"/>
        </w:rPr>
        <w:t>协会发展若干政策</w:t>
      </w:r>
      <w:r>
        <w:rPr>
          <w:rFonts w:hint="eastAsia" w:ascii="仿宋_GB2312" w:hAnsi="仿宋_GB2312" w:eastAsia="仿宋_GB2312" w:cs="仿宋_GB2312"/>
          <w:sz w:val="32"/>
          <w:szCs w:val="32"/>
          <w:shd w:val="clear" w:color="auto" w:fill="FFFFFF"/>
          <w:lang w:eastAsia="zh-CN"/>
        </w:rPr>
        <w:t>》，为辖区商协会发展提供有力的政策与资金支持。在政策的实施过程中，合理编制、安排预算，</w:t>
      </w:r>
      <w:r>
        <w:rPr>
          <w:rFonts w:hint="eastAsia" w:ascii="仿宋_GB2312" w:hAnsi="仿宋_GB2312" w:eastAsia="仿宋_GB2312" w:cs="仿宋_GB2312"/>
          <w:sz w:val="32"/>
          <w:szCs w:val="32"/>
          <w:shd w:val="clear" w:color="auto" w:fill="FFFFFF"/>
          <w:lang w:val="en-US" w:eastAsia="zh-CN"/>
        </w:rPr>
        <w:t>2019年</w:t>
      </w:r>
      <w:r>
        <w:rPr>
          <w:rFonts w:hint="eastAsia" w:ascii="仿宋_GB2312" w:hAnsi="仿宋_GB2312" w:eastAsia="仿宋_GB2312" w:cs="仿宋_GB2312"/>
          <w:sz w:val="32"/>
          <w:szCs w:val="32"/>
          <w:shd w:val="clear" w:color="auto" w:fill="FFFFFF"/>
          <w:lang w:eastAsia="zh-CN"/>
        </w:rPr>
        <w:t>预</w:t>
      </w:r>
      <w:r>
        <w:rPr>
          <w:rFonts w:hint="eastAsia" w:ascii="仿宋_GB2312" w:hAnsi="仿宋_GB2312" w:eastAsia="仿宋_GB2312" w:cs="仿宋_GB2312"/>
          <w:sz w:val="32"/>
          <w:szCs w:val="32"/>
          <w:highlight w:val="none"/>
          <w:shd w:val="clear" w:color="auto" w:fill="FFFFFF"/>
          <w:lang w:eastAsia="zh-CN"/>
        </w:rPr>
        <w:t>算执行率达</w:t>
      </w:r>
      <w:r>
        <w:rPr>
          <w:rFonts w:hint="eastAsia" w:ascii="仿宋_GB2312" w:hAnsi="仿宋_GB2312" w:eastAsia="仿宋_GB2312" w:cs="仿宋_GB2312"/>
          <w:sz w:val="32"/>
          <w:szCs w:val="32"/>
          <w:highlight w:val="none"/>
          <w:shd w:val="clear" w:color="auto" w:fill="FFFFFF"/>
          <w:lang w:val="en-US" w:eastAsia="zh-CN"/>
        </w:rPr>
        <w:t>98.07%。根据《福田区支持商协会发展若干政策绩效评价指标自评表》的指标体系，2019年绩效自评得分93.6分</w:t>
      </w:r>
      <w:r>
        <w:rPr>
          <w:rFonts w:hint="eastAsia" w:ascii="仿宋_GB2312" w:hAnsi="仿宋_GB2312" w:eastAsia="仿宋_GB2312" w:cs="仿宋_GB2312"/>
          <w:sz w:val="32"/>
          <w:szCs w:val="32"/>
          <w:highlight w:val="none"/>
          <w:shd w:val="clear" w:color="auto" w:fill="FFFFFF"/>
          <w:lang w:eastAsia="zh-CN"/>
        </w:rPr>
        <w:t>（绩效评价指标自评表见附件）</w:t>
      </w:r>
      <w:r>
        <w:rPr>
          <w:rFonts w:hint="eastAsia" w:ascii="仿宋_GB2312" w:hAnsi="仿宋_GB2312" w:eastAsia="仿宋_GB2312" w:cs="仿宋_GB2312"/>
          <w:sz w:val="32"/>
          <w:szCs w:val="32"/>
          <w:highlight w:val="none"/>
          <w:shd w:val="clear" w:color="auto" w:fill="FFFFFF"/>
          <w:lang w:val="en-US" w:eastAsia="zh-CN"/>
        </w:rPr>
        <w:t>。</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通过分析2019年商协会产业</w:t>
      </w:r>
      <w:r>
        <w:rPr>
          <w:rFonts w:hint="eastAsia" w:ascii="仿宋_GB2312" w:hAnsi="仿宋_GB2312" w:eastAsia="仿宋_GB2312" w:cs="仿宋_GB2312"/>
          <w:sz w:val="32"/>
          <w:szCs w:val="32"/>
          <w:shd w:val="clear" w:color="auto" w:fill="FFFFFF"/>
          <w:lang w:val="en-US" w:eastAsia="zh-CN"/>
        </w:rPr>
        <w:t>资金的政策制定与实施情况，从政策制定的规范性，政策实施的合规性，到政策兑现的及时性与有效性可看出，商协会政策支持力度不断加大、政策支持不断透明化、公开化的同时，政策对商协会发展的引导性也在不断提高，商协会的活力在政策的支持下不断增强，商协会</w:t>
      </w:r>
      <w:r>
        <w:rPr>
          <w:rFonts w:hint="eastAsia" w:ascii="仿宋_GB2312" w:hAnsi="仿宋_GB2312" w:eastAsia="仿宋_GB2312" w:cs="仿宋_GB2312"/>
          <w:color w:val="auto"/>
          <w:sz w:val="32"/>
          <w:szCs w:val="32"/>
          <w:shd w:val="clear" w:color="auto" w:fill="FFFFFF"/>
          <w:lang w:val="en-US" w:eastAsia="zh-CN"/>
        </w:rPr>
        <w:t>对福田经济、社会发展的推动性不断提升。</w:t>
      </w:r>
    </w:p>
    <w:p>
      <w:pPr>
        <w:widowControl/>
        <w:wordWrap/>
        <w:adjustRightInd/>
        <w:snapToGrid/>
        <w:spacing w:line="560" w:lineRule="exact"/>
        <w:ind w:firstLine="640" w:firstLineChars="200"/>
        <w:jc w:val="both"/>
        <w:textAlignment w:val="auto"/>
        <w:rPr>
          <w:rFonts w:hint="eastAsia" w:ascii="楷体" w:hAnsi="楷体" w:eastAsia="楷体" w:cs="楷体"/>
          <w:color w:val="auto"/>
          <w:sz w:val="32"/>
          <w:szCs w:val="28"/>
          <w:lang w:eastAsia="zh-CN"/>
        </w:rPr>
      </w:pPr>
      <w:r>
        <w:rPr>
          <w:rFonts w:hint="eastAsia" w:ascii="楷体" w:hAnsi="楷体" w:eastAsia="楷体" w:cs="楷体"/>
          <w:color w:val="auto"/>
          <w:sz w:val="32"/>
          <w:szCs w:val="28"/>
          <w:lang w:eastAsia="zh-CN"/>
        </w:rPr>
        <w:t>（二）建议与提升</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1.加强前期调研，提高政策的适用性</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shd w:val="clear" w:color="auto" w:fill="FFFFFF"/>
          <w:lang w:val="en-US" w:eastAsia="zh-CN"/>
        </w:rPr>
        <w:t>政策制定前，需通过走访、调研、座谈等方式，对商协会的发展现状及需求进行深入了解，</w:t>
      </w:r>
      <w:r>
        <w:rPr>
          <w:rFonts w:hint="eastAsia" w:ascii="仿宋_GB2312" w:hAnsi="仿宋_GB2312" w:eastAsia="仿宋_GB2312" w:cs="仿宋_GB2312"/>
          <w:color w:val="auto"/>
          <w:sz w:val="32"/>
          <w:szCs w:val="32"/>
          <w:lang w:val="en-US" w:eastAsia="zh-CN"/>
        </w:rPr>
        <w:t>以此作为商协会产业资金政策及其配套细则修订的依据。同时在政策制定后需广泛征求意见，提高政策的科学性、合理性与有效性，以此保证支持政策及配套细则符合商协会发展需求，适用性和针对性有所提高，并能引导商协会持续发挥“感应器、平衡器、功放器”的功能，推动福田经济、社会发展。</w:t>
      </w:r>
    </w:p>
    <w:p>
      <w:pPr>
        <w:widowControl w:val="0"/>
        <w:numPr>
          <w:ilvl w:val="0"/>
          <w:numId w:val="0"/>
        </w:numPr>
        <w:wordWrap/>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2.加快审核速度，提高资金拨付时效性</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在总结往年政策制定、执行经验的基础上，仍需继续规范政策的制定与实施，明确项目的审核流程和标准，简化项目申报等办理程序，并在此基础上，充分利用智能化手段，减少项目受理、审核、拨付全流程的时间，提高政策兑现效率和资金拨付的时效性，提升商协会的满意度。</w:t>
      </w:r>
    </w:p>
    <w:p>
      <w:pPr>
        <w:widowControl w:val="0"/>
        <w:numPr>
          <w:ilvl w:val="0"/>
          <w:numId w:val="0"/>
        </w:numPr>
        <w:wordWrap/>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lang w:eastAsia="zh-CN"/>
        </w:rPr>
      </w:pPr>
    </w:p>
    <w:p>
      <w:pPr>
        <w:widowControl w:val="0"/>
        <w:numPr>
          <w:ilvl w:val="0"/>
          <w:numId w:val="0"/>
        </w:numPr>
        <w:wordWrap/>
        <w:adjustRightInd/>
        <w:snapToGrid/>
        <w:spacing w:line="560" w:lineRule="exact"/>
        <w:ind w:left="0" w:leftChars="0" w:firstLine="596" w:firstLineChars="200"/>
        <w:jc w:val="both"/>
        <w:textAlignment w:val="auto"/>
        <w:rPr>
          <w:rFonts w:hint="eastAsia" w:ascii="仿宋_GB2312" w:hAnsi="仿宋_GB2312" w:eastAsia="仿宋_GB2312" w:cs="仿宋_GB2312"/>
          <w:spacing w:val="-11"/>
          <w:sz w:val="32"/>
          <w:szCs w:val="32"/>
          <w:shd w:val="clear" w:color="auto" w:fill="FFFFFF"/>
          <w:lang w:eastAsia="zh-CN"/>
        </w:rPr>
      </w:pPr>
      <w:r>
        <w:rPr>
          <w:rFonts w:hint="eastAsia" w:ascii="仿宋_GB2312" w:hAnsi="仿宋_GB2312" w:eastAsia="仿宋_GB2312" w:cs="仿宋_GB2312"/>
          <w:spacing w:val="-11"/>
          <w:sz w:val="32"/>
          <w:szCs w:val="32"/>
          <w:shd w:val="clear" w:color="auto" w:fill="FFFFFF"/>
          <w:lang w:eastAsia="zh-CN"/>
        </w:rPr>
        <w:t>附件：福田区支持商协会发展若干政策绩效评价指标自评表</w:t>
      </w:r>
    </w:p>
    <w:p>
      <w:pPr>
        <w:widowControl w:val="0"/>
        <w:numPr>
          <w:ilvl w:val="0"/>
          <w:numId w:val="0"/>
        </w:numPr>
        <w:wordWrap/>
        <w:adjustRightInd/>
        <w:snapToGrid/>
        <w:spacing w:line="560" w:lineRule="exact"/>
        <w:ind w:left="0" w:leftChars="0" w:firstLine="596" w:firstLineChars="200"/>
        <w:jc w:val="both"/>
        <w:textAlignment w:val="auto"/>
        <w:rPr>
          <w:rFonts w:hint="eastAsia" w:ascii="仿宋_GB2312" w:hAnsi="仿宋_GB2312" w:eastAsia="仿宋_GB2312" w:cs="仿宋_GB2312"/>
          <w:spacing w:val="-11"/>
          <w:sz w:val="32"/>
          <w:szCs w:val="32"/>
          <w:shd w:val="clear" w:color="auto" w:fill="FFFFFF"/>
          <w:lang w:eastAsia="zh-CN"/>
        </w:rPr>
      </w:pPr>
    </w:p>
    <w:p>
      <w:pPr>
        <w:widowControl w:val="0"/>
        <w:numPr>
          <w:ilvl w:val="0"/>
          <w:numId w:val="0"/>
        </w:numPr>
        <w:wordWrap/>
        <w:adjustRightInd/>
        <w:snapToGrid/>
        <w:spacing w:line="560" w:lineRule="exact"/>
        <w:ind w:left="0" w:leftChars="0" w:firstLine="4470" w:firstLineChars="1500"/>
        <w:jc w:val="both"/>
        <w:textAlignment w:val="auto"/>
        <w:rPr>
          <w:rFonts w:hint="eastAsia" w:ascii="仿宋_GB2312" w:hAnsi="仿宋_GB2312" w:eastAsia="仿宋_GB2312" w:cs="仿宋_GB2312"/>
          <w:spacing w:val="-11"/>
          <w:sz w:val="32"/>
          <w:szCs w:val="32"/>
          <w:shd w:val="clear" w:color="auto" w:fill="FFFFFF"/>
          <w:lang w:eastAsia="zh-CN"/>
        </w:rPr>
      </w:pPr>
      <w:r>
        <w:rPr>
          <w:rFonts w:hint="eastAsia" w:ascii="仿宋_GB2312" w:hAnsi="仿宋_GB2312" w:eastAsia="仿宋_GB2312" w:cs="仿宋_GB2312"/>
          <w:spacing w:val="-11"/>
          <w:sz w:val="32"/>
          <w:szCs w:val="32"/>
          <w:shd w:val="clear" w:color="auto" w:fill="FFFFFF"/>
          <w:lang w:eastAsia="zh-CN"/>
        </w:rPr>
        <w:t>福田区企业发展服务中心</w:t>
      </w:r>
    </w:p>
    <w:p>
      <w:pPr>
        <w:widowControl w:val="0"/>
        <w:numPr>
          <w:ilvl w:val="0"/>
          <w:numId w:val="0"/>
        </w:numPr>
        <w:wordWrap/>
        <w:adjustRightInd/>
        <w:snapToGrid/>
        <w:spacing w:line="560" w:lineRule="exact"/>
        <w:ind w:left="0" w:leftChars="0" w:firstLine="5066" w:firstLineChars="1700"/>
        <w:jc w:val="both"/>
        <w:textAlignment w:val="auto"/>
        <w:rPr>
          <w:rFonts w:hint="default" w:ascii="仿宋_GB2312" w:hAnsi="仿宋_GB2312" w:eastAsia="仿宋_GB2312" w:cs="仿宋_GB2312"/>
          <w:spacing w:val="-11"/>
          <w:sz w:val="32"/>
          <w:szCs w:val="32"/>
          <w:shd w:val="clear" w:color="auto" w:fill="FFFFFF"/>
          <w:lang w:val="en-US" w:eastAsia="zh-CN"/>
        </w:rPr>
      </w:pPr>
      <w:r>
        <w:rPr>
          <w:rFonts w:hint="eastAsia" w:ascii="仿宋_GB2312" w:hAnsi="仿宋_GB2312" w:eastAsia="仿宋_GB2312" w:cs="仿宋_GB2312"/>
          <w:spacing w:val="-11"/>
          <w:sz w:val="32"/>
          <w:szCs w:val="32"/>
          <w:shd w:val="clear" w:color="auto" w:fill="FFFFFF"/>
          <w:lang w:val="en-US" w:eastAsia="zh-CN"/>
        </w:rPr>
        <w:t>2020年2月17日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F28BC"/>
    <w:rsid w:val="001B64C9"/>
    <w:rsid w:val="009661BF"/>
    <w:rsid w:val="009D5FA4"/>
    <w:rsid w:val="009E02DF"/>
    <w:rsid w:val="00BB0D63"/>
    <w:rsid w:val="00D66514"/>
    <w:rsid w:val="013E6C71"/>
    <w:rsid w:val="017E1B88"/>
    <w:rsid w:val="01C12BA0"/>
    <w:rsid w:val="01C352C2"/>
    <w:rsid w:val="01FD3E8A"/>
    <w:rsid w:val="02020FC9"/>
    <w:rsid w:val="023E265D"/>
    <w:rsid w:val="02C57087"/>
    <w:rsid w:val="02DA6AF2"/>
    <w:rsid w:val="02F31C52"/>
    <w:rsid w:val="030E74CC"/>
    <w:rsid w:val="032A4920"/>
    <w:rsid w:val="037F404E"/>
    <w:rsid w:val="03AE12D8"/>
    <w:rsid w:val="03E442E8"/>
    <w:rsid w:val="03F82385"/>
    <w:rsid w:val="042E6EFE"/>
    <w:rsid w:val="04D54AD9"/>
    <w:rsid w:val="05846584"/>
    <w:rsid w:val="059E6ABA"/>
    <w:rsid w:val="05C73C39"/>
    <w:rsid w:val="05DF6377"/>
    <w:rsid w:val="0742597F"/>
    <w:rsid w:val="07611134"/>
    <w:rsid w:val="0778191D"/>
    <w:rsid w:val="07D96CF6"/>
    <w:rsid w:val="07DF6191"/>
    <w:rsid w:val="08310652"/>
    <w:rsid w:val="086137E0"/>
    <w:rsid w:val="08767A66"/>
    <w:rsid w:val="08A22FB4"/>
    <w:rsid w:val="08F8022E"/>
    <w:rsid w:val="09865E83"/>
    <w:rsid w:val="09A43950"/>
    <w:rsid w:val="09BB75E3"/>
    <w:rsid w:val="09E05161"/>
    <w:rsid w:val="09E54740"/>
    <w:rsid w:val="0A0D32B5"/>
    <w:rsid w:val="0AAC6F98"/>
    <w:rsid w:val="0AD0546A"/>
    <w:rsid w:val="0AF27372"/>
    <w:rsid w:val="0AF86FB8"/>
    <w:rsid w:val="0AF877E5"/>
    <w:rsid w:val="0B710421"/>
    <w:rsid w:val="0BB96C4F"/>
    <w:rsid w:val="0BCC570A"/>
    <w:rsid w:val="0C2B60DB"/>
    <w:rsid w:val="0C56323D"/>
    <w:rsid w:val="0C6D1E50"/>
    <w:rsid w:val="0C7A43DD"/>
    <w:rsid w:val="0C7C4E89"/>
    <w:rsid w:val="0D2428CE"/>
    <w:rsid w:val="0D2A45FA"/>
    <w:rsid w:val="0D2B3CF8"/>
    <w:rsid w:val="0D8259CF"/>
    <w:rsid w:val="0D89017F"/>
    <w:rsid w:val="0DA06B94"/>
    <w:rsid w:val="0DAB0C24"/>
    <w:rsid w:val="0DDD4EBB"/>
    <w:rsid w:val="0E117056"/>
    <w:rsid w:val="0E6F5ADC"/>
    <w:rsid w:val="0E757DDD"/>
    <w:rsid w:val="0EBF7268"/>
    <w:rsid w:val="0EE74B08"/>
    <w:rsid w:val="0F2315E4"/>
    <w:rsid w:val="0F8164DB"/>
    <w:rsid w:val="0F8212F0"/>
    <w:rsid w:val="0F824A3B"/>
    <w:rsid w:val="0FAC6A8D"/>
    <w:rsid w:val="0FAD2A29"/>
    <w:rsid w:val="0FB8642F"/>
    <w:rsid w:val="10041EBA"/>
    <w:rsid w:val="104D0A48"/>
    <w:rsid w:val="10B20940"/>
    <w:rsid w:val="10C60CF6"/>
    <w:rsid w:val="10D60113"/>
    <w:rsid w:val="11013ABE"/>
    <w:rsid w:val="11146AC5"/>
    <w:rsid w:val="11BE58F8"/>
    <w:rsid w:val="11FA796E"/>
    <w:rsid w:val="11FD717D"/>
    <w:rsid w:val="12685CD0"/>
    <w:rsid w:val="12B74891"/>
    <w:rsid w:val="12BB168E"/>
    <w:rsid w:val="12C36BA3"/>
    <w:rsid w:val="12D20AE0"/>
    <w:rsid w:val="12DE523B"/>
    <w:rsid w:val="12F931E3"/>
    <w:rsid w:val="13B23FE3"/>
    <w:rsid w:val="14586575"/>
    <w:rsid w:val="14766458"/>
    <w:rsid w:val="152A48FE"/>
    <w:rsid w:val="15352FEF"/>
    <w:rsid w:val="156F4C8D"/>
    <w:rsid w:val="15706875"/>
    <w:rsid w:val="157F0EE1"/>
    <w:rsid w:val="15D60195"/>
    <w:rsid w:val="15E429C8"/>
    <w:rsid w:val="15E52052"/>
    <w:rsid w:val="15F1389A"/>
    <w:rsid w:val="16130988"/>
    <w:rsid w:val="16250ACD"/>
    <w:rsid w:val="16300EF2"/>
    <w:rsid w:val="1674782B"/>
    <w:rsid w:val="16934B40"/>
    <w:rsid w:val="16A634E1"/>
    <w:rsid w:val="16A9579F"/>
    <w:rsid w:val="16A963A7"/>
    <w:rsid w:val="16AC4895"/>
    <w:rsid w:val="16F94EAB"/>
    <w:rsid w:val="17232E16"/>
    <w:rsid w:val="17256FE9"/>
    <w:rsid w:val="172B5DF0"/>
    <w:rsid w:val="17326FD1"/>
    <w:rsid w:val="174D4E34"/>
    <w:rsid w:val="1752251C"/>
    <w:rsid w:val="17CB7285"/>
    <w:rsid w:val="17CE0967"/>
    <w:rsid w:val="17F92F49"/>
    <w:rsid w:val="1839723F"/>
    <w:rsid w:val="18427FDB"/>
    <w:rsid w:val="193C7057"/>
    <w:rsid w:val="19D701E1"/>
    <w:rsid w:val="1A2608FA"/>
    <w:rsid w:val="1A335641"/>
    <w:rsid w:val="1A784F9E"/>
    <w:rsid w:val="1AB55587"/>
    <w:rsid w:val="1ABF2B8E"/>
    <w:rsid w:val="1B0D1D4E"/>
    <w:rsid w:val="1B111505"/>
    <w:rsid w:val="1B2D4000"/>
    <w:rsid w:val="1B331AE7"/>
    <w:rsid w:val="1B3E2D66"/>
    <w:rsid w:val="1BAD68D1"/>
    <w:rsid w:val="1C06261E"/>
    <w:rsid w:val="1CA03A11"/>
    <w:rsid w:val="1D773B77"/>
    <w:rsid w:val="1D854D49"/>
    <w:rsid w:val="1D882E47"/>
    <w:rsid w:val="1D8971C7"/>
    <w:rsid w:val="1D970C07"/>
    <w:rsid w:val="1DA90ABA"/>
    <w:rsid w:val="1DC87E75"/>
    <w:rsid w:val="1DE43673"/>
    <w:rsid w:val="1E065138"/>
    <w:rsid w:val="1E502CE7"/>
    <w:rsid w:val="1E715386"/>
    <w:rsid w:val="1F122FAC"/>
    <w:rsid w:val="1F260EEA"/>
    <w:rsid w:val="1F3A7F51"/>
    <w:rsid w:val="1F6452E7"/>
    <w:rsid w:val="1F7D5AEF"/>
    <w:rsid w:val="202B77A1"/>
    <w:rsid w:val="202D6354"/>
    <w:rsid w:val="2037318F"/>
    <w:rsid w:val="20567BB4"/>
    <w:rsid w:val="20D57AD4"/>
    <w:rsid w:val="20DA1141"/>
    <w:rsid w:val="20DC384C"/>
    <w:rsid w:val="21485B67"/>
    <w:rsid w:val="216D3A8F"/>
    <w:rsid w:val="21886D25"/>
    <w:rsid w:val="21CC668B"/>
    <w:rsid w:val="21E06502"/>
    <w:rsid w:val="21E31ACA"/>
    <w:rsid w:val="22100CEA"/>
    <w:rsid w:val="225F1D5B"/>
    <w:rsid w:val="22AB33C9"/>
    <w:rsid w:val="22AE0B5B"/>
    <w:rsid w:val="22C42932"/>
    <w:rsid w:val="22DC1B8D"/>
    <w:rsid w:val="22E73D3F"/>
    <w:rsid w:val="23020A18"/>
    <w:rsid w:val="230E07B1"/>
    <w:rsid w:val="235854EA"/>
    <w:rsid w:val="23910569"/>
    <w:rsid w:val="239E1B29"/>
    <w:rsid w:val="23D51065"/>
    <w:rsid w:val="23F93131"/>
    <w:rsid w:val="24325DD0"/>
    <w:rsid w:val="24602A32"/>
    <w:rsid w:val="24605B33"/>
    <w:rsid w:val="246B0A13"/>
    <w:rsid w:val="248B0235"/>
    <w:rsid w:val="24967445"/>
    <w:rsid w:val="25054FAE"/>
    <w:rsid w:val="250E40C7"/>
    <w:rsid w:val="25152B61"/>
    <w:rsid w:val="25415028"/>
    <w:rsid w:val="254C689D"/>
    <w:rsid w:val="256676CE"/>
    <w:rsid w:val="256D0C31"/>
    <w:rsid w:val="2580644E"/>
    <w:rsid w:val="25CD0C7B"/>
    <w:rsid w:val="25FC7CFC"/>
    <w:rsid w:val="26126309"/>
    <w:rsid w:val="2622316B"/>
    <w:rsid w:val="26314616"/>
    <w:rsid w:val="26497409"/>
    <w:rsid w:val="265C3F3E"/>
    <w:rsid w:val="2665666C"/>
    <w:rsid w:val="26701CFD"/>
    <w:rsid w:val="26CF5726"/>
    <w:rsid w:val="26E16355"/>
    <w:rsid w:val="27B12F13"/>
    <w:rsid w:val="27BC0413"/>
    <w:rsid w:val="27D50A6A"/>
    <w:rsid w:val="27FB29D0"/>
    <w:rsid w:val="28235DEC"/>
    <w:rsid w:val="282B7CD4"/>
    <w:rsid w:val="289238E3"/>
    <w:rsid w:val="28CE6B59"/>
    <w:rsid w:val="292A4001"/>
    <w:rsid w:val="298E181E"/>
    <w:rsid w:val="29BB28BE"/>
    <w:rsid w:val="29D5644E"/>
    <w:rsid w:val="2A1E2B81"/>
    <w:rsid w:val="2A5910BD"/>
    <w:rsid w:val="2A591401"/>
    <w:rsid w:val="2A997302"/>
    <w:rsid w:val="2B063DB4"/>
    <w:rsid w:val="2B282E87"/>
    <w:rsid w:val="2B73610F"/>
    <w:rsid w:val="2B7D38BF"/>
    <w:rsid w:val="2C216B56"/>
    <w:rsid w:val="2C3C55FD"/>
    <w:rsid w:val="2C8F086F"/>
    <w:rsid w:val="2CB45D36"/>
    <w:rsid w:val="2D1370AB"/>
    <w:rsid w:val="2D266C50"/>
    <w:rsid w:val="2D35589E"/>
    <w:rsid w:val="2D507C6F"/>
    <w:rsid w:val="2DEB3925"/>
    <w:rsid w:val="2E143359"/>
    <w:rsid w:val="2EA4037A"/>
    <w:rsid w:val="2EB02360"/>
    <w:rsid w:val="2ED00B4D"/>
    <w:rsid w:val="2F2F4D38"/>
    <w:rsid w:val="2F331D31"/>
    <w:rsid w:val="2F3B5A8C"/>
    <w:rsid w:val="302838FA"/>
    <w:rsid w:val="30445E18"/>
    <w:rsid w:val="305B3F5A"/>
    <w:rsid w:val="307B5F46"/>
    <w:rsid w:val="30C05132"/>
    <w:rsid w:val="30C8616B"/>
    <w:rsid w:val="30DF5328"/>
    <w:rsid w:val="310534D5"/>
    <w:rsid w:val="315D42F4"/>
    <w:rsid w:val="32457DDF"/>
    <w:rsid w:val="331C7FD8"/>
    <w:rsid w:val="33515D51"/>
    <w:rsid w:val="33AC359B"/>
    <w:rsid w:val="33C35A1C"/>
    <w:rsid w:val="33CF28BC"/>
    <w:rsid w:val="33F469A4"/>
    <w:rsid w:val="344A06E3"/>
    <w:rsid w:val="345C587F"/>
    <w:rsid w:val="34711322"/>
    <w:rsid w:val="35287CE4"/>
    <w:rsid w:val="355A276A"/>
    <w:rsid w:val="358338AE"/>
    <w:rsid w:val="35B1222F"/>
    <w:rsid w:val="36146A55"/>
    <w:rsid w:val="36F86A6D"/>
    <w:rsid w:val="37831B51"/>
    <w:rsid w:val="37B60D5E"/>
    <w:rsid w:val="37CB1108"/>
    <w:rsid w:val="384117F3"/>
    <w:rsid w:val="385A3EA3"/>
    <w:rsid w:val="38726EDC"/>
    <w:rsid w:val="388B11DD"/>
    <w:rsid w:val="389434D9"/>
    <w:rsid w:val="38A024D1"/>
    <w:rsid w:val="38CC49C9"/>
    <w:rsid w:val="38DF7E5F"/>
    <w:rsid w:val="391A65C3"/>
    <w:rsid w:val="39664DAC"/>
    <w:rsid w:val="399A6D25"/>
    <w:rsid w:val="39EC36C1"/>
    <w:rsid w:val="39F41556"/>
    <w:rsid w:val="3A392751"/>
    <w:rsid w:val="3A9E5255"/>
    <w:rsid w:val="3AF10629"/>
    <w:rsid w:val="3B254EE6"/>
    <w:rsid w:val="3B835E8A"/>
    <w:rsid w:val="3BA801EE"/>
    <w:rsid w:val="3BBA7B84"/>
    <w:rsid w:val="3BC5141C"/>
    <w:rsid w:val="3BF1277F"/>
    <w:rsid w:val="3C6172EA"/>
    <w:rsid w:val="3CBC6C9F"/>
    <w:rsid w:val="3CD40209"/>
    <w:rsid w:val="3D1C301A"/>
    <w:rsid w:val="3D2F0470"/>
    <w:rsid w:val="3D3A366A"/>
    <w:rsid w:val="3D4855D5"/>
    <w:rsid w:val="3E4B384A"/>
    <w:rsid w:val="3E7E1D51"/>
    <w:rsid w:val="3EF519F6"/>
    <w:rsid w:val="3FC37671"/>
    <w:rsid w:val="3FD1227E"/>
    <w:rsid w:val="40175B5F"/>
    <w:rsid w:val="40756F94"/>
    <w:rsid w:val="40B90D32"/>
    <w:rsid w:val="40DC1D43"/>
    <w:rsid w:val="40E242B9"/>
    <w:rsid w:val="411E28E3"/>
    <w:rsid w:val="416A29C0"/>
    <w:rsid w:val="417F02EF"/>
    <w:rsid w:val="41EF0387"/>
    <w:rsid w:val="41F86285"/>
    <w:rsid w:val="421F0A04"/>
    <w:rsid w:val="426760DA"/>
    <w:rsid w:val="428B64EC"/>
    <w:rsid w:val="428F08B0"/>
    <w:rsid w:val="42BC3C87"/>
    <w:rsid w:val="42C06BF6"/>
    <w:rsid w:val="42D15715"/>
    <w:rsid w:val="42D574D5"/>
    <w:rsid w:val="42DB7E4A"/>
    <w:rsid w:val="42E87557"/>
    <w:rsid w:val="430731AD"/>
    <w:rsid w:val="435D318E"/>
    <w:rsid w:val="438D321B"/>
    <w:rsid w:val="43C7127A"/>
    <w:rsid w:val="43D26354"/>
    <w:rsid w:val="43E54F18"/>
    <w:rsid w:val="4426659A"/>
    <w:rsid w:val="446379D9"/>
    <w:rsid w:val="44823DE8"/>
    <w:rsid w:val="44BC4871"/>
    <w:rsid w:val="450B25AA"/>
    <w:rsid w:val="454168B9"/>
    <w:rsid w:val="4607403A"/>
    <w:rsid w:val="46125886"/>
    <w:rsid w:val="468E0E3D"/>
    <w:rsid w:val="47670EFA"/>
    <w:rsid w:val="47C90B7F"/>
    <w:rsid w:val="47EA4A7F"/>
    <w:rsid w:val="48104F5C"/>
    <w:rsid w:val="48346CFC"/>
    <w:rsid w:val="483F21AD"/>
    <w:rsid w:val="48B05FB5"/>
    <w:rsid w:val="48BB0A47"/>
    <w:rsid w:val="48E33D19"/>
    <w:rsid w:val="48F756A6"/>
    <w:rsid w:val="49672B35"/>
    <w:rsid w:val="498A61A3"/>
    <w:rsid w:val="49EF4FAD"/>
    <w:rsid w:val="4A1901DB"/>
    <w:rsid w:val="4A464DE2"/>
    <w:rsid w:val="4A5862C0"/>
    <w:rsid w:val="4A5A5142"/>
    <w:rsid w:val="4A635938"/>
    <w:rsid w:val="4A8C65FC"/>
    <w:rsid w:val="4AA43D9D"/>
    <w:rsid w:val="4ACC61DD"/>
    <w:rsid w:val="4AFA02FE"/>
    <w:rsid w:val="4B120F09"/>
    <w:rsid w:val="4B4B7FBD"/>
    <w:rsid w:val="4B7B3383"/>
    <w:rsid w:val="4B8824AB"/>
    <w:rsid w:val="4BB92FD9"/>
    <w:rsid w:val="4C170CE6"/>
    <w:rsid w:val="4C474D83"/>
    <w:rsid w:val="4CBF7255"/>
    <w:rsid w:val="4CCC0544"/>
    <w:rsid w:val="4CFD267D"/>
    <w:rsid w:val="4D274E37"/>
    <w:rsid w:val="4D531CAF"/>
    <w:rsid w:val="4D8323BD"/>
    <w:rsid w:val="4DAA0C7F"/>
    <w:rsid w:val="4DD14CB3"/>
    <w:rsid w:val="4DE72BB1"/>
    <w:rsid w:val="4E03351B"/>
    <w:rsid w:val="4E3A63F8"/>
    <w:rsid w:val="4E680748"/>
    <w:rsid w:val="4EF9246A"/>
    <w:rsid w:val="4F437EAF"/>
    <w:rsid w:val="4F4A2D7B"/>
    <w:rsid w:val="4FE123B6"/>
    <w:rsid w:val="50260EB2"/>
    <w:rsid w:val="50336A7A"/>
    <w:rsid w:val="505031A4"/>
    <w:rsid w:val="507E1C7B"/>
    <w:rsid w:val="508B1DBC"/>
    <w:rsid w:val="50B10A2D"/>
    <w:rsid w:val="50B7053C"/>
    <w:rsid w:val="50CA100E"/>
    <w:rsid w:val="50DD1638"/>
    <w:rsid w:val="515A6ABC"/>
    <w:rsid w:val="517161B4"/>
    <w:rsid w:val="519039E1"/>
    <w:rsid w:val="51E31D73"/>
    <w:rsid w:val="51F93426"/>
    <w:rsid w:val="51FB033F"/>
    <w:rsid w:val="52125E20"/>
    <w:rsid w:val="5257031D"/>
    <w:rsid w:val="52672C6D"/>
    <w:rsid w:val="52B429D0"/>
    <w:rsid w:val="52CB5CD1"/>
    <w:rsid w:val="52E94970"/>
    <w:rsid w:val="52FA2A61"/>
    <w:rsid w:val="5361437C"/>
    <w:rsid w:val="537743AE"/>
    <w:rsid w:val="53781D5A"/>
    <w:rsid w:val="53A47508"/>
    <w:rsid w:val="54423087"/>
    <w:rsid w:val="54683118"/>
    <w:rsid w:val="54916126"/>
    <w:rsid w:val="54A42D3E"/>
    <w:rsid w:val="54C5176E"/>
    <w:rsid w:val="54C748FB"/>
    <w:rsid w:val="551975A1"/>
    <w:rsid w:val="552228CE"/>
    <w:rsid w:val="552D6730"/>
    <w:rsid w:val="55660475"/>
    <w:rsid w:val="557727AA"/>
    <w:rsid w:val="55BE60BB"/>
    <w:rsid w:val="55FB4EE8"/>
    <w:rsid w:val="5660632E"/>
    <w:rsid w:val="56C07D40"/>
    <w:rsid w:val="577D67CF"/>
    <w:rsid w:val="57995590"/>
    <w:rsid w:val="579D307F"/>
    <w:rsid w:val="57C278E7"/>
    <w:rsid w:val="583140CF"/>
    <w:rsid w:val="58A063E3"/>
    <w:rsid w:val="58AC078D"/>
    <w:rsid w:val="58F27D3B"/>
    <w:rsid w:val="59330C6F"/>
    <w:rsid w:val="594C109A"/>
    <w:rsid w:val="598456C9"/>
    <w:rsid w:val="59CB6D98"/>
    <w:rsid w:val="5A4706B2"/>
    <w:rsid w:val="5A520FC0"/>
    <w:rsid w:val="5A6D2C4D"/>
    <w:rsid w:val="5A786B05"/>
    <w:rsid w:val="5A7D1715"/>
    <w:rsid w:val="5A812CEE"/>
    <w:rsid w:val="5AF816EE"/>
    <w:rsid w:val="5B503D21"/>
    <w:rsid w:val="5B5E4469"/>
    <w:rsid w:val="5B877C41"/>
    <w:rsid w:val="5B9C25AC"/>
    <w:rsid w:val="5C4E7B50"/>
    <w:rsid w:val="5C605D9F"/>
    <w:rsid w:val="5C6161E0"/>
    <w:rsid w:val="5C8A2BD9"/>
    <w:rsid w:val="5CB341B8"/>
    <w:rsid w:val="5CDC2190"/>
    <w:rsid w:val="5CE021E1"/>
    <w:rsid w:val="5D191983"/>
    <w:rsid w:val="5DA55BB3"/>
    <w:rsid w:val="5DCA294A"/>
    <w:rsid w:val="5E582396"/>
    <w:rsid w:val="5EC43C1B"/>
    <w:rsid w:val="5EDC4C88"/>
    <w:rsid w:val="5F9C016E"/>
    <w:rsid w:val="5FB61F3F"/>
    <w:rsid w:val="5FCA3334"/>
    <w:rsid w:val="5FFF3C47"/>
    <w:rsid w:val="600D7C9E"/>
    <w:rsid w:val="60294135"/>
    <w:rsid w:val="60557F37"/>
    <w:rsid w:val="608927D7"/>
    <w:rsid w:val="60A23861"/>
    <w:rsid w:val="60B5469E"/>
    <w:rsid w:val="60CD6D70"/>
    <w:rsid w:val="60F27F48"/>
    <w:rsid w:val="611734F0"/>
    <w:rsid w:val="611C6080"/>
    <w:rsid w:val="615714F4"/>
    <w:rsid w:val="617633D4"/>
    <w:rsid w:val="617E7CE9"/>
    <w:rsid w:val="6249235A"/>
    <w:rsid w:val="62867279"/>
    <w:rsid w:val="62905203"/>
    <w:rsid w:val="6298229C"/>
    <w:rsid w:val="62992511"/>
    <w:rsid w:val="629C723A"/>
    <w:rsid w:val="62A13512"/>
    <w:rsid w:val="62C20B44"/>
    <w:rsid w:val="62F052F7"/>
    <w:rsid w:val="63094FD7"/>
    <w:rsid w:val="63320C3E"/>
    <w:rsid w:val="633D4B37"/>
    <w:rsid w:val="634F0137"/>
    <w:rsid w:val="63794C12"/>
    <w:rsid w:val="63943B7A"/>
    <w:rsid w:val="63D267FE"/>
    <w:rsid w:val="645A362C"/>
    <w:rsid w:val="6466003A"/>
    <w:rsid w:val="64AE5CB9"/>
    <w:rsid w:val="64B32D22"/>
    <w:rsid w:val="6500761C"/>
    <w:rsid w:val="651F6070"/>
    <w:rsid w:val="65210730"/>
    <w:rsid w:val="658F7509"/>
    <w:rsid w:val="65940E7D"/>
    <w:rsid w:val="659E0EE3"/>
    <w:rsid w:val="65C5230D"/>
    <w:rsid w:val="664968A1"/>
    <w:rsid w:val="66966928"/>
    <w:rsid w:val="66A42ABD"/>
    <w:rsid w:val="66BC0657"/>
    <w:rsid w:val="66BE6061"/>
    <w:rsid w:val="66F766DD"/>
    <w:rsid w:val="66F866D9"/>
    <w:rsid w:val="673E6A7F"/>
    <w:rsid w:val="678D1430"/>
    <w:rsid w:val="678E5D10"/>
    <w:rsid w:val="68056506"/>
    <w:rsid w:val="68B903A9"/>
    <w:rsid w:val="68C81EBC"/>
    <w:rsid w:val="69583733"/>
    <w:rsid w:val="69853BF7"/>
    <w:rsid w:val="69B965BF"/>
    <w:rsid w:val="69CA7AFD"/>
    <w:rsid w:val="69E13DD2"/>
    <w:rsid w:val="6AB31A9F"/>
    <w:rsid w:val="6ABC7DEE"/>
    <w:rsid w:val="6B2152DB"/>
    <w:rsid w:val="6B3F404C"/>
    <w:rsid w:val="6B623782"/>
    <w:rsid w:val="6B717A62"/>
    <w:rsid w:val="6BB66FB1"/>
    <w:rsid w:val="6BBB23BA"/>
    <w:rsid w:val="6C740660"/>
    <w:rsid w:val="6CB9087D"/>
    <w:rsid w:val="6D1D6B3C"/>
    <w:rsid w:val="6D866D8F"/>
    <w:rsid w:val="6D97525B"/>
    <w:rsid w:val="6EAF66F8"/>
    <w:rsid w:val="6EC4254E"/>
    <w:rsid w:val="6EC455BE"/>
    <w:rsid w:val="6EE94228"/>
    <w:rsid w:val="6EEF65D0"/>
    <w:rsid w:val="6F497472"/>
    <w:rsid w:val="6FF43A5E"/>
    <w:rsid w:val="700F5FAF"/>
    <w:rsid w:val="7028726F"/>
    <w:rsid w:val="705F35FF"/>
    <w:rsid w:val="70A60156"/>
    <w:rsid w:val="70B576E6"/>
    <w:rsid w:val="71157CB5"/>
    <w:rsid w:val="715D3A5B"/>
    <w:rsid w:val="720E395A"/>
    <w:rsid w:val="723B0521"/>
    <w:rsid w:val="724E3E28"/>
    <w:rsid w:val="72C04596"/>
    <w:rsid w:val="72F46BCF"/>
    <w:rsid w:val="733F57A1"/>
    <w:rsid w:val="73730B4D"/>
    <w:rsid w:val="73AA2A41"/>
    <w:rsid w:val="73C541F4"/>
    <w:rsid w:val="73D76133"/>
    <w:rsid w:val="73DA5357"/>
    <w:rsid w:val="74690587"/>
    <w:rsid w:val="74704CC3"/>
    <w:rsid w:val="74716BDE"/>
    <w:rsid w:val="7475489D"/>
    <w:rsid w:val="74A8014A"/>
    <w:rsid w:val="74CC6369"/>
    <w:rsid w:val="74DC32E5"/>
    <w:rsid w:val="74E640D0"/>
    <w:rsid w:val="75085139"/>
    <w:rsid w:val="751A419C"/>
    <w:rsid w:val="752033C1"/>
    <w:rsid w:val="753356D4"/>
    <w:rsid w:val="759C58F2"/>
    <w:rsid w:val="761079B6"/>
    <w:rsid w:val="762A7801"/>
    <w:rsid w:val="76755B27"/>
    <w:rsid w:val="76AE7E8C"/>
    <w:rsid w:val="76E17908"/>
    <w:rsid w:val="770934EA"/>
    <w:rsid w:val="770955AA"/>
    <w:rsid w:val="777D4A86"/>
    <w:rsid w:val="779809C7"/>
    <w:rsid w:val="77A833B7"/>
    <w:rsid w:val="77E46DF0"/>
    <w:rsid w:val="784D73A6"/>
    <w:rsid w:val="785F253A"/>
    <w:rsid w:val="78AD5504"/>
    <w:rsid w:val="78DA650D"/>
    <w:rsid w:val="78F02346"/>
    <w:rsid w:val="79410357"/>
    <w:rsid w:val="79543339"/>
    <w:rsid w:val="79867F97"/>
    <w:rsid w:val="79EC0BCA"/>
    <w:rsid w:val="7A237D64"/>
    <w:rsid w:val="7A4300D3"/>
    <w:rsid w:val="7A7227DF"/>
    <w:rsid w:val="7A9602B4"/>
    <w:rsid w:val="7AFC53F1"/>
    <w:rsid w:val="7B0D6EA5"/>
    <w:rsid w:val="7B1105C4"/>
    <w:rsid w:val="7B641AE7"/>
    <w:rsid w:val="7B7A46E6"/>
    <w:rsid w:val="7B8A2662"/>
    <w:rsid w:val="7B9A78F8"/>
    <w:rsid w:val="7BE9375E"/>
    <w:rsid w:val="7BF77DEE"/>
    <w:rsid w:val="7C1864F4"/>
    <w:rsid w:val="7C6E1EBB"/>
    <w:rsid w:val="7CD16F6B"/>
    <w:rsid w:val="7D7919C1"/>
    <w:rsid w:val="7D813504"/>
    <w:rsid w:val="7DB6766D"/>
    <w:rsid w:val="7E2049E5"/>
    <w:rsid w:val="7E25852E"/>
    <w:rsid w:val="7E5247B2"/>
    <w:rsid w:val="7E68318C"/>
    <w:rsid w:val="7E8F33D6"/>
    <w:rsid w:val="7EA2787B"/>
    <w:rsid w:val="7EB27A30"/>
    <w:rsid w:val="7EC36367"/>
    <w:rsid w:val="7EDB10B2"/>
    <w:rsid w:val="7F0E7F7F"/>
    <w:rsid w:val="7F272D48"/>
    <w:rsid w:val="7F2B46CA"/>
    <w:rsid w:val="7F2B5A38"/>
    <w:rsid w:val="7F6C39A1"/>
    <w:rsid w:val="7F93341F"/>
    <w:rsid w:val="7F9C5F8E"/>
    <w:rsid w:val="7FA13D74"/>
    <w:rsid w:val="7FFE1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黑体"/>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2020-02-05T17:14:00Z</dcterms:created>
  <dc:creator>lenovo</dc:creator>
  <cp:lastModifiedBy>xuganlin</cp:lastModifiedBy>
  <cp:lastPrinted>2020-04-30T15:41:00Z</cp:lastPrinted>
  <dcterms:modified xsi:type="dcterms:W3CDTF">2023-04-12T16:24:33Z</dcterms:modified>
  <dc:title>区企服中心2019年度商协会产业发展专项资金绩效自评报告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