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val="0"/>
        <w:snapToGrid w:val="0"/>
        <w:spacing w:before="0" w:after="0" w:line="560" w:lineRule="exact"/>
        <w:textAlignment w:val="auto"/>
        <w:outlineLvl w:val="9"/>
        <w:rPr>
          <w:rFonts w:hint="eastAsia" w:ascii="方正小标宋_GBK" w:hAnsi="宋体" w:eastAsia="方正小标宋_GBK" w:cs="宋体"/>
          <w:b w:val="0"/>
          <w:color w:val="auto"/>
          <w:kern w:val="44"/>
          <w:sz w:val="44"/>
          <w:szCs w:val="44"/>
          <w:highlight w:val="none"/>
          <w:u w:val="none"/>
        </w:rPr>
      </w:pPr>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w:t>
      </w:r>
      <w:r>
        <w:rPr>
          <w:rFonts w:hint="eastAsia" w:ascii="方正小标宋_GBK" w:hAnsi="宋体" w:eastAsia="方正小标宋_GBK" w:cs="宋体"/>
          <w:b w:val="0"/>
          <w:color w:val="auto"/>
          <w:kern w:val="44"/>
          <w:sz w:val="44"/>
          <w:szCs w:val="44"/>
          <w:highlight w:val="none"/>
          <w:u w:val="none"/>
        </w:rPr>
        <w:t>书</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一、采购项目概况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福田区</w:t>
      </w:r>
      <w:r>
        <w:rPr>
          <w:rFonts w:hint="eastAsia" w:ascii="仿宋_GB2312" w:hAnsi="仿宋_GB2312" w:eastAsia="仿宋_GB2312" w:cs="仿宋_GB2312"/>
          <w:b w:val="0"/>
          <w:bCs w:val="0"/>
          <w:sz w:val="32"/>
          <w:szCs w:val="20"/>
          <w:lang w:val="en-US" w:eastAsia="zh-CN"/>
        </w:rPr>
        <w:t>科技创新创业企业</w:t>
      </w:r>
      <w:r>
        <w:rPr>
          <w:rFonts w:hint="eastAsia" w:ascii="仿宋_GB2312" w:hAnsi="仿宋_GB2312" w:eastAsia="仿宋_GB2312" w:cs="仿宋_GB2312"/>
          <w:b w:val="0"/>
          <w:bCs w:val="0"/>
          <w:color w:val="auto"/>
          <w:kern w:val="2"/>
          <w:sz w:val="32"/>
          <w:szCs w:val="32"/>
          <w:highlight w:val="none"/>
          <w:u w:val="none"/>
          <w:lang w:val="en-US" w:eastAsia="zh-CN" w:bidi="ar-SA"/>
        </w:rPr>
        <w:t>发展赋能加速活动</w:t>
      </w:r>
      <w:r>
        <w:rPr>
          <w:rFonts w:hint="eastAsia" w:ascii="仿宋_GB2312" w:hAnsi="仿宋_GB2312" w:eastAsia="仿宋_GB2312" w:cs="仿宋_GB2312"/>
          <w:color w:val="auto"/>
          <w:kern w:val="2"/>
          <w:sz w:val="32"/>
          <w:szCs w:val="32"/>
          <w:highlight w:val="none"/>
          <w:u w:val="none"/>
          <w:lang w:val="en-US" w:eastAsia="zh-CN" w:bidi="ar-SA"/>
        </w:rPr>
        <w:t>相关服务，包括以下内容：</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编制福田区科创企业赋能加速活动内容需求问卷，了解企业</w:t>
      </w:r>
      <w:r>
        <w:rPr>
          <w:rFonts w:hint="eastAsia" w:ascii="仿宋_GB2312" w:hAnsi="仿宋_GB2312" w:eastAsia="仿宋_GB2312" w:cs="仿宋_GB2312"/>
          <w:b w:val="0"/>
          <w:bCs w:val="0"/>
          <w:color w:val="auto"/>
          <w:sz w:val="32"/>
          <w:szCs w:val="32"/>
          <w:highlight w:val="none"/>
          <w:lang w:val="en-US" w:eastAsia="zh-CN"/>
        </w:rPr>
        <w:t>在发展过程中存在的问题及发展困惑，以便有针对性提供赋能加速活动设计和资源对接。</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根据收集到数据信息，策划实施为期三天的活动</w:t>
      </w:r>
      <w:r>
        <w:rPr>
          <w:rFonts w:hint="eastAsia" w:ascii="仿宋_GB2312" w:hAnsi="仿宋_GB2312" w:eastAsia="仿宋_GB2312" w:cs="仿宋_GB2312"/>
          <w:b w:val="0"/>
          <w:bCs w:val="0"/>
          <w:color w:val="auto"/>
          <w:kern w:val="2"/>
          <w:sz w:val="32"/>
          <w:szCs w:val="32"/>
          <w:highlight w:val="none"/>
          <w:u w:val="none"/>
          <w:lang w:val="en-US" w:eastAsia="zh-CN" w:bidi="ar-SA"/>
        </w:rPr>
        <w:t>方案及内容，邀请行业专家以及大企业高管进行多次</w:t>
      </w:r>
      <w:r>
        <w:rPr>
          <w:rFonts w:hint="eastAsia" w:ascii="仿宋_GB2312" w:hAnsi="仿宋_GB2312" w:eastAsia="仿宋_GB2312" w:cs="仿宋_GB2312"/>
          <w:sz w:val="32"/>
          <w:szCs w:val="20"/>
          <w:lang w:val="en-US" w:eastAsia="zh-CN"/>
        </w:rPr>
        <w:t>核心问题研讨</w:t>
      </w:r>
      <w:r>
        <w:rPr>
          <w:rFonts w:hint="eastAsia" w:ascii="仿宋_GB2312" w:hAnsi="仿宋_GB2312" w:eastAsia="仿宋_GB2312" w:cs="仿宋_GB2312"/>
          <w:b w:val="0"/>
          <w:bCs w:val="0"/>
          <w:color w:val="auto"/>
          <w:kern w:val="2"/>
          <w:sz w:val="32"/>
          <w:szCs w:val="32"/>
          <w:highlight w:val="none"/>
          <w:u w:val="none"/>
          <w:lang w:val="en-US" w:eastAsia="zh-CN" w:bidi="ar-SA"/>
        </w:rPr>
        <w:t>，协助参与企业创新商业模式设计，路演优化，促进产业资源对接，帮助科创企业创业者更加全面掌握创业过程,丰富创业经验,提升创业和产品商业化能力，从而使企业能够得到更好的发展。</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项目管理和服务要求</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 w:eastAsia="仿宋_GB2312"/>
          <w:b w:val="0"/>
          <w:bCs w:val="0"/>
          <w:color w:val="auto"/>
          <w:sz w:val="32"/>
          <w:szCs w:val="32"/>
          <w:highlight w:val="none"/>
          <w:u w:val="none"/>
        </w:rPr>
        <w:t>响应人根据采购需求，安排得力</w:t>
      </w:r>
      <w:r>
        <w:rPr>
          <w:rFonts w:hint="eastAsia" w:ascii="仿宋_GB2312" w:hAnsi="仿宋" w:eastAsia="仿宋_GB2312"/>
          <w:b w:val="0"/>
          <w:bCs w:val="0"/>
          <w:color w:val="auto"/>
          <w:sz w:val="32"/>
          <w:szCs w:val="32"/>
          <w:highlight w:val="none"/>
          <w:u w:val="none"/>
          <w:lang w:eastAsia="zh-CN"/>
        </w:rPr>
        <w:t>专业</w:t>
      </w:r>
      <w:r>
        <w:rPr>
          <w:rFonts w:hint="eastAsia" w:ascii="仿宋_GB2312" w:hAnsi="仿宋" w:eastAsia="仿宋_GB2312"/>
          <w:b w:val="0"/>
          <w:bCs w:val="0"/>
          <w:color w:val="auto"/>
          <w:sz w:val="32"/>
          <w:szCs w:val="32"/>
          <w:highlight w:val="none"/>
          <w:u w:val="none"/>
        </w:rPr>
        <w:t>团队、充足时间，精心组织</w:t>
      </w:r>
      <w:r>
        <w:rPr>
          <w:rFonts w:hint="eastAsia" w:ascii="仿宋_GB2312" w:hAnsi="仿宋" w:eastAsia="仿宋_GB2312"/>
          <w:color w:val="auto"/>
          <w:sz w:val="32"/>
          <w:szCs w:val="32"/>
          <w:highlight w:val="none"/>
          <w:u w:val="none"/>
        </w:rPr>
        <w:t>负责</w:t>
      </w:r>
      <w:r>
        <w:rPr>
          <w:rFonts w:hint="eastAsia" w:ascii="仿宋_GB2312" w:hAnsi="仿宋" w:eastAsia="仿宋_GB2312"/>
          <w:color w:val="auto"/>
          <w:sz w:val="32"/>
          <w:szCs w:val="32"/>
          <w:highlight w:val="none"/>
          <w:u w:val="none"/>
          <w:lang w:eastAsia="zh-CN"/>
        </w:rPr>
        <w:t>提供</w:t>
      </w:r>
      <w:r>
        <w:rPr>
          <w:rFonts w:hint="eastAsia" w:ascii="仿宋_GB2312" w:hAnsi="仿宋_GB2312" w:eastAsia="仿宋_GB2312" w:cs="仿宋_GB2312"/>
          <w:b w:val="0"/>
          <w:bCs w:val="0"/>
          <w:color w:val="auto"/>
          <w:kern w:val="0"/>
          <w:sz w:val="32"/>
          <w:szCs w:val="32"/>
          <w:highlight w:val="none"/>
          <w:u w:val="none"/>
        </w:rPr>
        <w:t>福田区科技创新创业企业</w:t>
      </w:r>
      <w:r>
        <w:rPr>
          <w:rFonts w:hint="eastAsia" w:ascii="仿宋_GB2312" w:hAnsi="仿宋_GB2312" w:eastAsia="仿宋_GB2312" w:cs="仿宋_GB2312"/>
          <w:b w:val="0"/>
          <w:bCs w:val="0"/>
          <w:color w:val="auto"/>
          <w:kern w:val="0"/>
          <w:sz w:val="32"/>
          <w:szCs w:val="32"/>
          <w:highlight w:val="none"/>
          <w:u w:val="none"/>
          <w:lang w:eastAsia="zh-CN"/>
        </w:rPr>
        <w:t>赋能加速</w:t>
      </w:r>
      <w:r>
        <w:rPr>
          <w:rFonts w:hint="eastAsia" w:ascii="仿宋_GB2312" w:hAnsi="仿宋_GB2312" w:eastAsia="仿宋_GB2312" w:cs="仿宋_GB2312"/>
          <w:b w:val="0"/>
          <w:bCs w:val="0"/>
          <w:color w:val="auto"/>
          <w:kern w:val="2"/>
          <w:sz w:val="32"/>
          <w:szCs w:val="32"/>
          <w:highlight w:val="none"/>
          <w:u w:val="none"/>
          <w:lang w:val="en-US" w:eastAsia="zh-CN" w:bidi="ar-SA"/>
        </w:rPr>
        <w:t>相关服务</w:t>
      </w:r>
      <w:r>
        <w:rPr>
          <w:rFonts w:hint="eastAsia" w:ascii="仿宋_GB2312" w:hAnsi="仿宋_GB2312" w:eastAsia="仿宋_GB2312" w:cs="仿宋_GB2312"/>
          <w:color w:val="auto"/>
          <w:kern w:val="2"/>
          <w:sz w:val="32"/>
          <w:szCs w:val="32"/>
          <w:highlight w:val="none"/>
          <w:u w:val="none"/>
          <w:lang w:val="en-US" w:eastAsia="zh-CN" w:bidi="ar-SA"/>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三、商务需求</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themeColor="text1"/>
          <w:sz w:val="32"/>
          <w:szCs w:val="32"/>
          <w:highlight w:val="none"/>
          <w:u w:val="none"/>
          <w14:textFill>
            <w14:solidFill>
              <w14:schemeClr w14:val="tx1"/>
            </w14:solidFill>
          </w14:textFill>
        </w:rPr>
      </w:pPr>
      <w:r>
        <w:rPr>
          <w:rFonts w:hint="eastAsia" w:ascii="仿宋_GB2312" w:hAnsi="仿宋" w:eastAsia="仿宋_GB2312"/>
          <w:color w:val="auto"/>
          <w:sz w:val="32"/>
          <w:szCs w:val="32"/>
          <w:highlight w:val="none"/>
          <w:u w:val="none"/>
        </w:rPr>
        <w:t>1、服务期：</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预计</w:t>
      </w:r>
      <w:r>
        <w:rPr>
          <w:rFonts w:hint="eastAsia" w:ascii="仿宋_GB2312" w:hAnsi="仿宋" w:eastAsia="仿宋_GB2312"/>
          <w:color w:val="000000" w:themeColor="text1"/>
          <w:sz w:val="32"/>
          <w:szCs w:val="32"/>
          <w:highlight w:val="none"/>
          <w:u w:val="none"/>
          <w14:textFill>
            <w14:solidFill>
              <w14:schemeClr w14:val="tx1"/>
            </w14:solidFill>
          </w14:textFill>
        </w:rPr>
        <w:t>202</w:t>
      </w:r>
      <w:r>
        <w:rPr>
          <w:rFonts w:hint="eastAsia" w:ascii="仿宋_GB2312" w:hAnsi="仿宋" w:eastAsia="仿宋_GB2312"/>
          <w:color w:val="000000" w:themeColor="text1"/>
          <w:sz w:val="32"/>
          <w:szCs w:val="32"/>
          <w:highlight w:val="none"/>
          <w:u w:val="none"/>
          <w:lang w:val="en-US" w:eastAsia="zh-CN"/>
          <w14:textFill>
            <w14:solidFill>
              <w14:schemeClr w14:val="tx1"/>
            </w14:solidFill>
          </w14:textFill>
        </w:rPr>
        <w:t>3</w:t>
      </w:r>
      <w:r>
        <w:rPr>
          <w:rFonts w:hint="eastAsia" w:ascii="仿宋_GB2312" w:hAnsi="仿宋" w:eastAsia="仿宋_GB2312"/>
          <w:color w:val="000000" w:themeColor="text1"/>
          <w:sz w:val="32"/>
          <w:szCs w:val="32"/>
          <w:highlight w:val="none"/>
          <w:u w:val="none"/>
          <w14:textFill>
            <w14:solidFill>
              <w14:schemeClr w14:val="tx1"/>
            </w14:solidFill>
          </w14:textFill>
        </w:rPr>
        <w:t>年</w:t>
      </w:r>
      <w:r>
        <w:rPr>
          <w:rFonts w:hint="eastAsia" w:ascii="仿宋_GB2312" w:hAnsi="仿宋" w:eastAsia="仿宋_GB2312"/>
          <w:color w:val="000000" w:themeColor="text1"/>
          <w:sz w:val="32"/>
          <w:szCs w:val="32"/>
          <w:highlight w:val="none"/>
          <w:u w:val="none"/>
          <w:lang w:val="en-US" w:eastAsia="zh-CN"/>
          <w14:textFill>
            <w14:solidFill>
              <w14:schemeClr w14:val="tx1"/>
            </w14:solidFill>
          </w14:textFill>
        </w:rPr>
        <w:t>7</w:t>
      </w:r>
      <w:r>
        <w:rPr>
          <w:rFonts w:hint="eastAsia" w:ascii="仿宋_GB2312" w:hAnsi="仿宋" w:eastAsia="仿宋_GB2312"/>
          <w:color w:val="000000" w:themeColor="text1"/>
          <w:sz w:val="32"/>
          <w:szCs w:val="32"/>
          <w:highlight w:val="none"/>
          <w:u w:val="none"/>
          <w14:textFill>
            <w14:solidFill>
              <w14:schemeClr w14:val="tx1"/>
            </w14:solidFill>
          </w14:textFill>
        </w:rPr>
        <w:t>月-</w:t>
      </w:r>
      <w:r>
        <w:rPr>
          <w:rFonts w:hint="eastAsia" w:ascii="仿宋_GB2312" w:hAnsi="仿宋" w:eastAsia="仿宋_GB2312"/>
          <w:i w:val="0"/>
          <w:iCs w:val="0"/>
          <w:color w:val="000000" w:themeColor="text1"/>
          <w:sz w:val="32"/>
          <w:szCs w:val="32"/>
          <w:highlight w:val="none"/>
          <w:u w:val="none"/>
          <w14:textFill>
            <w14:solidFill>
              <w14:schemeClr w14:val="tx1"/>
            </w14:solidFill>
          </w14:textFill>
        </w:rPr>
        <w:t>202</w:t>
      </w:r>
      <w:r>
        <w:rPr>
          <w:rFonts w:hint="eastAsia" w:ascii="仿宋_GB2312" w:hAnsi="仿宋" w:eastAsia="仿宋_GB2312"/>
          <w:i w:val="0"/>
          <w:iCs w:val="0"/>
          <w:color w:val="000000" w:themeColor="text1"/>
          <w:sz w:val="32"/>
          <w:szCs w:val="32"/>
          <w:highlight w:val="none"/>
          <w:u w:val="none"/>
          <w:lang w:val="en-US" w:eastAsia="zh-CN"/>
          <w14:textFill>
            <w14:solidFill>
              <w14:schemeClr w14:val="tx1"/>
            </w14:solidFill>
          </w14:textFill>
        </w:rPr>
        <w:t>3</w:t>
      </w:r>
      <w:r>
        <w:rPr>
          <w:rFonts w:hint="eastAsia" w:ascii="仿宋_GB2312" w:hAnsi="仿宋" w:eastAsia="仿宋_GB2312"/>
          <w:i w:val="0"/>
          <w:iCs w:val="0"/>
          <w:color w:val="000000" w:themeColor="text1"/>
          <w:sz w:val="32"/>
          <w:szCs w:val="32"/>
          <w:highlight w:val="none"/>
          <w:u w:val="none"/>
          <w14:textFill>
            <w14:solidFill>
              <w14:schemeClr w14:val="tx1"/>
            </w14:solidFill>
          </w14:textFill>
        </w:rPr>
        <w:t>年</w:t>
      </w:r>
      <w:r>
        <w:rPr>
          <w:rFonts w:hint="eastAsia" w:ascii="仿宋_GB2312" w:hAnsi="仿宋" w:eastAsia="仿宋_GB2312"/>
          <w:i w:val="0"/>
          <w:iCs w:val="0"/>
          <w:color w:val="000000" w:themeColor="text1"/>
          <w:sz w:val="32"/>
          <w:szCs w:val="32"/>
          <w:highlight w:val="none"/>
          <w:u w:val="none"/>
          <w:lang w:val="en-US" w:eastAsia="zh-CN"/>
          <w14:textFill>
            <w14:solidFill>
              <w14:schemeClr w14:val="tx1"/>
            </w14:solidFill>
          </w14:textFill>
        </w:rPr>
        <w:t>9</w:t>
      </w:r>
      <w:r>
        <w:rPr>
          <w:rFonts w:hint="eastAsia" w:ascii="仿宋_GB2312" w:hAnsi="仿宋" w:eastAsia="仿宋_GB2312"/>
          <w:i w:val="0"/>
          <w:iCs w:val="0"/>
          <w:color w:val="000000" w:themeColor="text1"/>
          <w:sz w:val="32"/>
          <w:szCs w:val="32"/>
          <w:highlight w:val="none"/>
          <w:u w:val="none"/>
          <w14:textFill>
            <w14:solidFill>
              <w14:schemeClr w14:val="tx1"/>
            </w14:solidFill>
          </w14:textFill>
        </w:rPr>
        <w:t>月</w:t>
      </w:r>
      <w:r>
        <w:rPr>
          <w:rFonts w:hint="eastAsia" w:ascii="仿宋_GB2312" w:hAnsi="仿宋" w:eastAsia="仿宋_GB2312"/>
          <w:i w:val="0"/>
          <w:iCs w:val="0"/>
          <w:color w:val="000000" w:themeColor="text1"/>
          <w:sz w:val="32"/>
          <w:szCs w:val="32"/>
          <w:highlight w:val="none"/>
          <w:u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u w:val="none"/>
          <w14:textFill>
            <w14:solidFill>
              <w14:schemeClr w14:val="tx1"/>
            </w14:solidFill>
          </w14:textFill>
        </w:rPr>
        <w:t>响应人需于20</w:t>
      </w:r>
      <w:r>
        <w:rPr>
          <w:rFonts w:hint="eastAsia" w:ascii="仿宋_GB2312" w:hAnsi="仿宋" w:eastAsia="仿宋_GB2312"/>
          <w:color w:val="000000" w:themeColor="text1"/>
          <w:sz w:val="32"/>
          <w:szCs w:val="32"/>
          <w:highlight w:val="none"/>
          <w:u w:val="none"/>
          <w:lang w:val="en-US" w:eastAsia="zh-CN"/>
          <w14:textFill>
            <w14:solidFill>
              <w14:schemeClr w14:val="tx1"/>
            </w14:solidFill>
          </w14:textFill>
        </w:rPr>
        <w:t>23</w:t>
      </w:r>
      <w:r>
        <w:rPr>
          <w:rFonts w:hint="eastAsia" w:ascii="仿宋_GB2312" w:hAnsi="仿宋" w:eastAsia="仿宋_GB2312"/>
          <w:color w:val="000000" w:themeColor="text1"/>
          <w:sz w:val="32"/>
          <w:szCs w:val="32"/>
          <w:highlight w:val="none"/>
          <w:u w:val="none"/>
          <w14:textFill>
            <w14:solidFill>
              <w14:schemeClr w14:val="tx1"/>
            </w14:solidFill>
          </w14:textFill>
        </w:rPr>
        <w:t>年</w:t>
      </w:r>
      <w:r>
        <w:rPr>
          <w:rFonts w:hint="eastAsia" w:ascii="仿宋_GB2312" w:hAnsi="仿宋" w:eastAsia="仿宋_GB2312"/>
          <w:color w:val="000000" w:themeColor="text1"/>
          <w:sz w:val="32"/>
          <w:szCs w:val="32"/>
          <w:highlight w:val="none"/>
          <w:u w:val="none"/>
          <w:lang w:val="en-US" w:eastAsia="zh-CN"/>
          <w14:textFill>
            <w14:solidFill>
              <w14:schemeClr w14:val="tx1"/>
            </w14:solidFill>
          </w14:textFill>
        </w:rPr>
        <w:t>9</w:t>
      </w:r>
      <w:r>
        <w:rPr>
          <w:rFonts w:hint="eastAsia" w:ascii="仿宋_GB2312" w:hAnsi="仿宋" w:eastAsia="仿宋_GB2312"/>
          <w:color w:val="000000" w:themeColor="text1"/>
          <w:sz w:val="32"/>
          <w:szCs w:val="32"/>
          <w:highlight w:val="none"/>
          <w:u w:val="none"/>
          <w14:textFill>
            <w14:solidFill>
              <w14:schemeClr w14:val="tx1"/>
            </w14:solidFill>
          </w14:textFill>
        </w:rPr>
        <w:t>月</w:t>
      </w:r>
      <w:r>
        <w:rPr>
          <w:rFonts w:hint="eastAsia" w:ascii="仿宋_GB2312" w:hAnsi="仿宋" w:eastAsia="仿宋_GB2312"/>
          <w:color w:val="000000" w:themeColor="text1"/>
          <w:sz w:val="32"/>
          <w:szCs w:val="32"/>
          <w:highlight w:val="none"/>
          <w:u w:val="none"/>
          <w:lang w:val="en-US" w:eastAsia="zh-CN"/>
          <w14:textFill>
            <w14:solidFill>
              <w14:schemeClr w14:val="tx1"/>
            </w14:solidFill>
          </w14:textFill>
        </w:rPr>
        <w:t>30</w:t>
      </w:r>
      <w:r>
        <w:rPr>
          <w:rFonts w:hint="eastAsia" w:ascii="仿宋_GB2312" w:hAnsi="仿宋" w:eastAsia="仿宋_GB2312"/>
          <w:color w:val="000000" w:themeColor="text1"/>
          <w:sz w:val="32"/>
          <w:szCs w:val="32"/>
          <w:highlight w:val="none"/>
          <w:u w:val="none"/>
          <w14:textFill>
            <w14:solidFill>
              <w14:schemeClr w14:val="tx1"/>
            </w14:solidFill>
          </w14:textFill>
        </w:rPr>
        <w:t>日前</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完成所有服务内容</w:t>
      </w:r>
      <w:r>
        <w:rPr>
          <w:rFonts w:hint="eastAsia" w:ascii="仿宋_GB2312" w:hAnsi="仿宋" w:eastAsia="仿宋_GB2312"/>
          <w:color w:val="000000" w:themeColor="text1"/>
          <w:sz w:val="32"/>
          <w:szCs w:val="32"/>
          <w:highlight w:val="none"/>
          <w:u w:val="none"/>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2、服务地点：福田区。</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3、报价要求：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（1）本项目服务费采用包干制，总费用不得超过</w:t>
      </w:r>
      <w:r>
        <w:rPr>
          <w:rFonts w:hint="eastAsia" w:ascii="仿宋_GB2312" w:hAnsi="仿宋" w:eastAsia="仿宋_GB2312"/>
          <w:color w:val="auto"/>
          <w:sz w:val="32"/>
          <w:szCs w:val="32"/>
          <w:highlight w:val="none"/>
          <w:u w:val="none"/>
          <w:lang w:val="en-US" w:eastAsia="zh-CN"/>
        </w:rPr>
        <w:t>16</w:t>
      </w:r>
      <w:r>
        <w:rPr>
          <w:rFonts w:hint="eastAsia" w:ascii="仿宋_GB2312" w:hAnsi="仿宋" w:eastAsia="仿宋_GB2312"/>
          <w:color w:val="auto"/>
          <w:sz w:val="32"/>
          <w:szCs w:val="32"/>
          <w:highlight w:val="none"/>
          <w:u w:val="none"/>
        </w:rPr>
        <w:t>万元,应包括服务成本、法定税费和企业的利润。由企业根据采购文件所提供的资料自行测算报价；一经中选，报价总价作为中选单位与采购人签定的合同金额，合同期限内不做调整；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（2）响应人应根据本企业的成本自行决定报价，但不得以低于其企业成本的报价；</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（3）响应人的报价不得超过财政预算限额；</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（4）响应人的报价，应是本项目采购范围和采购文件及合同条款上所列的各项内容中所述的全部，不得以任何理由予以重复，并以响应人最终提出的总价为依据；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（6）响应人应先到项目地点调研以充分了解项目相关情况，任何因忽视或误解项目情况而导致的索赔或服务期限延长申请将不获批准；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（7）响应人不得期望通过索赔等方式获取补偿，否则，除可能遭到拒绝外，还可能将被作为不良行为记录在案，并可能影响其以后参加政府采购。各响应人在报价时，应充分考虑报价的风险。</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（8）递交响应文件截止</w:t>
      </w:r>
      <w:bookmarkStart w:id="0" w:name="_GoBack"/>
      <w:bookmarkEnd w:id="0"/>
      <w:r>
        <w:rPr>
          <w:rFonts w:hint="eastAsia" w:ascii="仿宋_GB2312" w:hAnsi="仿宋" w:eastAsia="仿宋_GB2312"/>
          <w:color w:val="auto"/>
          <w:sz w:val="32"/>
          <w:szCs w:val="32"/>
          <w:highlight w:val="none"/>
          <w:u w:val="none"/>
        </w:rPr>
        <w:t>时间：</w:t>
      </w:r>
      <w:r>
        <w:rPr>
          <w:rFonts w:hint="eastAsia" w:ascii="仿宋_GB2312" w:hAnsi="仿宋" w:eastAsia="仿宋_GB2312"/>
          <w:color w:val="auto"/>
          <w:sz w:val="32"/>
          <w:szCs w:val="32"/>
          <w:highlight w:val="none"/>
          <w:u w:val="none"/>
          <w:lang w:eastAsia="zh-CN"/>
        </w:rPr>
        <w:t>根据征集通知要求确定；</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olor w:val="auto"/>
          <w:sz w:val="32"/>
          <w:szCs w:val="32"/>
          <w:highlight w:val="none"/>
          <w:u w:val="none"/>
        </w:rPr>
        <w:t>（9）响</w:t>
      </w:r>
      <w:r>
        <w:rPr>
          <w:rFonts w:hint="eastAsia" w:ascii="仿宋_GB2312" w:hAnsi="仿宋" w:eastAsia="仿宋_GB2312" w:cs="Times New Roman"/>
          <w:color w:val="auto"/>
          <w:kern w:val="2"/>
          <w:sz w:val="32"/>
          <w:szCs w:val="32"/>
          <w:highlight w:val="none"/>
          <w:u w:val="none"/>
          <w:lang w:val="en-US" w:eastAsia="zh-CN" w:bidi="ar-SA"/>
        </w:rPr>
        <w:t>应人需</w:t>
      </w:r>
      <w:r>
        <w:rPr>
          <w:rFonts w:hint="eastAsia" w:ascii="仿宋_GB2312" w:hAnsi="仿宋_GB2312" w:eastAsia="仿宋_GB2312" w:cs="仿宋_GB2312"/>
          <w:sz w:val="32"/>
          <w:szCs w:val="32"/>
          <w:lang w:eastAsia="zh-CN"/>
        </w:rPr>
        <w:t>有类似项目服务工作承担经验</w:t>
      </w:r>
      <w:r>
        <w:rPr>
          <w:rFonts w:hint="eastAsia" w:ascii="仿宋_GB2312" w:hAnsi="仿宋" w:eastAsia="仿宋_GB2312" w:cs="Times New Roman"/>
          <w:color w:val="auto"/>
          <w:kern w:val="2"/>
          <w:sz w:val="32"/>
          <w:szCs w:val="32"/>
          <w:highlight w:val="none"/>
          <w:u w:val="none"/>
          <w:lang w:val="en-US" w:eastAsia="zh-CN" w:bidi="ar-SA"/>
        </w:rPr>
        <w:t>，具有良好的信用记录，不得有违法失信等负面记录。</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FF"/>
          <w:sz w:val="32"/>
          <w:szCs w:val="32"/>
          <w:highlight w:val="none"/>
          <w:u w:val="none"/>
        </w:rPr>
      </w:pPr>
      <w:r>
        <w:rPr>
          <w:rFonts w:hint="eastAsia" w:ascii="仿宋_GB2312" w:hAnsi="仿宋" w:eastAsia="仿宋_GB2312"/>
          <w:color w:val="auto"/>
          <w:sz w:val="32"/>
          <w:szCs w:val="32"/>
          <w:highlight w:val="none"/>
          <w:u w:val="none"/>
        </w:rPr>
        <w:t>4、</w:t>
      </w:r>
      <w:r>
        <w:rPr>
          <w:rFonts w:hint="eastAsia" w:ascii="仿宋_GB2312" w:hAnsi="仿宋" w:eastAsia="仿宋_GB2312"/>
          <w:color w:val="000000" w:themeColor="text1"/>
          <w:sz w:val="32"/>
          <w:szCs w:val="32"/>
          <w:highlight w:val="none"/>
          <w:u w:val="none"/>
          <w14:textFill>
            <w14:solidFill>
              <w14:schemeClr w14:val="tx1"/>
            </w14:solidFill>
          </w14:textFill>
        </w:rPr>
        <w:t>付款方式</w:t>
      </w:r>
      <w:r>
        <w:rPr>
          <w:rFonts w:hint="eastAsia" w:ascii="仿宋_GB2312" w:hAnsi="仿宋" w:eastAsia="仿宋_GB2312"/>
          <w:color w:val="0000FF"/>
          <w:sz w:val="32"/>
          <w:szCs w:val="32"/>
          <w:highlight w:val="none"/>
          <w:u w:val="none"/>
        </w:rPr>
        <w:t>：</w:t>
      </w:r>
      <w:r>
        <w:rPr>
          <w:rFonts w:hint="eastAsia" w:ascii="仿宋_GB2312" w:hAnsi="仿宋" w:eastAsia="仿宋_GB2312"/>
          <w:color w:val="auto"/>
          <w:sz w:val="32"/>
          <w:szCs w:val="32"/>
          <w:highlight w:val="none"/>
          <w:u w:val="none"/>
        </w:rPr>
        <w:t>由双方在合同中约定。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5、履约担保金：由双方在合同中约定。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val="en-US" w:eastAsia="zh-CN"/>
        </w:rPr>
      </w:pPr>
      <w:r>
        <w:rPr>
          <w:rFonts w:hint="eastAsia" w:ascii="仿宋_GB2312" w:hAnsi="仿宋" w:eastAsia="仿宋_GB2312"/>
          <w:color w:val="auto"/>
          <w:sz w:val="32"/>
          <w:szCs w:val="32"/>
          <w:highlight w:val="none"/>
          <w:u w:val="none"/>
        </w:rPr>
        <w:t>6、违约责任：由双方在合同中约定。</w:t>
      </w:r>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CCCF4"/>
    <w:multiLevelType w:val="singleLevel"/>
    <w:tmpl w:val="9E6CCCF4"/>
    <w:lvl w:ilvl="0" w:tentative="0">
      <w:start w:val="2"/>
      <w:numFmt w:val="chineseCounting"/>
      <w:suff w:val="nothing"/>
      <w:lvlText w:val="%1、"/>
      <w:lvlJc w:val="left"/>
      <w:rPr>
        <w:rFonts w:hint="eastAsia"/>
      </w:rPr>
    </w:lvl>
  </w:abstractNum>
  <w:abstractNum w:abstractNumId="1">
    <w:nsid w:val="D74E3607"/>
    <w:multiLevelType w:val="singleLevel"/>
    <w:tmpl w:val="D74E360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FFE345"/>
    <w:rsid w:val="4A1947CF"/>
    <w:rsid w:val="797B6158"/>
    <w:rsid w:val="DEED0408"/>
    <w:rsid w:val="DF7C60EB"/>
    <w:rsid w:val="EBF7F3C5"/>
    <w:rsid w:val="F5D5506D"/>
    <w:rsid w:val="FEF9A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彭章平</cp:lastModifiedBy>
  <dcterms:modified xsi:type="dcterms:W3CDTF">2023-07-03T17:51:21Z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