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2023年福田区</w:t>
      </w:r>
      <w:bookmarkStart w:id="0" w:name="_GoBack"/>
      <w:bookmarkEnd w:id="0"/>
      <w:r>
        <w:rPr>
          <w:rFonts w:hint="eastAsia" w:ascii="方正小标宋简体" w:hAnsi="方正小标宋简体" w:eastAsia="方正小标宋简体" w:cs="方正小标宋简体"/>
          <w:sz w:val="36"/>
          <w:szCs w:val="36"/>
          <w:lang w:val="en-US" w:eastAsia="zh-CN"/>
        </w:rPr>
        <w:t>全国科普日深圳科普月活动</w:t>
      </w:r>
      <w:r>
        <w:rPr>
          <w:rFonts w:hint="eastAsia" w:ascii="方正小标宋简体" w:hAnsi="方正小标宋简体" w:eastAsia="方正小标宋简体" w:cs="方正小标宋简体"/>
          <w:sz w:val="36"/>
          <w:szCs w:val="36"/>
        </w:rPr>
        <w:t>采购需求</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黑体" w:hAnsi="黑体" w:eastAsia="黑体" w:cs="黑体"/>
          <w:bCs/>
          <w:sz w:val="28"/>
          <w:szCs w:val="28"/>
        </w:rPr>
      </w:pP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黑体" w:hAnsi="黑体" w:eastAsia="黑体" w:cs="黑体"/>
          <w:bCs/>
          <w:sz w:val="28"/>
          <w:szCs w:val="28"/>
        </w:rPr>
      </w:pPr>
      <w:r>
        <w:rPr>
          <w:rFonts w:hint="eastAsia" w:ascii="黑体" w:hAnsi="黑体" w:eastAsia="黑体" w:cs="黑体"/>
          <w:bCs/>
          <w:sz w:val="28"/>
          <w:szCs w:val="28"/>
        </w:rPr>
        <w:t>一、采购项目概况</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_GB2312" w:hAnsi="Times New Roman" w:eastAsia="仿宋_GB2312" w:cs="Times New Roman"/>
          <w:bCs/>
          <w:sz w:val="28"/>
          <w:szCs w:val="28"/>
          <w:lang w:val="en-US" w:eastAsia="zh-CN"/>
        </w:rPr>
      </w:pPr>
      <w:r>
        <w:rPr>
          <w:rFonts w:hint="eastAsia" w:ascii="仿宋_GB2312" w:hAnsi="Times New Roman" w:eastAsia="仿宋_GB2312" w:cs="Times New Roman"/>
          <w:bCs/>
          <w:sz w:val="28"/>
          <w:szCs w:val="28"/>
          <w:lang w:val="en-US" w:eastAsia="zh-CN"/>
        </w:rPr>
        <w:t>2023年全国科普日暨深圳科普月期间，福田区科技创新局（科协）拟开展以“与AI携手同行”为主题的科普活动，旨在向辖区居民普及人工智能相关知识和技能，弘扬科学精神，冲浪科技前沿，提升智能思想和思维、增强智能创新意识和能力。基于以上需要，现拟委托第三方机构承接。</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黑体" w:hAnsi="黑体" w:eastAsia="黑体" w:cs="黑体"/>
          <w:bCs/>
          <w:sz w:val="28"/>
          <w:szCs w:val="28"/>
        </w:rPr>
      </w:pPr>
      <w:r>
        <w:rPr>
          <w:rFonts w:hint="eastAsia" w:ascii="黑体" w:hAnsi="黑体" w:eastAsia="黑体" w:cs="黑体"/>
          <w:bCs/>
          <w:sz w:val="28"/>
          <w:szCs w:val="28"/>
        </w:rPr>
        <w:t>二、项目管理和服务要求</w:t>
      </w:r>
    </w:p>
    <w:p>
      <w:pPr>
        <w:pStyle w:val="3"/>
        <w:keepNext w:val="0"/>
        <w:keepLines w:val="0"/>
        <w:pageBreakBefore w:val="0"/>
        <w:widowControl/>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Times New Roman" w:eastAsia="仿宋_GB2312" w:cs="Times New Roman"/>
          <w:b w:val="0"/>
          <w:bCs/>
          <w:kern w:val="2"/>
          <w:sz w:val="28"/>
          <w:szCs w:val="28"/>
          <w:lang w:val="en-US" w:eastAsia="zh-CN" w:bidi="ar-SA"/>
        </w:rPr>
      </w:pPr>
      <w:r>
        <w:rPr>
          <w:rFonts w:hint="eastAsia" w:ascii="仿宋_GB2312" w:hAnsi="Times New Roman" w:eastAsia="仿宋_GB2312" w:cs="Times New Roman"/>
          <w:b w:val="0"/>
          <w:bCs/>
          <w:kern w:val="2"/>
          <w:sz w:val="28"/>
          <w:szCs w:val="28"/>
          <w:lang w:val="en-US" w:eastAsia="zh-CN" w:bidi="ar-SA"/>
        </w:rPr>
        <w:t>1、响应人应是在中华人民共和国注册并合法经营的独立法人机构，注册成立不少于一年，并满足下列条件：</w:t>
      </w:r>
    </w:p>
    <w:p>
      <w:pPr>
        <w:pStyle w:val="3"/>
        <w:keepNext w:val="0"/>
        <w:keepLines w:val="0"/>
        <w:pageBreakBefore w:val="0"/>
        <w:widowControl/>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Times New Roman" w:eastAsia="仿宋_GB2312" w:cs="Times New Roman"/>
          <w:b w:val="0"/>
          <w:bCs/>
          <w:kern w:val="2"/>
          <w:sz w:val="28"/>
          <w:szCs w:val="28"/>
          <w:lang w:val="en-US" w:eastAsia="zh-CN" w:bidi="ar-SA"/>
        </w:rPr>
      </w:pPr>
      <w:r>
        <w:rPr>
          <w:rFonts w:hint="eastAsia" w:ascii="仿宋_GB2312" w:hAnsi="Times New Roman" w:eastAsia="仿宋_GB2312" w:cs="Times New Roman"/>
          <w:b w:val="0"/>
          <w:bCs/>
          <w:kern w:val="2"/>
          <w:sz w:val="28"/>
          <w:szCs w:val="28"/>
          <w:lang w:val="en-US" w:eastAsia="zh-CN" w:bidi="ar-SA"/>
        </w:rPr>
        <w:t>（1）拥护中华人民共和国宪法，遵守国家法律和社会公德；</w:t>
      </w:r>
    </w:p>
    <w:p>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textAlignment w:val="auto"/>
        <w:rPr>
          <w:rFonts w:hint="default" w:ascii="仿宋_GB2312" w:hAnsi="Times New Roman" w:eastAsia="仿宋_GB2312" w:cs="Times New Roman"/>
          <w:b w:val="0"/>
          <w:bCs/>
          <w:kern w:val="2"/>
          <w:sz w:val="28"/>
          <w:szCs w:val="28"/>
          <w:lang w:val="en-US" w:eastAsia="zh-CN" w:bidi="ar-SA"/>
        </w:rPr>
      </w:pPr>
      <w:r>
        <w:rPr>
          <w:rFonts w:hint="eastAsia" w:ascii="仿宋_GB2312" w:hAnsi="Times New Roman" w:eastAsia="仿宋_GB2312" w:cs="Times New Roman"/>
          <w:b w:val="0"/>
          <w:bCs/>
          <w:kern w:val="2"/>
          <w:sz w:val="28"/>
          <w:szCs w:val="28"/>
          <w:lang w:val="en-US" w:eastAsia="zh-CN" w:bidi="ar-SA"/>
        </w:rPr>
        <w:t>（2）</w:t>
      </w:r>
      <w:r>
        <w:rPr>
          <w:rFonts w:hint="default" w:ascii="仿宋_GB2312" w:hAnsi="Times New Roman" w:eastAsia="仿宋_GB2312" w:cs="Times New Roman"/>
          <w:b w:val="0"/>
          <w:bCs/>
          <w:kern w:val="2"/>
          <w:sz w:val="28"/>
          <w:szCs w:val="28"/>
          <w:lang w:val="en-US" w:eastAsia="zh-CN" w:bidi="ar-SA"/>
        </w:rPr>
        <w:t>具备</w:t>
      </w:r>
      <w:r>
        <w:rPr>
          <w:rFonts w:hint="eastAsia" w:ascii="仿宋_GB2312" w:hAnsi="Times New Roman" w:eastAsia="仿宋_GB2312" w:cs="Times New Roman"/>
          <w:b w:val="0"/>
          <w:bCs/>
          <w:kern w:val="2"/>
          <w:sz w:val="28"/>
          <w:szCs w:val="28"/>
          <w:lang w:val="en-US" w:eastAsia="zh-CN" w:bidi="ar-SA"/>
        </w:rPr>
        <w:t>承办</w:t>
      </w:r>
      <w:r>
        <w:rPr>
          <w:rFonts w:hint="default" w:ascii="仿宋_GB2312" w:hAnsi="Times New Roman" w:eastAsia="仿宋_GB2312" w:cs="Times New Roman"/>
          <w:b w:val="0"/>
          <w:bCs/>
          <w:kern w:val="2"/>
          <w:sz w:val="28"/>
          <w:szCs w:val="28"/>
          <w:lang w:val="en-US" w:eastAsia="zh-CN" w:bidi="ar-SA"/>
        </w:rPr>
        <w:t>类似项目</w:t>
      </w:r>
      <w:r>
        <w:rPr>
          <w:rFonts w:hint="eastAsia" w:ascii="仿宋_GB2312" w:hAnsi="Times New Roman" w:eastAsia="仿宋_GB2312" w:cs="Times New Roman"/>
          <w:b w:val="0"/>
          <w:bCs/>
          <w:kern w:val="2"/>
          <w:sz w:val="28"/>
          <w:szCs w:val="28"/>
          <w:lang w:val="en-US" w:eastAsia="zh-CN" w:bidi="ar-SA"/>
        </w:rPr>
        <w:t>的</w:t>
      </w:r>
      <w:r>
        <w:rPr>
          <w:rFonts w:hint="default" w:ascii="仿宋_GB2312" w:hAnsi="Times New Roman" w:eastAsia="仿宋_GB2312" w:cs="Times New Roman"/>
          <w:b w:val="0"/>
          <w:bCs/>
          <w:kern w:val="2"/>
          <w:sz w:val="28"/>
          <w:szCs w:val="28"/>
          <w:lang w:val="en-US" w:eastAsia="zh-CN" w:bidi="ar-SA"/>
        </w:rPr>
        <w:t>服务经验</w:t>
      </w:r>
      <w:r>
        <w:rPr>
          <w:rFonts w:hint="eastAsia" w:ascii="仿宋_GB2312" w:hAnsi="Times New Roman" w:eastAsia="仿宋_GB2312" w:cs="Times New Roman"/>
          <w:b w:val="0"/>
          <w:bCs/>
          <w:kern w:val="2"/>
          <w:sz w:val="28"/>
          <w:szCs w:val="28"/>
          <w:lang w:val="en-US" w:eastAsia="zh-CN" w:bidi="ar-SA"/>
        </w:rPr>
        <w:t>。</w:t>
      </w:r>
    </w:p>
    <w:p>
      <w:pPr>
        <w:pStyle w:val="3"/>
        <w:keepNext w:val="0"/>
        <w:keepLines w:val="0"/>
        <w:pageBreakBefore w:val="0"/>
        <w:widowControl/>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Times New Roman" w:eastAsia="仿宋_GB2312" w:cs="Times New Roman"/>
          <w:b w:val="0"/>
          <w:bCs/>
          <w:kern w:val="2"/>
          <w:sz w:val="28"/>
          <w:szCs w:val="28"/>
          <w:lang w:val="en-US" w:eastAsia="zh-CN" w:bidi="ar-SA"/>
        </w:rPr>
      </w:pPr>
      <w:r>
        <w:rPr>
          <w:rFonts w:hint="eastAsia" w:ascii="仿宋_GB2312" w:hAnsi="Times New Roman" w:eastAsia="仿宋_GB2312" w:cs="Times New Roman"/>
          <w:b w:val="0"/>
          <w:bCs/>
          <w:kern w:val="2"/>
          <w:sz w:val="28"/>
          <w:szCs w:val="28"/>
          <w:lang w:val="en-US" w:eastAsia="zh-CN" w:bidi="ar-SA"/>
        </w:rPr>
        <w:t>2、负责福田区“与AI携手同行”活动的策划、执行及宣发等相关工作，保障活动的互动性、新颖性、科学性和趣味性；</w:t>
      </w:r>
    </w:p>
    <w:p>
      <w:pPr>
        <w:pStyle w:val="3"/>
        <w:keepNext w:val="0"/>
        <w:keepLines w:val="0"/>
        <w:pageBreakBefore w:val="0"/>
        <w:widowControl/>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eastAsia="仿宋_GB2312" w:cs="Times New Roman"/>
          <w:b w:val="0"/>
          <w:bCs/>
          <w:kern w:val="2"/>
          <w:sz w:val="28"/>
          <w:szCs w:val="28"/>
          <w:lang w:val="en-US" w:eastAsia="zh-CN" w:bidi="ar-SA"/>
        </w:rPr>
      </w:pPr>
      <w:r>
        <w:rPr>
          <w:rFonts w:hint="eastAsia" w:ascii="仿宋_GB2312" w:hAnsi="Times New Roman" w:eastAsia="仿宋_GB2312" w:cs="Times New Roman"/>
          <w:b w:val="0"/>
          <w:bCs/>
          <w:kern w:val="2"/>
          <w:sz w:val="28"/>
          <w:szCs w:val="28"/>
          <w:lang w:val="en-US" w:eastAsia="zh-CN" w:bidi="ar-SA"/>
        </w:rPr>
        <w:t>3、</w:t>
      </w:r>
      <w:r>
        <w:rPr>
          <w:rFonts w:hint="eastAsia" w:ascii="仿宋_GB2312" w:eastAsia="仿宋_GB2312" w:cs="Times New Roman"/>
          <w:b w:val="0"/>
          <w:bCs/>
          <w:kern w:val="2"/>
          <w:sz w:val="28"/>
          <w:szCs w:val="28"/>
          <w:lang w:val="en-US" w:eastAsia="zh-CN" w:bidi="ar-SA"/>
        </w:rPr>
        <w:t>通过展板、宣传册等素材向参与者讲述人工智能的发展历程，同时深入浅出的介绍目前的发展现状和在实际生活中的基本运用。</w:t>
      </w:r>
    </w:p>
    <w:p>
      <w:pPr>
        <w:pStyle w:val="3"/>
        <w:keepNext w:val="0"/>
        <w:keepLines w:val="0"/>
        <w:pageBreakBefore w:val="0"/>
        <w:widowControl/>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Times New Roman" w:eastAsia="仿宋_GB2312" w:cs="Times New Roman"/>
          <w:b w:val="0"/>
          <w:bCs/>
          <w:kern w:val="2"/>
          <w:sz w:val="28"/>
          <w:szCs w:val="28"/>
          <w:lang w:val="en-US" w:eastAsia="zh-CN" w:bidi="ar-SA"/>
        </w:rPr>
      </w:pPr>
      <w:r>
        <w:rPr>
          <w:rFonts w:hint="eastAsia" w:ascii="仿宋_GB2312" w:hAnsi="Times New Roman" w:eastAsia="仿宋_GB2312" w:cs="Times New Roman"/>
          <w:b w:val="0"/>
          <w:bCs/>
          <w:kern w:val="2"/>
          <w:sz w:val="28"/>
          <w:szCs w:val="28"/>
          <w:lang w:val="en-US" w:eastAsia="zh-CN" w:bidi="ar-SA"/>
        </w:rPr>
        <w:t>4、策划、执行并宣发本次活动的启动仪式，旨在扩大本次活动影响力和吸引力。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Times New Roman" w:eastAsia="仿宋_GB2312" w:cs="Times New Roman"/>
          <w:b w:val="0"/>
          <w:bCs/>
          <w:kern w:val="2"/>
          <w:sz w:val="28"/>
          <w:szCs w:val="28"/>
          <w:lang w:val="en-US" w:eastAsia="zh-CN" w:bidi="ar-SA"/>
        </w:rPr>
      </w:pPr>
      <w:r>
        <w:rPr>
          <w:rFonts w:hint="eastAsia" w:ascii="仿宋_GB2312" w:eastAsia="仿宋_GB2312" w:cs="Times New Roman"/>
          <w:b w:val="0"/>
          <w:bCs/>
          <w:kern w:val="2"/>
          <w:sz w:val="28"/>
          <w:szCs w:val="28"/>
          <w:lang w:val="en-US" w:eastAsia="zh-CN" w:bidi="ar-SA"/>
        </w:rPr>
        <w:t>5、</w:t>
      </w:r>
      <w:r>
        <w:rPr>
          <w:rFonts w:hint="eastAsia" w:ascii="仿宋_GB2312" w:hAnsi="Times New Roman" w:eastAsia="仿宋_GB2312" w:cs="Times New Roman"/>
          <w:b w:val="0"/>
          <w:bCs/>
          <w:kern w:val="2"/>
          <w:sz w:val="28"/>
          <w:szCs w:val="28"/>
          <w:lang w:val="en-US" w:eastAsia="zh-CN" w:bidi="ar-SA"/>
        </w:rPr>
        <w:t>活动场地的对接与布置需符合主题元素，设计相关展板、教具作为活动辅助道具</w:t>
      </w:r>
      <w:r>
        <w:rPr>
          <w:rFonts w:hint="eastAsia" w:ascii="仿宋_GB2312" w:eastAsia="仿宋_GB2312" w:cs="Times New Roman"/>
          <w:b w:val="0"/>
          <w:bCs/>
          <w:kern w:val="2"/>
          <w:sz w:val="28"/>
          <w:szCs w:val="28"/>
          <w:lang w:val="en-US" w:eastAsia="zh-CN" w:bidi="ar-SA"/>
        </w:rPr>
        <w:t>。</w:t>
      </w:r>
    </w:p>
    <w:p>
      <w:pPr>
        <w:pStyle w:val="3"/>
        <w:keepNext w:val="0"/>
        <w:keepLines w:val="0"/>
        <w:pageBreakBefore w:val="0"/>
        <w:widowControl/>
        <w:kinsoku/>
        <w:wordWrap/>
        <w:overflowPunct/>
        <w:topLinePunct w:val="0"/>
        <w:autoSpaceDE/>
        <w:autoSpaceDN/>
        <w:bidi w:val="0"/>
        <w:spacing w:before="0" w:beforeAutospacing="0" w:after="0" w:afterAutospacing="0" w:line="560" w:lineRule="exact"/>
        <w:ind w:firstLine="560" w:firstLineChars="200"/>
        <w:jc w:val="both"/>
        <w:textAlignment w:val="auto"/>
        <w:rPr>
          <w:rFonts w:ascii="黑体" w:hAnsi="黑体" w:eastAsia="黑体" w:cs="黑体"/>
          <w:b w:val="0"/>
          <w:bCs w:val="0"/>
          <w:sz w:val="28"/>
          <w:szCs w:val="28"/>
        </w:rPr>
      </w:pPr>
      <w:r>
        <w:rPr>
          <w:rFonts w:hint="eastAsia" w:ascii="黑体" w:hAnsi="黑体" w:eastAsia="黑体" w:cs="黑体"/>
          <w:b w:val="0"/>
          <w:bCs w:val="0"/>
          <w:sz w:val="28"/>
          <w:szCs w:val="28"/>
        </w:rPr>
        <w:t>三、商务需求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Times New Roman" w:eastAsia="仿宋_GB2312" w:cs="Times New Roman"/>
          <w:b w:val="0"/>
          <w:bCs/>
          <w:kern w:val="2"/>
          <w:sz w:val="28"/>
          <w:szCs w:val="28"/>
          <w:lang w:val="en-US" w:eastAsia="zh-CN" w:bidi="ar-SA"/>
        </w:rPr>
      </w:pPr>
      <w:r>
        <w:rPr>
          <w:rFonts w:hint="eastAsia" w:ascii="仿宋_GB2312" w:hAnsi="Times New Roman" w:eastAsia="仿宋_GB2312" w:cs="Times New Roman"/>
          <w:b w:val="0"/>
          <w:bCs/>
          <w:kern w:val="2"/>
          <w:sz w:val="28"/>
          <w:szCs w:val="28"/>
          <w:lang w:val="en-US" w:eastAsia="zh-CN" w:bidi="ar-SA"/>
        </w:rPr>
        <w:t>1、服务期：预计2023年9月</w:t>
      </w:r>
      <w:r>
        <w:rPr>
          <w:rFonts w:hint="eastAsia" w:ascii="仿宋_GB2312" w:eastAsia="仿宋_GB2312" w:cs="Times New Roman"/>
          <w:b w:val="0"/>
          <w:bCs/>
          <w:kern w:val="2"/>
          <w:sz w:val="28"/>
          <w:szCs w:val="28"/>
          <w:lang w:val="en-US" w:eastAsia="zh-CN" w:bidi="ar-SA"/>
        </w:rPr>
        <w:t>，展示时间初定于9月15-17日（三天）</w:t>
      </w:r>
      <w:r>
        <w:rPr>
          <w:rFonts w:hint="eastAsia" w:ascii="仿宋_GB2312" w:hAnsi="Times New Roman" w:eastAsia="仿宋_GB2312" w:cs="Times New Roman"/>
          <w:b w:val="0"/>
          <w:bCs/>
          <w:kern w:val="2"/>
          <w:sz w:val="28"/>
          <w:szCs w:val="28"/>
          <w:lang w:val="en-US" w:eastAsia="zh-CN" w:bidi="ar-SA"/>
        </w:rPr>
        <w:t>，响应人需于2023年9月30日前完成所有服务内容。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Times New Roman" w:eastAsia="仿宋_GB2312" w:cs="Times New Roman"/>
          <w:b w:val="0"/>
          <w:bCs/>
          <w:kern w:val="2"/>
          <w:sz w:val="28"/>
          <w:szCs w:val="28"/>
          <w:lang w:val="en-US" w:eastAsia="zh-CN" w:bidi="ar-SA"/>
        </w:rPr>
      </w:pPr>
      <w:r>
        <w:rPr>
          <w:rFonts w:hint="eastAsia" w:ascii="仿宋_GB2312" w:hAnsi="Times New Roman" w:eastAsia="仿宋_GB2312" w:cs="Times New Roman"/>
          <w:b w:val="0"/>
          <w:bCs/>
          <w:kern w:val="2"/>
          <w:sz w:val="28"/>
          <w:szCs w:val="28"/>
          <w:lang w:val="en-US" w:eastAsia="zh-CN" w:bidi="ar-SA"/>
        </w:rPr>
        <w:t>2、服务地点：福田区</w:t>
      </w:r>
      <w:r>
        <w:rPr>
          <w:rFonts w:hint="eastAsia" w:ascii="仿宋_GB2312" w:eastAsia="仿宋_GB2312" w:cs="Times New Roman"/>
          <w:b w:val="0"/>
          <w:bCs/>
          <w:kern w:val="2"/>
          <w:sz w:val="28"/>
          <w:szCs w:val="28"/>
          <w:lang w:val="en-US" w:eastAsia="zh-CN" w:bidi="ar-SA"/>
        </w:rPr>
        <w:t>，现场展示面积约600平方米</w:t>
      </w:r>
      <w:r>
        <w:rPr>
          <w:rFonts w:hint="eastAsia" w:ascii="仿宋_GB2312" w:hAnsi="Times New Roman" w:eastAsia="仿宋_GB2312" w:cs="Times New Roman"/>
          <w:b w:val="0"/>
          <w:bCs/>
          <w:kern w:val="2"/>
          <w:sz w:val="28"/>
          <w:szCs w:val="28"/>
          <w:lang w:val="en-US" w:eastAsia="zh-CN" w:bidi="ar-SA"/>
        </w:rPr>
        <w:t>。</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Times New Roman" w:eastAsia="仿宋_GB2312" w:cs="Times New Roman"/>
          <w:b w:val="0"/>
          <w:bCs/>
          <w:kern w:val="2"/>
          <w:sz w:val="28"/>
          <w:szCs w:val="28"/>
          <w:lang w:val="en-US" w:eastAsia="zh-CN" w:bidi="ar-SA"/>
        </w:rPr>
      </w:pPr>
      <w:r>
        <w:rPr>
          <w:rFonts w:hint="eastAsia" w:ascii="仿宋_GB2312" w:hAnsi="Times New Roman" w:eastAsia="仿宋_GB2312" w:cs="Times New Roman"/>
          <w:b w:val="0"/>
          <w:bCs/>
          <w:kern w:val="2"/>
          <w:sz w:val="28"/>
          <w:szCs w:val="28"/>
          <w:lang w:val="en-US" w:eastAsia="zh-CN" w:bidi="ar-SA"/>
        </w:rPr>
        <w:t>3、报价要求：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Times New Roman" w:eastAsia="仿宋_GB2312" w:cs="Times New Roman"/>
          <w:b w:val="0"/>
          <w:bCs/>
          <w:kern w:val="2"/>
          <w:sz w:val="28"/>
          <w:szCs w:val="28"/>
          <w:lang w:val="en-US" w:eastAsia="zh-CN" w:bidi="ar-SA"/>
        </w:rPr>
      </w:pPr>
      <w:r>
        <w:rPr>
          <w:rFonts w:hint="eastAsia" w:ascii="仿宋_GB2312" w:hAnsi="Times New Roman" w:eastAsia="仿宋_GB2312" w:cs="Times New Roman"/>
          <w:b w:val="0"/>
          <w:bCs/>
          <w:kern w:val="2"/>
          <w:sz w:val="28"/>
          <w:szCs w:val="28"/>
          <w:lang w:val="en-US" w:eastAsia="zh-CN" w:bidi="ar-SA"/>
        </w:rPr>
        <w:t>（1）本项目服务费采用包干制，总费用不得超过</w:t>
      </w:r>
      <w:r>
        <w:rPr>
          <w:rFonts w:hint="eastAsia" w:ascii="仿宋_GB2312" w:eastAsia="仿宋_GB2312" w:cs="Times New Roman"/>
          <w:b w:val="0"/>
          <w:bCs/>
          <w:kern w:val="2"/>
          <w:sz w:val="28"/>
          <w:szCs w:val="28"/>
          <w:lang w:val="en-US" w:eastAsia="zh-CN" w:bidi="ar-SA"/>
        </w:rPr>
        <w:t>40</w:t>
      </w:r>
      <w:r>
        <w:rPr>
          <w:rFonts w:hint="eastAsia" w:ascii="仿宋_GB2312" w:hAnsi="Times New Roman" w:eastAsia="仿宋_GB2312" w:cs="Times New Roman"/>
          <w:b w:val="0"/>
          <w:bCs/>
          <w:kern w:val="2"/>
          <w:sz w:val="28"/>
          <w:szCs w:val="28"/>
          <w:lang w:val="en-US" w:eastAsia="zh-CN" w:bidi="ar-SA"/>
        </w:rPr>
        <w:t>万元</w:t>
      </w:r>
      <w:r>
        <w:rPr>
          <w:rFonts w:hint="eastAsia" w:ascii="仿宋_GB2312" w:eastAsia="仿宋_GB2312" w:cs="Times New Roman"/>
          <w:b w:val="0"/>
          <w:bCs/>
          <w:kern w:val="2"/>
          <w:sz w:val="28"/>
          <w:szCs w:val="28"/>
          <w:lang w:val="en-US" w:eastAsia="zh-CN" w:bidi="ar-SA"/>
        </w:rPr>
        <w:t>（不含场地费）</w:t>
      </w:r>
      <w:r>
        <w:rPr>
          <w:rFonts w:hint="eastAsia" w:ascii="仿宋_GB2312" w:hAnsi="Times New Roman" w:eastAsia="仿宋_GB2312" w:cs="Times New Roman"/>
          <w:b w:val="0"/>
          <w:bCs/>
          <w:kern w:val="2"/>
          <w:sz w:val="28"/>
          <w:szCs w:val="28"/>
          <w:lang w:val="en-US" w:eastAsia="zh-CN" w:bidi="ar-SA"/>
        </w:rPr>
        <w:t>,应包括服务成本、法定税费和企业的利润。由企业根据采购文件所提供的资料自行测算报价；一经中选，报价总价作为中选单位与采购人签定的合同金额，合同期限内不做调整；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Times New Roman" w:eastAsia="仿宋_GB2312" w:cs="Times New Roman"/>
          <w:b w:val="0"/>
          <w:bCs/>
          <w:kern w:val="2"/>
          <w:sz w:val="28"/>
          <w:szCs w:val="28"/>
          <w:lang w:val="en-US" w:eastAsia="zh-CN" w:bidi="ar-SA"/>
        </w:rPr>
      </w:pPr>
      <w:r>
        <w:rPr>
          <w:rFonts w:hint="eastAsia" w:ascii="仿宋_GB2312" w:hAnsi="Times New Roman" w:eastAsia="仿宋_GB2312" w:cs="Times New Roman"/>
          <w:b w:val="0"/>
          <w:bCs/>
          <w:kern w:val="2"/>
          <w:sz w:val="28"/>
          <w:szCs w:val="28"/>
          <w:lang w:val="en-US" w:eastAsia="zh-CN" w:bidi="ar-SA"/>
        </w:rPr>
        <w:t>（2）响应人应根据本企业的成本自行决定报价，但不得以低于其企业成本的报价；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Times New Roman" w:eastAsia="仿宋_GB2312" w:cs="Times New Roman"/>
          <w:b w:val="0"/>
          <w:bCs/>
          <w:kern w:val="2"/>
          <w:sz w:val="28"/>
          <w:szCs w:val="28"/>
          <w:lang w:val="en-US" w:eastAsia="zh-CN" w:bidi="ar-SA"/>
        </w:rPr>
      </w:pPr>
      <w:r>
        <w:rPr>
          <w:rFonts w:hint="eastAsia" w:ascii="仿宋_GB2312" w:hAnsi="Times New Roman" w:eastAsia="仿宋_GB2312" w:cs="Times New Roman"/>
          <w:b w:val="0"/>
          <w:bCs/>
          <w:kern w:val="2"/>
          <w:sz w:val="28"/>
          <w:szCs w:val="28"/>
          <w:lang w:val="en-US" w:eastAsia="zh-CN" w:bidi="ar-SA"/>
        </w:rPr>
        <w:t>（3）响应人的报价不得超过财政预算限额；</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Times New Roman" w:eastAsia="仿宋_GB2312" w:cs="Times New Roman"/>
          <w:b w:val="0"/>
          <w:bCs/>
          <w:kern w:val="2"/>
          <w:sz w:val="28"/>
          <w:szCs w:val="28"/>
          <w:lang w:val="en-US" w:eastAsia="zh-CN" w:bidi="ar-SA"/>
        </w:rPr>
      </w:pPr>
      <w:r>
        <w:rPr>
          <w:rFonts w:hint="eastAsia" w:ascii="仿宋_GB2312" w:hAnsi="Times New Roman" w:eastAsia="仿宋_GB2312" w:cs="Times New Roman"/>
          <w:b w:val="0"/>
          <w:bCs/>
          <w:kern w:val="2"/>
          <w:sz w:val="28"/>
          <w:szCs w:val="28"/>
          <w:lang w:val="en-US" w:eastAsia="zh-CN" w:bidi="ar-SA"/>
        </w:rPr>
        <w:t>（4）响应人的报价，应是本项目采购范围和采购文件及合同条款上所列的各项内容中所述的全部，不得以任何理由予以重复，并以响应人最终提出的总价为依据；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Times New Roman" w:eastAsia="仿宋_GB2312" w:cs="Times New Roman"/>
          <w:b w:val="0"/>
          <w:bCs/>
          <w:kern w:val="2"/>
          <w:sz w:val="28"/>
          <w:szCs w:val="28"/>
          <w:lang w:val="en-US" w:eastAsia="zh-CN" w:bidi="ar-SA"/>
        </w:rPr>
      </w:pPr>
      <w:r>
        <w:rPr>
          <w:rFonts w:hint="eastAsia" w:ascii="仿宋_GB2312" w:hAnsi="Times New Roman" w:eastAsia="仿宋_GB2312" w:cs="Times New Roman"/>
          <w:b w:val="0"/>
          <w:bCs/>
          <w:kern w:val="2"/>
          <w:sz w:val="28"/>
          <w:szCs w:val="28"/>
          <w:lang w:val="en-US" w:eastAsia="zh-CN" w:bidi="ar-SA"/>
        </w:rPr>
        <w:t>（5）除非采购人通过修改采购文件予以更正，否则，响应人应毫无例外地按响应文件所列的清单中项目填报总价。响应人未填总价的项目，在实施后，将不得以支付，并视作该项费用已包括在其它有价款的总价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Times New Roman" w:eastAsia="仿宋_GB2312" w:cs="Times New Roman"/>
          <w:b w:val="0"/>
          <w:bCs/>
          <w:kern w:val="2"/>
          <w:sz w:val="28"/>
          <w:szCs w:val="28"/>
          <w:lang w:val="en-US" w:eastAsia="zh-CN" w:bidi="ar-SA"/>
        </w:rPr>
      </w:pPr>
      <w:r>
        <w:rPr>
          <w:rFonts w:hint="eastAsia" w:ascii="仿宋_GB2312" w:hAnsi="Times New Roman" w:eastAsia="仿宋_GB2312" w:cs="Times New Roman"/>
          <w:b w:val="0"/>
          <w:bCs/>
          <w:kern w:val="2"/>
          <w:sz w:val="28"/>
          <w:szCs w:val="28"/>
          <w:lang w:val="en-US" w:eastAsia="zh-CN" w:bidi="ar-SA"/>
        </w:rPr>
        <w:t>（6）响应人应先到项目地点调研以充分了解项目相关情况，任何因忽视或误解项目情况而导致的索赔或服务期限延长申请将不获批准；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Times New Roman" w:eastAsia="仿宋_GB2312" w:cs="Times New Roman"/>
          <w:b w:val="0"/>
          <w:bCs/>
          <w:kern w:val="2"/>
          <w:sz w:val="28"/>
          <w:szCs w:val="28"/>
          <w:lang w:val="en-US" w:eastAsia="zh-CN" w:bidi="ar-SA"/>
        </w:rPr>
      </w:pPr>
      <w:r>
        <w:rPr>
          <w:rFonts w:hint="eastAsia" w:ascii="仿宋_GB2312" w:hAnsi="Times New Roman" w:eastAsia="仿宋_GB2312" w:cs="Times New Roman"/>
          <w:b w:val="0"/>
          <w:bCs/>
          <w:kern w:val="2"/>
          <w:sz w:val="28"/>
          <w:szCs w:val="28"/>
          <w:lang w:val="en-US" w:eastAsia="zh-CN" w:bidi="ar-SA"/>
        </w:rPr>
        <w:t>（7）响应人不得期望通过索赔等方式获取补偿，否则，除可能遭到拒绝外，还可能将被作为不良行为记录在案，并可能影响其以后参加政府采购。各响应人在报价时，应充分考虑报价的风险。</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Times New Roman" w:eastAsia="仿宋_GB2312" w:cs="Times New Roman"/>
          <w:b w:val="0"/>
          <w:bCs/>
          <w:kern w:val="2"/>
          <w:sz w:val="28"/>
          <w:szCs w:val="28"/>
          <w:lang w:val="en-US" w:eastAsia="zh-CN" w:bidi="ar-SA"/>
        </w:rPr>
      </w:pPr>
      <w:r>
        <w:rPr>
          <w:rFonts w:hint="eastAsia" w:ascii="仿宋_GB2312" w:hAnsi="Times New Roman" w:eastAsia="仿宋_GB2312" w:cs="Times New Roman"/>
          <w:b w:val="0"/>
          <w:bCs/>
          <w:kern w:val="2"/>
          <w:sz w:val="28"/>
          <w:szCs w:val="28"/>
          <w:lang w:val="en-US" w:eastAsia="zh-CN" w:bidi="ar-SA"/>
        </w:rPr>
        <w:t>（8）递交响应文件截止时间：根据征集通知要求确定；</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Times New Roman" w:eastAsia="仿宋_GB2312" w:cs="Times New Roman"/>
          <w:b w:val="0"/>
          <w:bCs/>
          <w:kern w:val="2"/>
          <w:sz w:val="28"/>
          <w:szCs w:val="28"/>
          <w:lang w:val="en-US" w:eastAsia="zh-CN" w:bidi="ar-SA"/>
        </w:rPr>
      </w:pPr>
      <w:r>
        <w:rPr>
          <w:rFonts w:hint="eastAsia" w:ascii="仿宋_GB2312" w:hAnsi="Times New Roman" w:eastAsia="仿宋_GB2312" w:cs="Times New Roman"/>
          <w:b w:val="0"/>
          <w:bCs/>
          <w:kern w:val="2"/>
          <w:sz w:val="28"/>
          <w:szCs w:val="28"/>
          <w:lang w:val="en-US" w:eastAsia="zh-CN" w:bidi="ar-SA"/>
        </w:rPr>
        <w:t>（9）响应人需有类似项目服务工作承担经验，具有良好的信用记录，不得有违法失信等负面记录。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Times New Roman" w:eastAsia="仿宋_GB2312" w:cs="Times New Roman"/>
          <w:b w:val="0"/>
          <w:bCs/>
          <w:kern w:val="2"/>
          <w:sz w:val="28"/>
          <w:szCs w:val="28"/>
          <w:lang w:val="en-US" w:eastAsia="zh-CN" w:bidi="ar-SA"/>
        </w:rPr>
      </w:pPr>
      <w:r>
        <w:rPr>
          <w:rFonts w:hint="eastAsia" w:ascii="仿宋_GB2312" w:hAnsi="Times New Roman" w:eastAsia="仿宋_GB2312" w:cs="Times New Roman"/>
          <w:b w:val="0"/>
          <w:bCs/>
          <w:kern w:val="2"/>
          <w:sz w:val="28"/>
          <w:szCs w:val="28"/>
          <w:lang w:val="en-US" w:eastAsia="zh-CN" w:bidi="ar-SA"/>
        </w:rPr>
        <w:t>4、付款方式：由双方在合同中约定。</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Times New Roman" w:eastAsia="仿宋_GB2312" w:cs="Times New Roman"/>
          <w:b w:val="0"/>
          <w:bCs/>
          <w:kern w:val="2"/>
          <w:sz w:val="28"/>
          <w:szCs w:val="28"/>
          <w:lang w:val="en-US" w:eastAsia="zh-CN" w:bidi="ar-SA"/>
        </w:rPr>
      </w:pPr>
      <w:r>
        <w:rPr>
          <w:rFonts w:hint="eastAsia" w:ascii="仿宋_GB2312" w:hAnsi="Times New Roman" w:eastAsia="仿宋_GB2312" w:cs="Times New Roman"/>
          <w:b w:val="0"/>
          <w:bCs/>
          <w:kern w:val="2"/>
          <w:sz w:val="28"/>
          <w:szCs w:val="28"/>
          <w:lang w:val="en-US" w:eastAsia="zh-CN" w:bidi="ar-SA"/>
        </w:rPr>
        <w:t>5、履约担保金：由双方在合同中约定。</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Times New Roman" w:eastAsia="仿宋_GB2312" w:cs="Times New Roman"/>
          <w:b w:val="0"/>
          <w:bCs/>
          <w:kern w:val="2"/>
          <w:sz w:val="28"/>
          <w:szCs w:val="28"/>
          <w:lang w:val="en-US" w:eastAsia="zh-CN" w:bidi="ar-SA"/>
        </w:rPr>
      </w:pPr>
      <w:r>
        <w:rPr>
          <w:rFonts w:hint="eastAsia" w:ascii="仿宋_GB2312" w:hAnsi="Times New Roman" w:eastAsia="仿宋_GB2312" w:cs="Times New Roman"/>
          <w:b w:val="0"/>
          <w:bCs/>
          <w:kern w:val="2"/>
          <w:sz w:val="28"/>
          <w:szCs w:val="28"/>
          <w:lang w:val="en-US" w:eastAsia="zh-CN" w:bidi="ar-SA"/>
        </w:rPr>
        <w:t>6、违约责任：由双方在合同中约定。</w:t>
      </w:r>
    </w:p>
    <w:p>
      <w:pPr>
        <w:keepNext w:val="0"/>
        <w:keepLines w:val="0"/>
        <w:pageBreakBefore w:val="0"/>
        <w:kinsoku/>
        <w:wordWrap/>
        <w:overflowPunct/>
        <w:topLinePunct w:val="0"/>
        <w:autoSpaceDE/>
        <w:autoSpaceDN/>
        <w:bidi w:val="0"/>
        <w:spacing w:line="560" w:lineRule="exact"/>
        <w:textAlignment w:val="auto"/>
        <w:rPr>
          <w:rFonts w:hint="eastAsia" w:ascii="仿宋_GB2312" w:hAnsi="Times New Roman" w:eastAsia="仿宋_GB2312" w:cs="Times New Roman"/>
          <w:b w:val="0"/>
          <w:bCs/>
          <w:kern w:val="2"/>
          <w:sz w:val="28"/>
          <w:szCs w:val="28"/>
          <w:lang w:val="en-US" w:eastAsia="zh-CN" w:bidi="ar-SA"/>
        </w:rPr>
      </w:pPr>
    </w:p>
    <w:p>
      <w:pPr>
        <w:keepNext w:val="0"/>
        <w:keepLines w:val="0"/>
        <w:pageBreakBefore w:val="0"/>
        <w:kinsoku/>
        <w:wordWrap/>
        <w:overflowPunct/>
        <w:topLinePunct w:val="0"/>
        <w:autoSpaceDE/>
        <w:autoSpaceDN/>
        <w:bidi w:val="0"/>
        <w:spacing w:line="560" w:lineRule="exact"/>
        <w:ind w:firstLine="640" w:firstLineChars="200"/>
        <w:textAlignment w:val="auto"/>
        <w:rPr>
          <w:rFonts w:ascii="宋体" w:hAnsi="宋体" w:cs="宋体"/>
          <w:bCs/>
          <w:sz w:val="32"/>
          <w:szCs w:val="32"/>
        </w:rPr>
      </w:pPr>
    </w:p>
    <w:p>
      <w:pPr>
        <w:keepNext w:val="0"/>
        <w:keepLines w:val="0"/>
        <w:pageBreakBefore w:val="0"/>
        <w:kinsoku/>
        <w:wordWrap/>
        <w:overflowPunct/>
        <w:topLinePunct w:val="0"/>
        <w:autoSpaceDE/>
        <w:autoSpaceDN/>
        <w:bidi w:val="0"/>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FD7A9E0"/>
    <w:rsid w:val="4A1947CF"/>
    <w:rsid w:val="57FFDA27"/>
    <w:rsid w:val="64FE3FFB"/>
    <w:rsid w:val="679AF7E3"/>
    <w:rsid w:val="7FCCE6DE"/>
    <w:rsid w:val="7FD75CAF"/>
    <w:rsid w:val="7FE732B7"/>
    <w:rsid w:val="9C1E60A3"/>
    <w:rsid w:val="BEFF3751"/>
    <w:rsid w:val="D7DF8263"/>
    <w:rsid w:val="DF2C2FFB"/>
    <w:rsid w:val="F55B3E4E"/>
    <w:rsid w:val="F5FDF61A"/>
    <w:rsid w:val="F77DC8E4"/>
    <w:rsid w:val="F7FFDAA7"/>
    <w:rsid w:val="F86584C4"/>
    <w:rsid w:val="FC7FECCB"/>
    <w:rsid w:val="FD9F02D6"/>
    <w:rsid w:val="FFB743BF"/>
    <w:rsid w:val="FFFE413C"/>
    <w:rsid w:val="FFFF008D"/>
    <w:rsid w:val="FFFF1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Body Text"/>
    <w:basedOn w:val="1"/>
    <w:semiHidden/>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2018-07-15T15:11:00Z</dcterms:created>
  <dc:creator>d</dc:creator>
  <cp:lastModifiedBy>wangyu</cp:lastModifiedBy>
  <cp:lastPrinted>2023-05-13T01:48:00Z</cp:lastPrinted>
  <dcterms:modified xsi:type="dcterms:W3CDTF">2023-07-19T11:31:58Z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