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val="0"/>
        <w:snapToGrid w:val="0"/>
        <w:spacing w:before="0" w:after="0" w:line="570" w:lineRule="exact"/>
        <w:textAlignment w:val="auto"/>
        <w:outlineLvl w:val="9"/>
        <w:rPr>
          <w:rFonts w:hint="eastAsia" w:ascii="方正小标宋_GBK" w:hAnsi="宋体" w:eastAsia="方正小标宋_GBK" w:cs="宋体"/>
          <w:b w:val="0"/>
          <w:color w:val="auto"/>
          <w:kern w:val="44"/>
          <w:sz w:val="44"/>
          <w:szCs w:val="44"/>
          <w:highlight w:val="none"/>
          <w:u w:val="none"/>
        </w:rPr>
      </w:pPr>
      <w:bookmarkStart w:id="0" w:name="_GoBack"/>
      <w:r>
        <w:rPr>
          <w:rFonts w:hint="eastAsia" w:ascii="方正小标宋_GBK" w:hAnsi="宋体" w:eastAsia="方正小标宋_GBK" w:cs="宋体"/>
          <w:b w:val="0"/>
          <w:color w:val="auto"/>
          <w:kern w:val="44"/>
          <w:sz w:val="44"/>
          <w:szCs w:val="44"/>
          <w:highlight w:val="none"/>
          <w:u w:val="none"/>
        </w:rPr>
        <w:t>采购</w:t>
      </w:r>
      <w:r>
        <w:rPr>
          <w:rFonts w:hint="eastAsia" w:ascii="方正小标宋_GBK" w:hAnsi="宋体" w:eastAsia="方正小标宋_GBK" w:cs="宋体"/>
          <w:b w:val="0"/>
          <w:color w:val="auto"/>
          <w:kern w:val="44"/>
          <w:sz w:val="44"/>
          <w:szCs w:val="44"/>
          <w:highlight w:val="none"/>
          <w:u w:val="none"/>
          <w:lang w:eastAsia="zh-CN"/>
        </w:rPr>
        <w:t>需求</w:t>
      </w:r>
      <w:r>
        <w:rPr>
          <w:rFonts w:hint="eastAsia" w:ascii="方正小标宋_GBK" w:hAnsi="宋体" w:eastAsia="方正小标宋_GBK" w:cs="宋体"/>
          <w:b w:val="0"/>
          <w:color w:val="auto"/>
          <w:kern w:val="44"/>
          <w:sz w:val="44"/>
          <w:szCs w:val="44"/>
          <w:highlight w:val="none"/>
          <w:u w:val="none"/>
        </w:rPr>
        <w:t>书</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一、采购项目概况</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专业孵化载体高质量发展提升服务，主要包括以下内容：</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分析当前科技企业孵化载体运营发展的问题、瓶颈与困境，研究分析国内外“投资+孵化”的科技企业孵化培育模式和成功案例，根据孵化工作的创新举措和发展实践，提出成功可行的专业孵化载体运作模式，协助梳理构建具有特色的科技企业孵化培育体系。</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（二）协助完成投资驱动型科技企业孵化载体建设发展体系建设，包括但不限于目的意义、发展思路、策略路径、建设运营、支撑赋能、具体方案建议等若干体系，协助相关成果宣传。</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color w:val="auto"/>
          <w:lang w:val="en-US" w:eastAsia="zh-CN"/>
        </w:rPr>
      </w:pPr>
      <w:r>
        <w:rPr>
          <w:rFonts w:hint="eastAsia" w:ascii="仿宋_GB2312" w:hAnsi="仿宋_GB2312" w:eastAsia="仿宋_GB2312" w:cs="仿宋_GB2312"/>
          <w:color w:val="auto"/>
          <w:sz w:val="32"/>
          <w:szCs w:val="32"/>
          <w:lang w:val="en-US" w:eastAsia="zh-CN"/>
        </w:rPr>
        <w:t>（三）形成“投资+孵化”科技企业孵化载体高质量发展的策略分析研究报告，形成相关孵化载体建设发展体系报告，结合孵化载体建设发展体系，协助福田区专业孵化载体打造，提出项目建议与实施路径等。</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二、项目管理和服务要求</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响应人根据采购需求，安排得力的</w:t>
      </w:r>
      <w:r>
        <w:rPr>
          <w:rFonts w:hint="eastAsia" w:ascii="仿宋_GB2312" w:hAnsi="仿宋" w:eastAsia="仿宋_GB2312"/>
          <w:color w:val="auto"/>
          <w:sz w:val="32"/>
          <w:szCs w:val="32"/>
          <w:highlight w:val="none"/>
          <w:u w:val="none"/>
          <w:lang w:eastAsia="zh-CN"/>
        </w:rPr>
        <w:t>专业</w:t>
      </w:r>
      <w:r>
        <w:rPr>
          <w:rFonts w:hint="eastAsia" w:ascii="仿宋_GB2312" w:hAnsi="仿宋" w:eastAsia="仿宋_GB2312"/>
          <w:color w:val="auto"/>
          <w:sz w:val="32"/>
          <w:szCs w:val="32"/>
          <w:highlight w:val="none"/>
          <w:u w:val="none"/>
        </w:rPr>
        <w:t>团队、充足时间，精心组织，负责</w:t>
      </w:r>
      <w:r>
        <w:rPr>
          <w:rFonts w:hint="eastAsia" w:ascii="仿宋_GB2312" w:hAnsi="仿宋" w:eastAsia="仿宋_GB2312"/>
          <w:color w:val="auto"/>
          <w:sz w:val="32"/>
          <w:szCs w:val="32"/>
          <w:highlight w:val="none"/>
          <w:u w:val="none"/>
          <w:lang w:eastAsia="zh-CN"/>
        </w:rPr>
        <w:t>提供</w:t>
      </w:r>
      <w:r>
        <w:rPr>
          <w:rFonts w:hint="eastAsia" w:ascii="仿宋_GB2312" w:hAnsi="仿宋_GB2312" w:eastAsia="仿宋_GB2312" w:cs="仿宋_GB2312"/>
          <w:color w:val="auto"/>
          <w:sz w:val="32"/>
          <w:szCs w:val="32"/>
          <w:lang w:val="en-US" w:eastAsia="zh-CN"/>
        </w:rPr>
        <w:t>福田区科技企业孵化载体高质量发展提升</w:t>
      </w:r>
      <w:r>
        <w:rPr>
          <w:rFonts w:hint="eastAsia" w:ascii="仿宋_GB2312" w:hAnsi="仿宋_GB2312" w:eastAsia="仿宋_GB2312" w:cs="仿宋_GB2312"/>
          <w:color w:val="auto"/>
          <w:kern w:val="2"/>
          <w:sz w:val="32"/>
          <w:szCs w:val="32"/>
          <w:highlight w:val="none"/>
          <w:u w:val="none"/>
          <w:lang w:val="en-US" w:eastAsia="zh-CN" w:bidi="ar-SA"/>
        </w:rPr>
        <w:t>相关服务</w:t>
      </w:r>
      <w:r>
        <w:rPr>
          <w:rFonts w:hint="eastAsia" w:ascii="仿宋_GB2312" w:hAnsi="仿宋" w:eastAsia="仿宋_GB2312"/>
          <w:color w:val="auto"/>
          <w:sz w:val="32"/>
          <w:szCs w:val="32"/>
          <w:highlight w:val="none"/>
          <w:u w:val="none"/>
        </w:rPr>
        <w:t>。</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三、商务需求</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1、服务期：</w:t>
      </w:r>
      <w:r>
        <w:rPr>
          <w:rFonts w:hint="eastAsia" w:ascii="仿宋_GB2312" w:hAnsi="仿宋_GB2312" w:eastAsia="仿宋_GB2312" w:cs="仿宋_GB2312"/>
          <w:color w:val="auto"/>
          <w:sz w:val="32"/>
          <w:szCs w:val="32"/>
          <w:lang w:eastAsia="zh-CN"/>
        </w:rPr>
        <w:t>计划</w:t>
      </w:r>
      <w:r>
        <w:rPr>
          <w:rFonts w:hint="eastAsia" w:ascii="仿宋_GB2312" w:hAnsi="仿宋_GB2312" w:eastAsia="仿宋_GB2312" w:cs="仿宋_GB2312"/>
          <w:color w:val="auto"/>
          <w:sz w:val="32"/>
          <w:szCs w:val="32"/>
        </w:rPr>
        <w:t>2023年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月-2023年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w:t>
      </w:r>
      <w:r>
        <w:rPr>
          <w:rFonts w:hint="eastAsia" w:ascii="仿宋_GB2312" w:hAnsi="仿宋" w:eastAsia="仿宋_GB2312"/>
          <w:color w:val="auto"/>
          <w:sz w:val="32"/>
          <w:szCs w:val="32"/>
          <w:highlight w:val="none"/>
          <w:u w:val="none"/>
        </w:rPr>
        <w:t>响应人需</w:t>
      </w:r>
      <w:r>
        <w:rPr>
          <w:rFonts w:hint="eastAsia" w:ascii="仿宋_GB2312" w:hAnsi="仿宋" w:eastAsia="仿宋_GB2312"/>
          <w:color w:val="auto"/>
          <w:sz w:val="32"/>
          <w:szCs w:val="32"/>
          <w:highlight w:val="none"/>
          <w:u w:val="none"/>
          <w:lang w:eastAsia="zh-CN"/>
        </w:rPr>
        <w:t>在服务期结束</w:t>
      </w:r>
      <w:r>
        <w:rPr>
          <w:rFonts w:hint="eastAsia" w:ascii="仿宋_GB2312" w:hAnsi="仿宋" w:eastAsia="仿宋_GB2312"/>
          <w:color w:val="auto"/>
          <w:sz w:val="32"/>
          <w:szCs w:val="32"/>
          <w:highlight w:val="none"/>
          <w:u w:val="none"/>
        </w:rPr>
        <w:t>前</w:t>
      </w:r>
      <w:r>
        <w:rPr>
          <w:rFonts w:hint="eastAsia" w:ascii="仿宋_GB2312" w:hAnsi="仿宋" w:eastAsia="仿宋_GB2312"/>
          <w:color w:val="auto"/>
          <w:sz w:val="32"/>
          <w:szCs w:val="32"/>
          <w:highlight w:val="none"/>
          <w:u w:val="none"/>
          <w:lang w:eastAsia="zh-CN"/>
        </w:rPr>
        <w:t>完成所有服务内容，</w:t>
      </w:r>
      <w:r>
        <w:rPr>
          <w:rFonts w:hint="eastAsia" w:ascii="仿宋_GB2312" w:hAnsi="仿宋_GB2312" w:eastAsia="仿宋_GB2312" w:cs="仿宋_GB2312"/>
          <w:color w:val="auto"/>
          <w:sz w:val="32"/>
          <w:szCs w:val="32"/>
          <w:lang w:eastAsia="zh-CN"/>
        </w:rPr>
        <w:t>具体服务期限以服务合同为准。</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2、服务地点：福田区。</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3、报价要求：</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（1）</w:t>
      </w:r>
      <w:r>
        <w:rPr>
          <w:rFonts w:hint="eastAsia" w:ascii="仿宋_GB2312" w:hAnsi="仿宋_GB2312" w:eastAsia="仿宋_GB2312" w:cs="仿宋_GB2312"/>
          <w:color w:val="auto"/>
          <w:sz w:val="32"/>
          <w:szCs w:val="32"/>
        </w:rPr>
        <w:t>本项目服务费采用包干</w:t>
      </w:r>
      <w:r>
        <w:rPr>
          <w:rFonts w:hint="eastAsia" w:ascii="仿宋_GB2312" w:hAnsi="仿宋_GB2312" w:eastAsia="仿宋_GB2312" w:cs="仿宋_GB2312"/>
          <w:bCs/>
          <w:color w:val="auto"/>
          <w:sz w:val="32"/>
          <w:szCs w:val="32"/>
        </w:rPr>
        <w:t>制，总费用不得</w:t>
      </w:r>
      <w:r>
        <w:rPr>
          <w:rFonts w:hint="eastAsia" w:ascii="仿宋_GB2312" w:hAnsi="仿宋_GB2312" w:eastAsia="仿宋_GB2312" w:cs="仿宋_GB2312"/>
          <w:color w:val="auto"/>
          <w:sz w:val="32"/>
          <w:szCs w:val="32"/>
          <w:lang w:val="en-US" w:eastAsia="zh-CN"/>
        </w:rPr>
        <w:t>超过人民币18.5万元</w:t>
      </w:r>
      <w:r>
        <w:rPr>
          <w:rFonts w:hint="eastAsia" w:ascii="仿宋_GB2312" w:hAnsi="仿宋_GB2312" w:eastAsia="仿宋_GB2312" w:cs="仿宋_GB2312"/>
          <w:bCs/>
          <w:color w:val="auto"/>
          <w:sz w:val="32"/>
          <w:szCs w:val="32"/>
        </w:rPr>
        <w:t>,应包括服务成本、法定税费和企业的利润。</w:t>
      </w:r>
      <w:r>
        <w:rPr>
          <w:rFonts w:hint="eastAsia" w:ascii="仿宋_GB2312" w:hAnsi="仿宋" w:eastAsia="仿宋_GB2312"/>
          <w:color w:val="auto"/>
          <w:sz w:val="32"/>
          <w:szCs w:val="32"/>
          <w:highlight w:val="none"/>
          <w:u w:val="none"/>
        </w:rPr>
        <w:t>由企业根据采购文件所提供的资料自行测算报价；一经中选，报价总价作为中选单位与采购人签定的合同金额，合同期限内不做调整；</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（2）响应人应根据本企业的成本自行决定报价，但不得以低于其企业成本的报价；</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（3）响应人的报价不得超过预算限额；</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（4）响应人的报价，应是本项目采购范围和采购文件及合同条款上所列的各项内容中所述的全部，不得以任何理由予以重复，并以响应人最终提出的总价为依据；</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5）除非采购人通过修改采购文件予以更正，否则，响应人应毫无例外地按响应文件所列的清单中项目填报总价。响应人未填总价的项目，在实施后，将不得以支付，并视作该项费用已包括在其它有价款的总价内；</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（6）响应人应先到项目地点调研以充分了解项目相关情况，任何因忽视或误解项目情况而导致的索赔或服务期限延长申请将不获批准；</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（7）响应人不得期望通过索赔等方式获取补偿，否则，除可能遭到拒绝外，还可能将被作为不良行为记录在案，并可能影响其以后参加政府采购。各响应人在报价时，应充分考虑报价的风险。</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（8）递交响应文件截止时间：</w:t>
      </w:r>
      <w:r>
        <w:rPr>
          <w:rFonts w:hint="eastAsia" w:ascii="仿宋_GB2312" w:hAnsi="仿宋" w:eastAsia="仿宋_GB2312"/>
          <w:color w:val="auto"/>
          <w:sz w:val="32"/>
          <w:szCs w:val="32"/>
          <w:highlight w:val="none"/>
          <w:u w:val="none"/>
          <w:lang w:eastAsia="zh-CN"/>
        </w:rPr>
        <w:t>根据相关征集通知要求确定</w:t>
      </w:r>
      <w:r>
        <w:rPr>
          <w:rFonts w:hint="eastAsia" w:ascii="仿宋_GB2312" w:hAnsi="仿宋" w:eastAsia="仿宋_GB2312"/>
          <w:color w:val="auto"/>
          <w:sz w:val="32"/>
          <w:szCs w:val="32"/>
          <w:highlight w:val="none"/>
          <w:u w:val="none"/>
        </w:rPr>
        <w:t>。</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lang w:val="en-US" w:eastAsia="zh-CN"/>
        </w:rPr>
      </w:pPr>
      <w:r>
        <w:rPr>
          <w:rFonts w:hint="eastAsia" w:ascii="仿宋_GB2312" w:hAnsi="仿宋" w:eastAsia="仿宋_GB2312"/>
          <w:color w:val="auto"/>
          <w:sz w:val="32"/>
          <w:szCs w:val="32"/>
          <w:highlight w:val="none"/>
          <w:u w:val="none"/>
        </w:rPr>
        <w:t>（9）响</w:t>
      </w:r>
      <w:r>
        <w:rPr>
          <w:rFonts w:hint="eastAsia" w:ascii="仿宋_GB2312" w:hAnsi="仿宋" w:eastAsia="仿宋_GB2312"/>
          <w:color w:val="auto"/>
          <w:sz w:val="32"/>
          <w:szCs w:val="32"/>
          <w:highlight w:val="none"/>
          <w:u w:val="none"/>
          <w:lang w:val="en-US" w:eastAsia="zh-CN"/>
        </w:rPr>
        <w:t>应人需</w:t>
      </w:r>
      <w:r>
        <w:rPr>
          <w:rFonts w:hint="eastAsia" w:ascii="仿宋_GB2312" w:hAnsi="仿宋" w:eastAsia="仿宋_GB2312" w:cs="Times New Roman"/>
          <w:color w:val="auto"/>
          <w:kern w:val="2"/>
          <w:sz w:val="32"/>
          <w:szCs w:val="32"/>
          <w:highlight w:val="none"/>
          <w:u w:val="none"/>
          <w:lang w:val="en-US" w:eastAsia="zh-CN" w:bidi="ar-SA"/>
        </w:rPr>
        <w:t>有类似服务承担经验或有科技企业孵化载体建设运营成功经验</w:t>
      </w:r>
      <w:r>
        <w:rPr>
          <w:rFonts w:hint="eastAsia" w:ascii="仿宋_GB2312" w:hAnsi="仿宋" w:eastAsia="仿宋_GB2312"/>
          <w:color w:val="auto"/>
          <w:sz w:val="32"/>
          <w:szCs w:val="32"/>
          <w:highlight w:val="none"/>
          <w:u w:val="none"/>
          <w:lang w:val="en-US" w:eastAsia="zh-CN"/>
        </w:rPr>
        <w:t>，无违法失信等负面记录。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4、响应人资格要求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（1）响应人必须有相关经营资质且在有效期内的营业执照或信用代码证；应具有独立法人资格，独立承担民事责任的能力；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（2）响应人在经营活动中三年没有重大违法记录；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5、响应人出现以下情况之一的，取消其参与资格：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（1）恶意串通，损害国家、集体利益；违反法律、行政法规的有关规定的情况；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（2）参与报价的单位，其中两家或者两家以上单位为同一法人、股东等情况；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（3）参与报价的单位，其中两家及两级以上单位法人之间有直接利害关系的；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（4）采购领导小组会议前、资料提交时间内，无法提供或者资料不齐全的情况；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（5）编制执行方案内容、编制风格、预算明细口径相似度过高。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lang w:val="en-US" w:eastAsia="zh-CN"/>
        </w:rPr>
      </w:pPr>
      <w:r>
        <w:rPr>
          <w:rFonts w:hint="eastAsia" w:ascii="仿宋_GB2312" w:hAnsi="仿宋_GB2312" w:eastAsia="仿宋_GB2312" w:cs="仿宋_GB2312"/>
          <w:color w:val="auto"/>
          <w:sz w:val="32"/>
          <w:szCs w:val="32"/>
          <w:lang w:val="en-US" w:eastAsia="zh-CN"/>
        </w:rPr>
        <w:t>（6）材料提交时间超过截止时间。</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5</w:t>
      </w:r>
      <w:r>
        <w:rPr>
          <w:rFonts w:hint="eastAsia" w:ascii="仿宋_GB2312" w:hAnsi="仿宋" w:eastAsia="仿宋_GB2312"/>
          <w:color w:val="auto"/>
          <w:sz w:val="32"/>
          <w:szCs w:val="32"/>
          <w:highlight w:val="none"/>
          <w:u w:val="none"/>
        </w:rPr>
        <w:t>、付款方式：</w:t>
      </w:r>
      <w:r>
        <w:rPr>
          <w:rFonts w:hint="eastAsia" w:ascii="仿宋_GB2312" w:hAnsi="仿宋" w:eastAsia="仿宋_GB2312"/>
          <w:color w:val="auto"/>
          <w:sz w:val="32"/>
          <w:szCs w:val="32"/>
          <w:highlight w:val="none"/>
          <w:u w:val="none"/>
          <w:lang w:eastAsia="zh-CN"/>
        </w:rPr>
        <w:t>结合</w:t>
      </w:r>
      <w:r>
        <w:rPr>
          <w:rFonts w:hint="eastAsia" w:ascii="仿宋_GB2312" w:hAnsi="仿宋" w:eastAsia="仿宋_GB2312"/>
          <w:color w:val="auto"/>
          <w:sz w:val="32"/>
          <w:szCs w:val="32"/>
          <w:highlight w:val="none"/>
          <w:u w:val="none"/>
        </w:rPr>
        <w:t>服务进度</w:t>
      </w:r>
      <w:r>
        <w:rPr>
          <w:rFonts w:hint="eastAsia" w:ascii="仿宋_GB2312" w:hAnsi="仿宋" w:eastAsia="仿宋_GB2312"/>
          <w:color w:val="auto"/>
          <w:sz w:val="32"/>
          <w:szCs w:val="32"/>
          <w:highlight w:val="none"/>
          <w:u w:val="none"/>
          <w:lang w:eastAsia="zh-CN"/>
        </w:rPr>
        <w:t>和投入</w:t>
      </w:r>
      <w:r>
        <w:rPr>
          <w:rFonts w:hint="eastAsia" w:ascii="仿宋_GB2312" w:hAnsi="仿宋" w:eastAsia="仿宋_GB2312"/>
          <w:color w:val="auto"/>
          <w:sz w:val="32"/>
          <w:szCs w:val="32"/>
          <w:highlight w:val="none"/>
          <w:u w:val="none"/>
        </w:rPr>
        <w:t>制定分期付款方式</w:t>
      </w:r>
      <w:r>
        <w:rPr>
          <w:rFonts w:hint="eastAsia" w:ascii="仿宋_GB2312" w:hAnsi="仿宋" w:eastAsia="仿宋_GB2312"/>
          <w:color w:val="auto"/>
          <w:sz w:val="32"/>
          <w:szCs w:val="32"/>
          <w:highlight w:val="none"/>
          <w:u w:val="none"/>
          <w:lang w:eastAsia="zh-CN"/>
        </w:rPr>
        <w:t>，具体以双方合同约定为准</w:t>
      </w:r>
      <w:r>
        <w:rPr>
          <w:rFonts w:hint="eastAsia" w:ascii="仿宋_GB2312" w:hAnsi="仿宋" w:eastAsia="仿宋_GB2312"/>
          <w:color w:val="auto"/>
          <w:sz w:val="32"/>
          <w:szCs w:val="32"/>
          <w:highlight w:val="none"/>
          <w:u w:val="none"/>
        </w:rPr>
        <w:t>。</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6</w:t>
      </w:r>
      <w:r>
        <w:rPr>
          <w:rFonts w:hint="eastAsia" w:ascii="仿宋_GB2312" w:hAnsi="仿宋" w:eastAsia="仿宋_GB2312"/>
          <w:color w:val="auto"/>
          <w:sz w:val="32"/>
          <w:szCs w:val="32"/>
          <w:highlight w:val="none"/>
          <w:u w:val="none"/>
        </w:rPr>
        <w:t>、履约担保金：由双方在合同中约定。</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color w:val="auto"/>
        </w:rPr>
      </w:pPr>
      <w:r>
        <w:rPr>
          <w:rFonts w:hint="eastAsia" w:ascii="仿宋_GB2312" w:hAnsi="仿宋" w:eastAsia="仿宋_GB2312"/>
          <w:color w:val="auto"/>
          <w:sz w:val="32"/>
          <w:szCs w:val="32"/>
          <w:highlight w:val="none"/>
          <w:u w:val="none"/>
          <w:lang w:val="en-US" w:eastAsia="zh-CN"/>
        </w:rPr>
        <w:t>7</w:t>
      </w:r>
      <w:r>
        <w:rPr>
          <w:rFonts w:hint="eastAsia" w:ascii="仿宋_GB2312" w:hAnsi="仿宋" w:eastAsia="仿宋_GB2312"/>
          <w:color w:val="auto"/>
          <w:sz w:val="32"/>
          <w:szCs w:val="32"/>
          <w:highlight w:val="none"/>
          <w:u w:val="none"/>
        </w:rPr>
        <w:t>、违约责任：由双方在合同中约定。</w:t>
      </w:r>
    </w:p>
    <w:p>
      <w:pPr>
        <w:rPr>
          <w:color w:val="auto"/>
        </w:rPr>
      </w:pPr>
    </w:p>
    <w:bookmarkEnd w:id="0"/>
    <w:sectPr>
      <w:pgSz w:w="11906" w:h="16838"/>
      <w:pgMar w:top="144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Cambria">
    <w:altName w:val="FreeSerif"/>
    <w:panose1 w:val="02040503050406030204"/>
    <w:charset w:val="00"/>
    <w:family w:val="auto"/>
    <w:pitch w:val="default"/>
    <w:sig w:usb0="00000000" w:usb1="00000000" w:usb2="00000000"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9D9DC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640" w:lineRule="exact"/>
      <w:jc w:val="center"/>
      <w:outlineLvl w:val="0"/>
    </w:pPr>
    <w:rPr>
      <w:rFonts w:eastAsia="方正小标宋简体"/>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Title"/>
    <w:basedOn w:val="1"/>
    <w:next w:val="1"/>
    <w:qFormat/>
    <w:uiPriority w:val="0"/>
    <w:pPr>
      <w:spacing w:before="240" w:after="60"/>
      <w:jc w:val="center"/>
      <w:outlineLvl w:val="0"/>
    </w:pPr>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龚小蕾</cp:lastModifiedBy>
  <dcterms:modified xsi:type="dcterms:W3CDTF">2023-08-24T11:03:45Z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