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福田区残疾人就业培训宣传展示服务项目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center"/>
        <w:rPr>
          <w:rFonts w:hint="eastAsia"/>
          <w:lang w:val="en-US" w:eastAsia="zh-CN"/>
        </w:rPr>
      </w:pPr>
      <w:r>
        <w:rPr>
          <w:rFonts w:hint="eastAsia" w:ascii="方正小标宋_GBK" w:hAnsi="方正小标宋_GBK" w:eastAsia="方正小标宋_GBK" w:cs="方正小标宋_GBK"/>
          <w:b w:val="0"/>
          <w:bCs/>
          <w:sz w:val="44"/>
          <w:szCs w:val="44"/>
          <w:lang w:val="en-US" w:eastAsia="zh-CN"/>
        </w:rPr>
        <w:t>采购需求</w:t>
      </w:r>
    </w:p>
    <w:p>
      <w:pPr>
        <w:pStyle w:val="3"/>
        <w:keepNext w:val="0"/>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jc w:val="both"/>
        <w:rPr>
          <w:rFonts w:hint="eastAsia" w:ascii="黑体" w:hAnsi="黑体" w:eastAsia="黑体" w:cs="黑体"/>
          <w:b w:val="0"/>
          <w:bCs/>
          <w:sz w:val="32"/>
          <w:szCs w:val="32"/>
        </w:rPr>
      </w:pPr>
      <w:r>
        <w:rPr>
          <w:rFonts w:hint="eastAsia" w:ascii="黑体" w:hAnsi="黑体" w:eastAsia="黑体" w:cs="黑体"/>
          <w:b w:val="0"/>
          <w:bCs/>
          <w:sz w:val="32"/>
          <w:szCs w:val="32"/>
          <w:lang w:eastAsia="zh-CN"/>
        </w:rPr>
        <w:t>一、采购</w:t>
      </w:r>
      <w:r>
        <w:rPr>
          <w:rFonts w:hint="eastAsia" w:ascii="黑体" w:hAnsi="黑体" w:eastAsia="黑体" w:cs="黑体"/>
          <w:b w:val="0"/>
          <w:bCs/>
          <w:sz w:val="32"/>
          <w:szCs w:val="32"/>
        </w:rPr>
        <w:t>项目概况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firstLine="640" w:firstLineChars="200"/>
        <w:rPr>
          <w:rFonts w:hint="eastAsia" w:ascii="仿宋_GB2312" w:hAnsi="仿宋_GB2312" w:eastAsia="仿宋_GB2312" w:cs="仿宋_GB2312"/>
          <w:b w:val="0"/>
          <w:bCs w:val="0"/>
          <w:color w:val="auto"/>
          <w:sz w:val="32"/>
          <w:szCs w:val="32"/>
          <w:highlight w:val="none"/>
          <w:lang w:val="en-US" w:eastAsia="zh-CN"/>
        </w:rPr>
      </w:pPr>
      <w:bookmarkStart w:id="0" w:name="_GoBack"/>
      <w:r>
        <w:rPr>
          <w:rFonts w:hint="eastAsia" w:ascii="仿宋_GB2312" w:hAnsi="仿宋_GB2312" w:eastAsia="仿宋_GB2312" w:cs="仿宋_GB2312"/>
          <w:b w:val="0"/>
          <w:bCs w:val="0"/>
          <w:color w:val="auto"/>
          <w:sz w:val="32"/>
          <w:szCs w:val="32"/>
          <w:highlight w:val="none"/>
          <w:lang w:val="en-US" w:eastAsia="zh-CN"/>
        </w:rPr>
        <w:t xml:space="preserve">根据《中华人民共和国职业教育法》、《残疾人就业条例》等文件精神和要求，为推进福田区残疾人职业培训基地建设，加强残疾人就业培训工作宣传和展示，创造优质的残疾人就业培训服务环境，福田区残疾人综合服务中心拟通过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自行采购方式委托第三方开展福田区残疾人就业培训宣传展示服务。项目预算金额为30万元。</w:t>
      </w:r>
    </w:p>
    <w:bookmarkEnd w:id="0"/>
    <w:p>
      <w:pPr>
        <w:pStyle w:val="5"/>
        <w:keepNext w:val="0"/>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jc w:val="both"/>
        <w:rPr>
          <w:rFonts w:hint="eastAsia" w:ascii="黑体" w:hAnsi="黑体" w:eastAsia="黑体" w:cs="黑体"/>
          <w:b w:val="0"/>
          <w:bCs/>
          <w:sz w:val="32"/>
          <w:szCs w:val="32"/>
          <w:highlight w:val="none"/>
        </w:rPr>
      </w:pPr>
      <w:r>
        <w:rPr>
          <w:rFonts w:hint="eastAsia" w:ascii="黑体" w:hAnsi="黑体" w:eastAsia="黑体" w:cs="黑体"/>
          <w:b w:val="0"/>
          <w:bCs w:val="0"/>
          <w:sz w:val="32"/>
          <w:szCs w:val="32"/>
          <w:highlight w:val="none"/>
          <w:lang w:val="en-US" w:eastAsia="zh-CN"/>
        </w:rPr>
        <w:t>二、</w:t>
      </w:r>
      <w:r>
        <w:rPr>
          <w:rFonts w:hint="eastAsia" w:ascii="黑体" w:hAnsi="黑体" w:eastAsia="黑体" w:cs="黑体"/>
          <w:b w:val="0"/>
          <w:bCs/>
          <w:sz w:val="32"/>
          <w:szCs w:val="32"/>
          <w:highlight w:val="none"/>
        </w:rPr>
        <w:t>项目管理</w:t>
      </w:r>
      <w:r>
        <w:rPr>
          <w:rFonts w:hint="eastAsia" w:ascii="黑体" w:hAnsi="黑体" w:eastAsia="黑体" w:cs="黑体"/>
          <w:b w:val="0"/>
          <w:bCs/>
          <w:sz w:val="32"/>
          <w:szCs w:val="32"/>
          <w:highlight w:val="none"/>
          <w:lang w:eastAsia="zh-CN"/>
        </w:rPr>
        <w:t>和服务</w:t>
      </w:r>
      <w:r>
        <w:rPr>
          <w:rFonts w:hint="eastAsia" w:ascii="黑体" w:hAnsi="黑体" w:eastAsia="黑体" w:cs="黑体"/>
          <w:b w:val="0"/>
          <w:bCs/>
          <w:sz w:val="32"/>
          <w:szCs w:val="32"/>
          <w:highlight w:val="none"/>
        </w:rPr>
        <w:t>要求</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1.项目预算资金包含项目设计、执行、物料、人力成本、税金等一切事项费用。</w:t>
      </w:r>
    </w:p>
    <w:p>
      <w:pPr>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2.承接单位应指定一名项目负责人。承接单位资质要包括：</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60" w:lineRule="exact"/>
        <w:ind w:left="638" w:leftChars="304" w:firstLine="0" w:firstLineChars="0"/>
        <w:jc w:val="both"/>
        <w:rPr>
          <w:rStyle w:val="12"/>
          <w:rFonts w:hint="eastAsia" w:ascii="仿宋_GB2312" w:hAnsi="Times New Roman" w:eastAsia="仿宋_GB2312" w:cs="Times New Roman"/>
          <w:b w:val="0"/>
          <w:bCs w:val="0"/>
          <w:color w:val="auto"/>
          <w:spacing w:val="8"/>
          <w:sz w:val="32"/>
          <w:szCs w:val="32"/>
          <w:highlight w:val="none"/>
          <w:lang w:val="en-US" w:eastAsia="zh-CN"/>
        </w:rPr>
      </w:pPr>
      <w:r>
        <w:rPr>
          <w:rStyle w:val="12"/>
          <w:rFonts w:hint="eastAsia" w:ascii="仿宋_GB2312" w:hAnsi="Times New Roman" w:eastAsia="仿宋_GB2312" w:cs="Times New Roman"/>
          <w:b w:val="0"/>
          <w:bCs w:val="0"/>
          <w:color w:val="auto"/>
          <w:spacing w:val="8"/>
          <w:sz w:val="32"/>
          <w:szCs w:val="32"/>
          <w:highlight w:val="none"/>
          <w:lang w:val="en-US" w:eastAsia="zh-CN"/>
        </w:rPr>
        <w:t>（1）中华人民共和国境内注册的法人或者其他组织，</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60" w:lineRule="exact"/>
        <w:jc w:val="both"/>
        <w:rPr>
          <w:rStyle w:val="12"/>
          <w:rFonts w:hint="default" w:ascii="仿宋_GB2312" w:hAnsi="Times New Roman" w:eastAsia="仿宋_GB2312" w:cs="Times New Roman"/>
          <w:b w:val="0"/>
          <w:bCs w:val="0"/>
          <w:color w:val="auto"/>
          <w:spacing w:val="8"/>
          <w:sz w:val="32"/>
          <w:szCs w:val="32"/>
          <w:highlight w:val="none"/>
          <w:lang w:val="en-US" w:eastAsia="zh-CN"/>
        </w:rPr>
      </w:pPr>
      <w:r>
        <w:rPr>
          <w:rStyle w:val="12"/>
          <w:rFonts w:hint="eastAsia" w:ascii="仿宋_GB2312" w:hAnsi="Times New Roman" w:eastAsia="仿宋_GB2312" w:cs="Times New Roman"/>
          <w:b w:val="0"/>
          <w:bCs w:val="0"/>
          <w:color w:val="auto"/>
          <w:spacing w:val="8"/>
          <w:sz w:val="32"/>
          <w:szCs w:val="32"/>
          <w:highlight w:val="none"/>
          <w:lang w:val="en-US" w:eastAsia="zh-CN"/>
        </w:rPr>
        <w:t>符合《中华人民共和国政府采购法》第二十二条第一款规定的条件。</w:t>
      </w:r>
    </w:p>
    <w:p>
      <w:pPr>
        <w:pStyle w:val="5"/>
        <w:keepNext w:val="0"/>
        <w:keepLines w:val="0"/>
        <w:pageBreakBefore w:val="0"/>
        <w:widowControl w:val="0"/>
        <w:numPr>
          <w:ilvl w:val="0"/>
          <w:numId w:val="1"/>
        </w:numPr>
        <w:kinsoku/>
        <w:wordWrap/>
        <w:overflowPunct/>
        <w:topLinePunct w:val="0"/>
        <w:autoSpaceDE/>
        <w:autoSpaceDN/>
        <w:bidi w:val="0"/>
        <w:snapToGrid/>
        <w:spacing w:before="0" w:after="0" w:line="560" w:lineRule="exact"/>
        <w:ind w:firstLine="672" w:firstLineChars="200"/>
        <w:jc w:val="both"/>
        <w:rPr>
          <w:rStyle w:val="12"/>
          <w:rFonts w:hint="eastAsia" w:ascii="仿宋_GB2312" w:hAnsi="Times New Roman" w:eastAsia="仿宋_GB2312" w:cs="Times New Roman"/>
          <w:b w:val="0"/>
          <w:bCs w:val="0"/>
          <w:color w:val="auto"/>
          <w:spacing w:val="8"/>
          <w:sz w:val="32"/>
          <w:szCs w:val="32"/>
          <w:highlight w:val="none"/>
          <w:lang w:val="en-US" w:eastAsia="zh-CN"/>
        </w:rPr>
      </w:pPr>
      <w:r>
        <w:rPr>
          <w:rStyle w:val="12"/>
          <w:rFonts w:hint="eastAsia" w:ascii="仿宋_GB2312" w:hAnsi="Times New Roman" w:eastAsia="仿宋_GB2312" w:cs="Times New Roman"/>
          <w:b w:val="0"/>
          <w:bCs w:val="0"/>
          <w:color w:val="auto"/>
          <w:spacing w:val="8"/>
          <w:sz w:val="32"/>
          <w:szCs w:val="32"/>
          <w:highlight w:val="none"/>
          <w:lang w:val="en-US" w:eastAsia="zh-CN"/>
        </w:rPr>
        <w:t>征选截止时间前，未被列入失信被执行人、重大税收违法案件当事人名单、政府采购严重</w:t>
      </w:r>
      <w:r>
        <w:rPr>
          <w:rFonts w:hint="eastAsia" w:ascii="仿宋_GB2312" w:hAnsi="仿宋_GB2312" w:eastAsia="仿宋_GB2312" w:cs="仿宋_GB2312"/>
          <w:b w:val="0"/>
          <w:bCs w:val="0"/>
          <w:color w:val="auto"/>
          <w:kern w:val="44"/>
          <w:sz w:val="32"/>
          <w:szCs w:val="32"/>
          <w:highlight w:val="none"/>
          <w:lang w:val="en-US" w:eastAsia="zh-CN" w:bidi="ar-SA"/>
        </w:rPr>
        <w:t>违法</w:t>
      </w:r>
      <w:r>
        <w:rPr>
          <w:rStyle w:val="12"/>
          <w:rFonts w:hint="eastAsia" w:ascii="仿宋_GB2312" w:hAnsi="Times New Roman" w:eastAsia="仿宋_GB2312" w:cs="Times New Roman"/>
          <w:b w:val="0"/>
          <w:bCs w:val="0"/>
          <w:color w:val="auto"/>
          <w:spacing w:val="8"/>
          <w:sz w:val="32"/>
          <w:szCs w:val="32"/>
          <w:highlight w:val="none"/>
          <w:lang w:val="en-US" w:eastAsia="zh-CN"/>
        </w:rPr>
        <w:t>失信行为记录名单。</w:t>
      </w:r>
    </w:p>
    <w:p>
      <w:pPr>
        <w:pStyle w:val="5"/>
        <w:keepNext w:val="0"/>
        <w:keepLines w:val="0"/>
        <w:pageBreakBefore w:val="0"/>
        <w:widowControl w:val="0"/>
        <w:numPr>
          <w:ilvl w:val="0"/>
          <w:numId w:val="1"/>
        </w:numPr>
        <w:kinsoku/>
        <w:wordWrap/>
        <w:overflowPunct/>
        <w:topLinePunct w:val="0"/>
        <w:autoSpaceDE/>
        <w:autoSpaceDN/>
        <w:bidi w:val="0"/>
        <w:snapToGrid/>
        <w:spacing w:before="0" w:after="0" w:line="560" w:lineRule="exact"/>
        <w:ind w:firstLine="672" w:firstLineChars="200"/>
        <w:jc w:val="both"/>
        <w:rPr>
          <w:rStyle w:val="12"/>
          <w:rFonts w:hint="eastAsia" w:ascii="仿宋_GB2312" w:hAnsi="Times New Roman" w:eastAsia="仿宋_GB2312" w:cs="Times New Roman"/>
          <w:b w:val="0"/>
          <w:bCs w:val="0"/>
          <w:color w:val="auto"/>
          <w:spacing w:val="8"/>
          <w:sz w:val="32"/>
          <w:szCs w:val="32"/>
          <w:highlight w:val="none"/>
          <w:lang w:val="en-US" w:eastAsia="zh-CN"/>
        </w:rPr>
      </w:pPr>
      <w:r>
        <w:rPr>
          <w:rStyle w:val="12"/>
          <w:rFonts w:hint="eastAsia" w:ascii="仿宋_GB2312" w:hAnsi="Times New Roman" w:eastAsia="仿宋_GB2312" w:cs="Times New Roman"/>
          <w:b w:val="0"/>
          <w:bCs w:val="0"/>
          <w:color w:val="auto"/>
          <w:spacing w:val="8"/>
          <w:sz w:val="32"/>
          <w:szCs w:val="32"/>
          <w:highlight w:val="none"/>
          <w:lang w:val="en-US" w:eastAsia="zh-CN"/>
        </w:rPr>
        <w:t>参与本项目政府采购活动时不存在被有关部门禁止参与政府采购活动且在有效期内的情况。</w:t>
      </w:r>
    </w:p>
    <w:p>
      <w:pPr>
        <w:pStyle w:val="5"/>
        <w:keepNext w:val="0"/>
        <w:keepLines w:val="0"/>
        <w:pageBreakBefore w:val="0"/>
        <w:widowControl w:val="0"/>
        <w:numPr>
          <w:ilvl w:val="0"/>
          <w:numId w:val="1"/>
        </w:numPr>
        <w:kinsoku/>
        <w:wordWrap/>
        <w:overflowPunct/>
        <w:topLinePunct w:val="0"/>
        <w:autoSpaceDE/>
        <w:autoSpaceDN/>
        <w:bidi w:val="0"/>
        <w:snapToGrid/>
        <w:spacing w:before="0" w:after="0" w:line="560" w:lineRule="exact"/>
        <w:ind w:firstLine="672" w:firstLineChars="200"/>
        <w:jc w:val="both"/>
        <w:rPr>
          <w:rStyle w:val="12"/>
          <w:rFonts w:hint="eastAsia" w:ascii="仿宋_GB2312" w:hAnsi="Times New Roman" w:eastAsia="仿宋_GB2312" w:cs="Times New Roman"/>
          <w:b w:val="0"/>
          <w:bCs w:val="0"/>
          <w:color w:val="auto"/>
          <w:spacing w:val="8"/>
          <w:sz w:val="32"/>
          <w:szCs w:val="32"/>
          <w:highlight w:val="none"/>
          <w:lang w:val="en-US" w:eastAsia="zh-CN"/>
        </w:rPr>
      </w:pPr>
      <w:r>
        <w:rPr>
          <w:rStyle w:val="12"/>
          <w:rFonts w:hint="eastAsia" w:ascii="仿宋_GB2312" w:hAnsi="Times New Roman" w:eastAsia="仿宋_GB2312" w:cs="Times New Roman"/>
          <w:b w:val="0"/>
          <w:bCs w:val="0"/>
          <w:color w:val="auto"/>
          <w:spacing w:val="8"/>
          <w:sz w:val="32"/>
          <w:szCs w:val="32"/>
          <w:highlight w:val="none"/>
          <w:lang w:val="en-US" w:eastAsia="zh-CN"/>
        </w:rPr>
        <w:t>本项目不接受联合体竞选。</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3.项目需求</w:t>
      </w:r>
    </w:p>
    <w:p>
      <w:pPr>
        <w:spacing w:line="590" w:lineRule="exact"/>
        <w:ind w:firstLine="640" w:firstLineChars="200"/>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eastAsia="仿宋_GB2312"/>
          <w:sz w:val="32"/>
          <w:szCs w:val="32"/>
          <w:highlight w:val="none"/>
          <w:lang w:val="en-US" w:eastAsia="zh-CN"/>
        </w:rPr>
        <w:t>根据项目情况实地考察后</w:t>
      </w:r>
      <w:r>
        <w:rPr>
          <w:rFonts w:hint="eastAsia" w:ascii="仿宋_GB2312" w:hAnsi="仿宋_GB2312" w:eastAsia="仿宋_GB2312" w:cs="仿宋_GB2312"/>
          <w:b w:val="0"/>
          <w:bCs w:val="0"/>
          <w:color w:val="auto"/>
          <w:kern w:val="2"/>
          <w:sz w:val="32"/>
          <w:szCs w:val="32"/>
          <w:highlight w:val="none"/>
          <w:lang w:val="en-US" w:eastAsia="zh-CN" w:bidi="ar-SA"/>
        </w:rPr>
        <w:t>按照整体环境风格</w:t>
      </w:r>
      <w:r>
        <w:rPr>
          <w:rFonts w:hint="eastAsia" w:ascii="仿宋_GB2312" w:eastAsia="仿宋_GB2312"/>
          <w:sz w:val="32"/>
          <w:szCs w:val="32"/>
          <w:highlight w:val="none"/>
          <w:lang w:val="en-US" w:eastAsia="zh-CN"/>
        </w:rPr>
        <w:t>提供设计方案、进度安排及报价材料。</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jc w:val="both"/>
        <w:rPr>
          <w:rFonts w:hint="eastAsia" w:ascii="仿宋_GB2312" w:hAnsi="Times New Roman" w:eastAsia="仿宋_GB2312" w:cs="Times New Roman"/>
          <w:b w:val="0"/>
          <w:bCs w:val="0"/>
          <w:kern w:val="2"/>
          <w:sz w:val="32"/>
          <w:szCs w:val="32"/>
          <w:highlight w:val="none"/>
          <w:lang w:val="en-US" w:eastAsia="zh-CN" w:bidi="ar-SA"/>
        </w:rPr>
      </w:pPr>
      <w:r>
        <w:rPr>
          <w:rFonts w:hint="eastAsia" w:ascii="仿宋_GB2312" w:hAnsi="Times New Roman" w:eastAsia="仿宋_GB2312" w:cs="Times New Roman"/>
          <w:b w:val="0"/>
          <w:bCs w:val="0"/>
          <w:kern w:val="2"/>
          <w:sz w:val="32"/>
          <w:szCs w:val="32"/>
          <w:highlight w:val="none"/>
          <w:lang w:val="en-US" w:eastAsia="zh-CN" w:bidi="ar-SA"/>
        </w:rPr>
        <w:t>（2）负责各项目的制作、安装并在规定时间内完成项目实施。</w:t>
      </w:r>
    </w:p>
    <w:p>
      <w:pPr>
        <w:pStyle w:val="3"/>
        <w:keepNext w:val="0"/>
        <w:keepLines w:val="0"/>
        <w:pageBreakBefore w:val="0"/>
        <w:widowControl w:val="0"/>
        <w:kinsoku/>
        <w:wordWrap/>
        <w:overflowPunct/>
        <w:topLinePunct w:val="0"/>
        <w:autoSpaceDE/>
        <w:autoSpaceDN/>
        <w:bidi w:val="0"/>
        <w:snapToGrid/>
        <w:spacing w:before="0" w:after="0" w:line="560" w:lineRule="exact"/>
        <w:ind w:firstLine="640" w:firstLineChars="200"/>
        <w:jc w:val="both"/>
        <w:rPr>
          <w:rFonts w:hint="eastAsia" w:ascii="仿宋_GB2312" w:hAnsi="仿宋_GB2312" w:eastAsia="仿宋_GB2312" w:cs="仿宋_GB2312"/>
          <w:b w:val="0"/>
          <w:bCs w:val="0"/>
          <w:i/>
          <w:iCs/>
          <w:color w:val="auto"/>
          <w:sz w:val="32"/>
          <w:szCs w:val="32"/>
          <w:highlight w:val="none"/>
          <w:lang w:val="en-US" w:eastAsia="zh-CN"/>
        </w:rPr>
      </w:pPr>
      <w:r>
        <w:rPr>
          <w:rFonts w:hint="eastAsia" w:ascii="黑体" w:hAnsi="黑体" w:eastAsia="黑体" w:cs="黑体"/>
          <w:b w:val="0"/>
          <w:bCs/>
          <w:sz w:val="32"/>
          <w:szCs w:val="32"/>
          <w:highlight w:val="none"/>
          <w:lang w:eastAsia="zh-CN"/>
        </w:rPr>
        <w:t>三</w:t>
      </w:r>
      <w:r>
        <w:rPr>
          <w:rFonts w:hint="eastAsia" w:ascii="黑体" w:hAnsi="黑体" w:eastAsia="黑体" w:cs="黑体"/>
          <w:b w:val="0"/>
          <w:bCs/>
          <w:sz w:val="32"/>
          <w:szCs w:val="32"/>
          <w:highlight w:val="none"/>
        </w:rPr>
        <w:t>、商务需求</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（一）服务期：合同签订之日起</w:t>
      </w:r>
      <w:r>
        <w:rPr>
          <w:rFonts w:hint="eastAsia" w:ascii="仿宋_GB2312" w:hAnsi="仿宋_GB2312" w:eastAsia="仿宋_GB2312" w:cs="仿宋_GB2312"/>
          <w:b w:val="0"/>
          <w:bCs w:val="0"/>
          <w:color w:val="auto"/>
          <w:sz w:val="32"/>
          <w:szCs w:val="32"/>
          <w:highlight w:val="none"/>
          <w:lang w:val="en-US" w:eastAsia="zh-CN"/>
        </w:rPr>
        <w:t>至2024年1月30日止。</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（二）服务地点：福康之家。</w:t>
      </w:r>
    </w:p>
    <w:p>
      <w:pPr>
        <w:keepNext w:val="0"/>
        <w:keepLines w:val="0"/>
        <w:pageBreakBefore w:val="0"/>
        <w:numPr>
          <w:ilvl w:val="0"/>
          <w:numId w:val="0"/>
        </w:numPr>
        <w:kinsoku/>
        <w:wordWrap/>
        <w:overflowPunct/>
        <w:topLinePunct w:val="0"/>
        <w:bidi w:val="0"/>
        <w:snapToGrid w:val="0"/>
        <w:spacing w:line="579"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（三）报价要求：</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 xml:space="preserve">1.本项目服务费应包括服务成本、法定税费和企业的利润。由企业根据采购文件所提供的资料自行测算报价；                     </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jc w:val="both"/>
        <w:rPr>
          <w:rFonts w:hint="default"/>
          <w:lang w:val="en-US" w:eastAsia="zh-CN"/>
        </w:rPr>
      </w:pPr>
      <w:r>
        <w:rPr>
          <w:rFonts w:hint="eastAsia" w:ascii="仿宋_GB2312" w:hAnsi="仿宋_GB2312" w:eastAsia="仿宋_GB2312" w:cs="仿宋_GB2312"/>
          <w:b w:val="0"/>
          <w:bCs w:val="0"/>
          <w:sz w:val="32"/>
          <w:szCs w:val="32"/>
          <w:highlight w:val="none"/>
          <w:lang w:val="en-US" w:eastAsia="zh-CN"/>
        </w:rPr>
        <w:t>2.响应人应根据本企业的成本自行决定报价，但不得以低于其企业成本的报价；</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3.响应人的报价不得超过项目预算金额；</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4.响应人的报价，应是本项目采购范围和采购文件及合同条款上所列的各项内容中所述的全部，不得以任何理由予以重复，并以响应人最终提出的综合单价或者总价为依据；</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5.除非采购人通过修改采购文件予以更正，否则，响应人应毫无例外地按响应文件所列的清单中项目和数量填报综合单价和合价；</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6.响应人应先到项目地点踏勘以充分了解项目的位置、情况、道路及任何其它足以影响报价的情况，任何因忽视或者误解项目情况而导致的索赔或者服务期限延长申请将不获批准；</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7.响应人不得期望通过索赔等方式获取报价补偿，否则，除可能遭到拒绝外，还可能将被作为不良行为记录在案，并可能影响其以后参加政府采购的项目投标。各响应人在报价时，应充分考虑报价的风险。</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（四）付款方式：（根据合同情况商定）</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jc w:val="both"/>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（五）验收：采购人在项目服务期到期后，将按照合同约定的服务内容对供应商的服务进行逐项验收。验收结果作为服务费尾款支付的重要依据。</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（六）违约责任：（根据合同情况商定）</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（七）其他：</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1.承接单位必须对该项目所涉及的相应内容、数据予以保密，项目实施过程所形成的档案资料均属采购人所有。</w:t>
      </w:r>
    </w:p>
    <w:p>
      <w:pPr>
        <w:pStyle w:val="5"/>
        <w:keepNext w:val="0"/>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2.响应截止时间：2023年11月7日。</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val="en-US" w:eastAsia="zh-CN"/>
        </w:rPr>
        <w:t>3.</w:t>
      </w:r>
      <w:r>
        <w:rPr>
          <w:rFonts w:hint="eastAsia" w:ascii="仿宋_GB2312" w:hAnsi="仿宋_GB2312" w:eastAsia="仿宋_GB2312" w:cs="仿宋_GB2312"/>
          <w:color w:val="auto"/>
          <w:sz w:val="32"/>
          <w:szCs w:val="32"/>
          <w:highlight w:val="none"/>
          <w:shd w:val="clear" w:color="auto" w:fill="FFFFFF"/>
        </w:rPr>
        <w:t>请将以下资料于响应截止时间前送至区</w:t>
      </w:r>
      <w:r>
        <w:rPr>
          <w:rFonts w:hint="eastAsia" w:ascii="仿宋_GB2312" w:hAnsi="仿宋_GB2312" w:eastAsia="仿宋_GB2312" w:cs="仿宋_GB2312"/>
          <w:color w:val="auto"/>
          <w:sz w:val="32"/>
          <w:szCs w:val="32"/>
          <w:highlight w:val="none"/>
          <w:shd w:val="clear" w:color="auto" w:fill="FFFFFF"/>
          <w:lang w:eastAsia="zh-CN"/>
        </w:rPr>
        <w:t>残疾人综合服务中心办公室</w:t>
      </w:r>
      <w:r>
        <w:rPr>
          <w:rFonts w:hint="eastAsia" w:ascii="仿宋_GB2312" w:hAnsi="仿宋_GB2312" w:eastAsia="仿宋_GB2312" w:cs="仿宋_GB2312"/>
          <w:color w:val="auto"/>
          <w:sz w:val="32"/>
          <w:szCs w:val="32"/>
          <w:highlight w:val="none"/>
          <w:shd w:val="clear" w:color="auto" w:fill="FFFFFF"/>
        </w:rPr>
        <w:t>（联系电话：0755-</w:t>
      </w:r>
      <w:r>
        <w:rPr>
          <w:rFonts w:hint="eastAsia" w:ascii="仿宋_GB2312" w:hAnsi="仿宋_GB2312" w:eastAsia="仿宋_GB2312" w:cs="仿宋_GB2312"/>
          <w:color w:val="auto"/>
          <w:sz w:val="32"/>
          <w:szCs w:val="32"/>
          <w:highlight w:val="none"/>
          <w:shd w:val="clear" w:color="auto" w:fill="FFFFFF"/>
          <w:lang w:val="en-US" w:eastAsia="zh-CN"/>
        </w:rPr>
        <w:t>83861768</w:t>
      </w:r>
      <w:r>
        <w:rPr>
          <w:rFonts w:hint="eastAsia" w:ascii="仿宋_GB2312" w:hAnsi="仿宋_GB2312" w:eastAsia="仿宋_GB2312" w:cs="仿宋_GB2312"/>
          <w:color w:val="auto"/>
          <w:sz w:val="32"/>
          <w:szCs w:val="32"/>
          <w:highlight w:val="none"/>
          <w:shd w:val="clear" w:color="auto" w:fill="FFFFFF"/>
        </w:rPr>
        <w:t>，地址：福田区梅林梅坳七路福康之家</w:t>
      </w:r>
      <w:r>
        <w:rPr>
          <w:rFonts w:hint="eastAsia" w:ascii="仿宋_GB2312" w:hAnsi="仿宋_GB2312" w:eastAsia="仿宋_GB2312" w:cs="仿宋_GB2312"/>
          <w:color w:val="auto"/>
          <w:sz w:val="32"/>
          <w:szCs w:val="32"/>
          <w:highlight w:val="none"/>
          <w:shd w:val="clear" w:color="auto" w:fill="FFFFFF"/>
          <w:lang w:val="en-US" w:eastAsia="zh-CN"/>
        </w:rPr>
        <w:t>618</w:t>
      </w:r>
      <w:r>
        <w:rPr>
          <w:rFonts w:hint="eastAsia" w:ascii="仿宋_GB2312" w:hAnsi="仿宋_GB2312" w:eastAsia="仿宋_GB2312" w:cs="仿宋_GB2312"/>
          <w:color w:val="auto"/>
          <w:sz w:val="32"/>
          <w:szCs w:val="32"/>
          <w:highlight w:val="none"/>
          <w:shd w:val="clear" w:color="auto" w:fill="FFFFFF"/>
        </w:rPr>
        <w:t>室；</w:t>
      </w:r>
      <w:r>
        <w:rPr>
          <w:rFonts w:hint="eastAsia" w:ascii="仿宋_GB2312" w:hAnsi="仿宋_GB2312" w:eastAsia="仿宋_GB2312" w:cs="仿宋_GB2312"/>
          <w:color w:val="auto"/>
          <w:sz w:val="32"/>
          <w:szCs w:val="32"/>
          <w:highlight w:val="none"/>
          <w:shd w:val="clear" w:color="auto" w:fill="FFFFFF"/>
          <w:lang w:eastAsia="zh-CN"/>
        </w:rPr>
        <w:t>电子版</w:t>
      </w:r>
      <w:r>
        <w:rPr>
          <w:rFonts w:hint="eastAsia" w:ascii="仿宋_GB2312" w:hAnsi="仿宋_GB2312" w:eastAsia="仿宋_GB2312" w:cs="仿宋_GB2312"/>
          <w:color w:val="auto"/>
          <w:sz w:val="32"/>
          <w:szCs w:val="32"/>
          <w:highlight w:val="none"/>
          <w:shd w:val="clear" w:color="auto" w:fill="FFFFFF"/>
        </w:rPr>
        <w:t>投递邮箱：</w:t>
      </w:r>
      <w:r>
        <w:rPr>
          <w:rFonts w:hint="eastAsia" w:ascii="仿宋_GB2312" w:hAnsi="仿宋_GB2312" w:eastAsia="仿宋_GB2312" w:cs="仿宋_GB2312"/>
          <w:color w:val="auto"/>
          <w:sz w:val="32"/>
          <w:szCs w:val="32"/>
          <w:highlight w:val="none"/>
          <w:shd w:val="clear" w:color="auto" w:fill="FFFFFF"/>
          <w:lang w:val="en-US" w:eastAsia="zh-CN"/>
        </w:rPr>
        <w:t>Cl@</w:t>
      </w:r>
      <w:r>
        <w:rPr>
          <w:rFonts w:hint="eastAsia" w:ascii="仿宋_GB2312" w:hAnsi="仿宋_GB2312" w:eastAsia="仿宋_GB2312" w:cs="仿宋_GB2312"/>
          <w:color w:val="auto"/>
          <w:sz w:val="32"/>
          <w:szCs w:val="32"/>
          <w:highlight w:val="none"/>
          <w:shd w:val="clear" w:color="auto" w:fill="FFFFFF"/>
        </w:rPr>
        <w:t>szft.gov.cn。）</w:t>
      </w:r>
    </w:p>
    <w:p>
      <w:pPr>
        <w:pStyle w:val="9"/>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1055" w:leftChars="0" w:right="0" w:rightChars="0" w:hanging="425" w:firstLineChars="0"/>
        <w:jc w:val="both"/>
        <w:textAlignment w:val="auto"/>
        <w:outlineLvl w:val="9"/>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营业执照等相关资质复印件；</w:t>
      </w:r>
    </w:p>
    <w:p>
      <w:pPr>
        <w:pStyle w:val="9"/>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1055" w:leftChars="0" w:right="0" w:rightChars="0" w:hanging="425" w:firstLineChars="0"/>
        <w:jc w:val="both"/>
        <w:textAlignment w:val="auto"/>
        <w:outlineLvl w:val="9"/>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设计方案、进度安排及报价单（应以项目清单格式内容报价）；</w:t>
      </w:r>
    </w:p>
    <w:p>
      <w:pPr>
        <w:pStyle w:val="9"/>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1055" w:leftChars="0" w:right="0" w:rightChars="0" w:hanging="425" w:firstLineChars="0"/>
        <w:jc w:val="both"/>
        <w:textAlignment w:val="auto"/>
        <w:outlineLvl w:val="9"/>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公司简介；</w:t>
      </w:r>
    </w:p>
    <w:p>
      <w:pPr>
        <w:pStyle w:val="9"/>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1055" w:leftChars="0" w:right="0" w:rightChars="0" w:hanging="425" w:firstLineChars="0"/>
        <w:jc w:val="both"/>
        <w:textAlignment w:val="auto"/>
        <w:outlineLvl w:val="9"/>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项目相关案例、业绩等；</w:t>
      </w:r>
    </w:p>
    <w:p>
      <w:pPr>
        <w:pStyle w:val="9"/>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1055" w:leftChars="0" w:right="0" w:rightChars="0" w:hanging="425" w:firstLineChars="0"/>
        <w:jc w:val="both"/>
        <w:textAlignment w:val="auto"/>
        <w:outlineLvl w:val="9"/>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政府采购投标及履约承诺函；</w:t>
      </w:r>
    </w:p>
    <w:p>
      <w:pPr>
        <w:pStyle w:val="9"/>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1055" w:leftChars="0" w:right="0" w:rightChars="0" w:hanging="425" w:firstLineChars="0"/>
        <w:jc w:val="both"/>
        <w:textAlignment w:val="auto"/>
        <w:outlineLvl w:val="9"/>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其他资料。</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以上资料均需加盖单位公章。</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shd w:val="clear" w:color="auto" w:fill="FFFFFF"/>
        </w:rPr>
      </w:pP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3840" w:firstLineChars="1200"/>
        <w:jc w:val="both"/>
        <w:textAlignment w:val="auto"/>
        <w:outlineLvl w:val="9"/>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福田区残疾人综合服务中心</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5120" w:firstLineChars="1600"/>
        <w:jc w:val="both"/>
        <w:textAlignment w:val="auto"/>
        <w:outlineLvl w:val="9"/>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val="en-US" w:eastAsia="zh-CN"/>
        </w:rPr>
        <w:t>2023年11月1日</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snapToGrid w:val="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A01C8"/>
    <w:multiLevelType w:val="singleLevel"/>
    <w:tmpl w:val="AF5A01C8"/>
    <w:lvl w:ilvl="0" w:tentative="0">
      <w:start w:val="2"/>
      <w:numFmt w:val="decimal"/>
      <w:suff w:val="nothing"/>
      <w:lvlText w:val="（%1）"/>
      <w:lvlJc w:val="left"/>
    </w:lvl>
  </w:abstractNum>
  <w:abstractNum w:abstractNumId="1">
    <w:nsid w:val="715AAE06"/>
    <w:multiLevelType w:val="singleLevel"/>
    <w:tmpl w:val="715AAE06"/>
    <w:lvl w:ilvl="0" w:tentative="0">
      <w:start w:val="1"/>
      <w:numFmt w:val="decimal"/>
      <w:lvlText w:val="(%1)"/>
      <w:lvlJc w:val="left"/>
      <w:pPr>
        <w:ind w:left="105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ZjZhMjk5MTAxMmU3OWUwMTk3MDRhMTUwMjBjOTUifQ=="/>
  </w:docVars>
  <w:rsids>
    <w:rsidRoot w:val="0E202A31"/>
    <w:rsid w:val="007E6239"/>
    <w:rsid w:val="03255F87"/>
    <w:rsid w:val="033E0943"/>
    <w:rsid w:val="073010BA"/>
    <w:rsid w:val="077E7374"/>
    <w:rsid w:val="0B201DA5"/>
    <w:rsid w:val="0B576CBD"/>
    <w:rsid w:val="0E202A31"/>
    <w:rsid w:val="1030785A"/>
    <w:rsid w:val="1276519B"/>
    <w:rsid w:val="14FA667D"/>
    <w:rsid w:val="168461FE"/>
    <w:rsid w:val="173A7524"/>
    <w:rsid w:val="1CE912A0"/>
    <w:rsid w:val="1E4B548A"/>
    <w:rsid w:val="2234240F"/>
    <w:rsid w:val="25D93828"/>
    <w:rsid w:val="2605674A"/>
    <w:rsid w:val="270B1332"/>
    <w:rsid w:val="2C3D7EF0"/>
    <w:rsid w:val="2D432B17"/>
    <w:rsid w:val="2F742A09"/>
    <w:rsid w:val="31594303"/>
    <w:rsid w:val="33B50A02"/>
    <w:rsid w:val="34904FFE"/>
    <w:rsid w:val="3735540A"/>
    <w:rsid w:val="39356C7B"/>
    <w:rsid w:val="41E2728D"/>
    <w:rsid w:val="432C1756"/>
    <w:rsid w:val="45695B71"/>
    <w:rsid w:val="469C5405"/>
    <w:rsid w:val="47EB04BF"/>
    <w:rsid w:val="4C022D66"/>
    <w:rsid w:val="4E086BA9"/>
    <w:rsid w:val="4F0C5E59"/>
    <w:rsid w:val="4FCF4EC0"/>
    <w:rsid w:val="558F4155"/>
    <w:rsid w:val="56CD31B6"/>
    <w:rsid w:val="593E1BD9"/>
    <w:rsid w:val="5C714EA6"/>
    <w:rsid w:val="5C810166"/>
    <w:rsid w:val="5FB76B2A"/>
    <w:rsid w:val="64735444"/>
    <w:rsid w:val="66EE3901"/>
    <w:rsid w:val="678E173D"/>
    <w:rsid w:val="6E4D1E68"/>
    <w:rsid w:val="70966BA6"/>
    <w:rsid w:val="710E7B09"/>
    <w:rsid w:val="722B604B"/>
    <w:rsid w:val="78C004F9"/>
    <w:rsid w:val="7C0F2ED6"/>
    <w:rsid w:val="7DCB23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jc w:val="left"/>
      <w:outlineLvl w:val="0"/>
    </w:pPr>
    <w:rPr>
      <w:rFonts w:hint="eastAsia" w:ascii="宋体" w:hAnsi="宋体" w:eastAsia="宋体" w:cs="Times New Roman"/>
      <w:b/>
      <w:kern w:val="44"/>
      <w:sz w:val="48"/>
      <w:szCs w:val="48"/>
    </w:rPr>
  </w:style>
  <w:style w:type="paragraph" w:styleId="3">
    <w:name w:val="heading 2"/>
    <w:basedOn w:val="4"/>
    <w:next w:val="5"/>
    <w:unhideWhenUsed/>
    <w:qFormat/>
    <w:uiPriority w:val="0"/>
    <w:pPr>
      <w:adjustRightInd w:val="0"/>
      <w:jc w:val="center"/>
      <w:textAlignment w:val="baseline"/>
      <w:outlineLvl w:val="1"/>
    </w:pPr>
    <w:rPr>
      <w:bCs w:val="0"/>
      <w:kern w:val="0"/>
      <w:sz w:val="24"/>
      <w:szCs w:val="20"/>
    </w:rPr>
  </w:style>
  <w:style w:type="paragraph" w:styleId="4">
    <w:name w:val="heading 3"/>
    <w:basedOn w:val="5"/>
    <w:next w:val="1"/>
    <w:unhideWhenUsed/>
    <w:qFormat/>
    <w:uiPriority w:val="0"/>
    <w:pPr>
      <w:spacing w:before="260" w:after="260" w:line="240" w:lineRule="auto"/>
      <w:outlineLvl w:val="2"/>
    </w:pPr>
    <w:rPr>
      <w:rFonts w:ascii="宋体" w:hAnsi="宋体" w:eastAsia="宋体"/>
      <w:szCs w:val="32"/>
    </w:rPr>
  </w:style>
  <w:style w:type="paragraph" w:styleId="5">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1307</Words>
  <Characters>1379</Characters>
  <Lines>0</Lines>
  <Paragraphs>0</Paragraphs>
  <TotalTime>72</TotalTime>
  <ScaleCrop>false</ScaleCrop>
  <LinksUpToDate>false</LinksUpToDate>
  <CharactersWithSpaces>1383</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2018-11-16T07:05:00Z</dcterms:created>
  <dc:creator>609b</dc:creator>
  <cp:lastModifiedBy>ztt</cp:lastModifiedBy>
  <cp:lastPrinted>2023-11-01T01:11:16Z</cp:lastPrinted>
  <dcterms:modified xsi:type="dcterms:W3CDTF">2023-11-01T02:37:59Z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861228D7DF684A3BB1DA80AD48FE72AA_13</vt:lpwstr>
  </property>
</Properties>
</file>