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95"/>
        </w:tabs>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年度物业管理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项目支出部门评价报告</w:t>
      </w:r>
    </w:p>
    <w:bookmarkEnd w:id="0"/>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spacing w:line="360" w:lineRule="auto"/>
        <w:ind w:firstLine="1760" w:firstLineChars="550"/>
        <w:rPr>
          <w:rFonts w:hint="eastAsia" w:ascii="仿宋_GB2312" w:eastAsia="仿宋_GB2312" w:cs="仿宋_GB2312"/>
          <w:sz w:val="32"/>
          <w:szCs w:val="32"/>
        </w:rPr>
      </w:pPr>
      <w:r>
        <w:rPr>
          <w:rFonts w:hint="eastAsia" w:ascii="仿宋_GB2312" w:eastAsia="仿宋_GB2312" w:cs="仿宋_GB2312"/>
          <w:sz w:val="32"/>
          <w:szCs w:val="32"/>
        </w:rPr>
        <w:t>项目名称：</w:t>
      </w:r>
      <w:r>
        <w:rPr>
          <w:rFonts w:hint="eastAsia" w:ascii="仿宋_GB2312" w:eastAsia="仿宋_GB2312" w:cs="仿宋_GB2312"/>
          <w:sz w:val="32"/>
          <w:szCs w:val="32"/>
          <w:lang w:eastAsia="zh-CN"/>
        </w:rPr>
        <w:t>物业管理</w:t>
      </w:r>
    </w:p>
    <w:p>
      <w:pPr>
        <w:spacing w:line="360" w:lineRule="auto"/>
        <w:ind w:firstLine="1760" w:firstLineChars="550"/>
        <w:rPr>
          <w:rFonts w:ascii="仿宋_GB2312" w:eastAsia="仿宋_GB2312"/>
          <w:sz w:val="32"/>
          <w:szCs w:val="32"/>
        </w:rPr>
      </w:pPr>
      <w:r>
        <w:rPr>
          <w:rFonts w:hint="eastAsia" w:ascii="仿宋_GB2312" w:eastAsia="仿宋_GB2312" w:cs="仿宋_GB2312"/>
          <w:sz w:val="32"/>
          <w:szCs w:val="32"/>
        </w:rPr>
        <w:t>主管部门（公章）：</w:t>
      </w:r>
    </w:p>
    <w:p>
      <w:pPr>
        <w:spacing w:line="360" w:lineRule="auto"/>
        <w:ind w:firstLine="1760" w:firstLineChars="550"/>
        <w:rPr>
          <w:rFonts w:ascii="仿宋_GB2312" w:eastAsia="仿宋_GB2312"/>
          <w:sz w:val="32"/>
          <w:szCs w:val="32"/>
        </w:rPr>
      </w:pPr>
      <w:r>
        <w:rPr>
          <w:rFonts w:hint="eastAsia" w:ascii="仿宋_GB2312" w:eastAsia="仿宋_GB2312" w:cs="仿宋_GB2312"/>
          <w:sz w:val="32"/>
          <w:szCs w:val="32"/>
        </w:rPr>
        <w:t>项目负责人：</w:t>
      </w:r>
    </w:p>
    <w:p>
      <w:pPr>
        <w:spacing w:line="360" w:lineRule="auto"/>
        <w:ind w:firstLine="1760" w:firstLineChars="550"/>
        <w:rPr>
          <w:rFonts w:ascii="仿宋_GB2312" w:eastAsia="仿宋_GB2312"/>
          <w:sz w:val="32"/>
          <w:szCs w:val="32"/>
        </w:rPr>
      </w:pPr>
      <w:r>
        <w:rPr>
          <w:rFonts w:hint="eastAsia" w:ascii="仿宋_GB2312" w:eastAsia="仿宋_GB2312" w:cs="仿宋_GB2312"/>
          <w:sz w:val="32"/>
          <w:szCs w:val="32"/>
        </w:rPr>
        <w:t xml:space="preserve">填报人： </w:t>
      </w:r>
    </w:p>
    <w:p>
      <w:pPr>
        <w:spacing w:line="360" w:lineRule="auto"/>
        <w:ind w:firstLine="1760" w:firstLineChars="550"/>
        <w:rPr>
          <w:rFonts w:ascii="仿宋_GB2312" w:eastAsia="仿宋_GB2312"/>
          <w:sz w:val="32"/>
          <w:szCs w:val="32"/>
        </w:rPr>
      </w:pPr>
      <w:r>
        <w:rPr>
          <w:rFonts w:hint="eastAsia" w:ascii="仿宋_GB2312" w:eastAsia="仿宋_GB2312" w:cs="仿宋_GB2312"/>
          <w:sz w:val="32"/>
          <w:szCs w:val="32"/>
        </w:rPr>
        <w:t>联系电话：</w:t>
      </w:r>
    </w:p>
    <w:p>
      <w:r>
        <w:rPr>
          <w:rFonts w:ascii="楷体_GB2312" w:hAnsi="宋体" w:eastAsia="楷体_GB2312"/>
          <w:sz w:val="36"/>
          <w:szCs w:val="36"/>
        </w:rPr>
        <w:br w:type="page"/>
      </w:r>
    </w:p>
    <w:p>
      <w:pPr>
        <w:ind w:firstLine="640" w:firstLineChars="200"/>
        <w:rPr>
          <w:rFonts w:ascii="黑体" w:eastAsia="黑体"/>
          <w:b/>
          <w:color w:val="auto"/>
          <w:sz w:val="32"/>
          <w:szCs w:val="32"/>
          <w:highlight w:val="none"/>
        </w:rPr>
      </w:pPr>
      <w:r>
        <w:rPr>
          <w:rFonts w:ascii="仿宋_GB2312" w:eastAsia="仿宋_GB2312" w:cs="仿宋_GB2312"/>
          <w:b w:val="0"/>
          <w:bCs w:val="0"/>
          <w:color w:val="FF0000"/>
          <w:sz w:val="32"/>
          <w:szCs w:val="32"/>
          <w:highlight w:val="none"/>
        </w:rPr>
        <w:t xml:space="preserve"> </w:t>
      </w:r>
      <w:r>
        <w:rPr>
          <w:rFonts w:hint="eastAsia" w:ascii="黑体" w:eastAsia="黑体" w:cs="黑体"/>
          <w:b w:val="0"/>
          <w:bCs w:val="0"/>
          <w:color w:val="auto"/>
          <w:sz w:val="32"/>
          <w:szCs w:val="32"/>
          <w:highlight w:val="none"/>
        </w:rPr>
        <w:t>一、项目概况</w:t>
      </w:r>
    </w:p>
    <w:p>
      <w:pPr>
        <w:ind w:firstLine="643" w:firstLineChars="200"/>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（一）项目背景、立项依据</w:t>
      </w:r>
    </w:p>
    <w:p>
      <w:pPr>
        <w:ind w:firstLine="640" w:firstLineChars="200"/>
        <w:rPr>
          <w:rFonts w:hint="eastAsia" w:ascii="仿宋_GB2312" w:hAnsi="仿宋_GB2312" w:eastAsia="仿宋_GB2312" w:cs="仿宋_GB2312"/>
          <w:color w:val="auto"/>
          <w:sz w:val="32"/>
          <w:szCs w:val="20"/>
          <w:highlight w:val="none"/>
          <w:lang w:eastAsia="zh-CN"/>
        </w:rPr>
      </w:pPr>
      <w:r>
        <w:rPr>
          <w:rFonts w:hint="eastAsia" w:ascii="仿宋_GB2312" w:hAnsi="黑体" w:eastAsia="仿宋_GB2312" w:cs="仿宋_GB2312"/>
          <w:sz w:val="32"/>
          <w:szCs w:val="32"/>
          <w:lang w:val="en-US" w:eastAsia="zh-CN"/>
        </w:rPr>
        <w:t>根据《中共深圳市福田区委机构编制委员会关于深圳市福田区机关服务保障中心机构编制八定事项的通知》（福编[2019]17号），负责</w:t>
      </w:r>
      <w:r>
        <w:rPr>
          <w:rFonts w:hint="eastAsia" w:ascii="仿宋_GB2312" w:hAnsi="仿宋_GB2312" w:eastAsia="仿宋_GB2312" w:cs="仿宋_GB2312"/>
          <w:color w:val="auto"/>
          <w:sz w:val="32"/>
          <w:szCs w:val="20"/>
          <w:highlight w:val="none"/>
          <w:lang w:eastAsia="zh-CN"/>
        </w:rPr>
        <w:t>城管基地、国防大厦、环境监测监控基地、福田花园等基地的日常物业管理服务，包括公共配套设施设备维修及维护、公共场所清洁绿化、安保、垃圾回收等方面服务。</w:t>
      </w:r>
    </w:p>
    <w:p>
      <w:pPr>
        <w:numPr>
          <w:ilvl w:val="0"/>
          <w:numId w:val="0"/>
        </w:numPr>
        <w:ind w:firstLine="643" w:firstLineChars="200"/>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eastAsia="zh-CN"/>
        </w:rPr>
        <w:t>（二）</w:t>
      </w:r>
      <w:r>
        <w:rPr>
          <w:rFonts w:hint="eastAsia" w:ascii="楷体_GB2312" w:hAnsi="楷体_GB2312" w:eastAsia="楷体_GB2312" w:cs="楷体_GB2312"/>
          <w:b/>
          <w:color w:val="auto"/>
          <w:sz w:val="32"/>
          <w:szCs w:val="32"/>
          <w:highlight w:val="none"/>
        </w:rPr>
        <w:t>项目管理的组织架构和职责分工</w:t>
      </w:r>
    </w:p>
    <w:p>
      <w:pPr>
        <w:numPr>
          <w:ilvl w:val="0"/>
          <w:numId w:val="0"/>
        </w:numPr>
        <w:ind w:firstLine="640" w:firstLineChars="200"/>
        <w:rPr>
          <w:rFonts w:hint="eastAsia" w:ascii="仿宋_GB2312" w:hAnsi="仿宋_GB2312" w:eastAsia="仿宋_GB2312" w:cs="仿宋_GB2312"/>
          <w:color w:val="auto"/>
          <w:sz w:val="32"/>
          <w:szCs w:val="20"/>
          <w:highlight w:val="none"/>
          <w:lang w:eastAsia="zh-CN"/>
        </w:rPr>
      </w:pPr>
      <w:r>
        <w:rPr>
          <w:rFonts w:hint="eastAsia" w:ascii="仿宋_GB2312" w:hAnsi="仿宋_GB2312" w:eastAsia="仿宋_GB2312" w:cs="仿宋_GB2312"/>
          <w:color w:val="auto"/>
          <w:sz w:val="32"/>
          <w:szCs w:val="20"/>
          <w:highlight w:val="none"/>
          <w:lang w:eastAsia="zh-CN"/>
        </w:rPr>
        <w:t>物业服务</w:t>
      </w:r>
      <w:r>
        <w:rPr>
          <w:rFonts w:hint="eastAsia" w:ascii="仿宋_GB2312" w:hAnsi="仿宋_GB2312" w:eastAsia="仿宋_GB2312" w:cs="仿宋_GB2312"/>
          <w:color w:val="auto"/>
          <w:sz w:val="32"/>
          <w:szCs w:val="20"/>
          <w:highlight w:val="none"/>
        </w:rPr>
        <w:t>项目管理的组织架构如下</w:t>
      </w:r>
      <w:r>
        <w:rPr>
          <w:rFonts w:hint="eastAsia" w:ascii="仿宋_GB2312" w:hAnsi="仿宋_GB2312" w:eastAsia="仿宋_GB2312" w:cs="仿宋_GB2312"/>
          <w:color w:val="auto"/>
          <w:sz w:val="32"/>
          <w:szCs w:val="20"/>
          <w:highlight w:val="none"/>
          <w:lang w:eastAsia="zh-CN"/>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981"/>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pStyle w:val="2"/>
              <w:jc w:val="center"/>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各基地办日常监督各物业服务情况</w:t>
            </w:r>
          </w:p>
        </w:tc>
        <w:tc>
          <w:tcPr>
            <w:tcW w:w="2981" w:type="dxa"/>
            <w:vAlign w:val="top"/>
          </w:tcPr>
          <w:p>
            <w:pPr>
              <w:pStyle w:val="2"/>
              <w:ind w:left="0" w:leftChars="0" w:firstLine="0" w:firstLineChars="0"/>
              <w:jc w:val="center"/>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物业部每月不定期对各基地物业服务进行巡查</w:t>
            </w:r>
          </w:p>
        </w:tc>
        <w:tc>
          <w:tcPr>
            <w:tcW w:w="2701" w:type="dxa"/>
            <w:vAlign w:val="top"/>
          </w:tcPr>
          <w:p>
            <w:pPr>
              <w:pStyle w:val="2"/>
              <w:jc w:val="center"/>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部门负责人、中心主任、分管领导及局长对每月物业服务情况审批</w:t>
            </w:r>
          </w:p>
        </w:tc>
      </w:tr>
    </w:tbl>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eastAsia="zh-CN"/>
        </w:rPr>
        <w:t>物业服务</w:t>
      </w:r>
      <w:r>
        <w:rPr>
          <w:rFonts w:hint="eastAsia" w:ascii="仿宋_GB2312" w:hAnsi="仿宋_GB2312" w:eastAsia="仿宋_GB2312" w:cs="仿宋_GB2312"/>
          <w:color w:val="auto"/>
          <w:sz w:val="32"/>
          <w:szCs w:val="32"/>
          <w:highlight w:val="none"/>
        </w:rPr>
        <w:t>项目管理职责分工如下</w:t>
      </w:r>
      <w:r>
        <w:rPr>
          <w:rFonts w:hint="eastAsia" w:ascii="仿宋_GB2312" w:hAnsi="仿宋_GB2312" w:eastAsia="仿宋_GB2312" w:cs="仿宋_GB2312"/>
          <w:color w:val="auto"/>
          <w:sz w:val="32"/>
          <w:szCs w:val="32"/>
          <w:highlight w:val="none"/>
          <w:lang w:eastAsia="zh-CN"/>
        </w:rPr>
        <w:t>：</w:t>
      </w:r>
    </w:p>
    <w:p>
      <w:pPr>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各基地办日常监督各物业服务情况；</w:t>
      </w:r>
    </w:p>
    <w:p>
      <w:pPr>
        <w:ind w:firstLine="64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物业部每月不定期对各基地物业服务进行巡查；</w:t>
      </w:r>
    </w:p>
    <w:p>
      <w:pPr>
        <w:ind w:firstLine="64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部门负责人、中心主任、分管领导及局长对每月物业服务情况审批</w:t>
      </w:r>
      <w:r>
        <w:rPr>
          <w:rFonts w:hint="eastAsia" w:ascii="仿宋_GB2312" w:hAnsi="仿宋_GB2312" w:eastAsia="仿宋_GB2312" w:cs="仿宋_GB2312"/>
          <w:color w:val="auto"/>
          <w:sz w:val="32"/>
          <w:szCs w:val="32"/>
          <w:highlight w:val="none"/>
          <w:lang w:val="en-US" w:eastAsia="zh-CN"/>
        </w:rPr>
        <w:t>；</w:t>
      </w:r>
    </w:p>
    <w:p>
      <w:pPr>
        <w:ind w:firstLine="645"/>
        <w:rPr>
          <w:rFonts w:hint="eastAsia" w:asci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4.根据审批合格结果到中心财务报账。</w:t>
      </w:r>
    </w:p>
    <w:p>
      <w:pPr>
        <w:numPr>
          <w:ilvl w:val="0"/>
          <w:numId w:val="0"/>
        </w:numPr>
        <w:ind w:firstLine="643" w:firstLineChars="200"/>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（三）项目资金管理情况</w:t>
      </w:r>
    </w:p>
    <w:p>
      <w:pPr>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1.项目资金预算和分配情况</w:t>
      </w:r>
    </w:p>
    <w:p>
      <w:pPr>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年度中心</w:t>
      </w:r>
      <w:r>
        <w:rPr>
          <w:rFonts w:hint="eastAsia" w:ascii="仿宋_GB2312" w:hAnsi="黑体" w:eastAsia="仿宋_GB2312" w:cs="仿宋_GB2312"/>
          <w:color w:val="auto"/>
          <w:sz w:val="32"/>
          <w:szCs w:val="32"/>
        </w:rPr>
        <w:t>项目</w:t>
      </w:r>
      <w:r>
        <w:rPr>
          <w:rFonts w:hint="eastAsia" w:ascii="仿宋_GB2312" w:hAnsi="黑体" w:eastAsia="仿宋_GB2312" w:cs="仿宋_GB2312"/>
          <w:color w:val="auto"/>
          <w:sz w:val="32"/>
          <w:szCs w:val="32"/>
          <w:lang w:eastAsia="zh-CN"/>
        </w:rPr>
        <w:t>年初预算数</w:t>
      </w:r>
      <w:r>
        <w:rPr>
          <w:rFonts w:hint="eastAsia" w:ascii="仿宋_GB2312" w:hAnsi="黑体" w:eastAsia="仿宋_GB2312" w:cs="仿宋_GB2312"/>
          <w:color w:val="auto"/>
          <w:sz w:val="32"/>
          <w:szCs w:val="32"/>
          <w:lang w:val="en-US" w:eastAsia="zh-CN"/>
        </w:rPr>
        <w:t>740万元，</w:t>
      </w:r>
      <w:r>
        <w:rPr>
          <w:rFonts w:hint="eastAsia" w:ascii="仿宋_GB2312" w:hAnsi="黑体" w:eastAsia="仿宋_GB2312" w:cs="仿宋_GB2312"/>
          <w:color w:val="auto"/>
          <w:sz w:val="32"/>
          <w:szCs w:val="32"/>
        </w:rPr>
        <w:t>全年预算数</w:t>
      </w:r>
      <w:r>
        <w:rPr>
          <w:rFonts w:hint="eastAsia" w:ascii="仿宋_GB2312" w:hAnsi="黑体" w:eastAsia="仿宋_GB2312" w:cs="仿宋_GB2312"/>
          <w:color w:val="auto"/>
          <w:sz w:val="32"/>
          <w:szCs w:val="32"/>
          <w:lang w:val="en-US" w:eastAsia="zh-CN"/>
        </w:rPr>
        <w:t>740</w:t>
      </w:r>
      <w:r>
        <w:rPr>
          <w:rFonts w:hint="eastAsia" w:ascii="仿宋_GB2312" w:hAnsi="黑体" w:eastAsia="仿宋_GB2312" w:cs="仿宋_GB2312"/>
          <w:color w:val="auto"/>
          <w:sz w:val="32"/>
          <w:szCs w:val="32"/>
        </w:rPr>
        <w:t>万元，其中财政拨款为</w:t>
      </w:r>
      <w:r>
        <w:rPr>
          <w:rFonts w:hint="eastAsia" w:ascii="仿宋_GB2312" w:hAnsi="黑体" w:eastAsia="仿宋_GB2312" w:cs="仿宋_GB2312"/>
          <w:color w:val="auto"/>
          <w:sz w:val="32"/>
          <w:szCs w:val="32"/>
          <w:lang w:val="en-US" w:eastAsia="zh-CN"/>
        </w:rPr>
        <w:t>740</w:t>
      </w:r>
      <w:r>
        <w:rPr>
          <w:rFonts w:hint="eastAsia" w:ascii="仿宋_GB2312" w:hAnsi="黑体" w:eastAsia="仿宋_GB2312" w:cs="仿宋_GB2312"/>
          <w:color w:val="auto"/>
          <w:sz w:val="32"/>
          <w:szCs w:val="32"/>
        </w:rPr>
        <w:t>万元</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执行数</w:t>
      </w:r>
      <w:r>
        <w:rPr>
          <w:rFonts w:hint="eastAsia" w:ascii="仿宋_GB2312" w:hAnsi="黑体" w:eastAsia="仿宋_GB2312" w:cs="仿宋_GB2312"/>
          <w:color w:val="auto"/>
          <w:sz w:val="32"/>
          <w:szCs w:val="32"/>
          <w:lang w:val="en-US" w:eastAsia="zh-CN"/>
        </w:rPr>
        <w:t>722.22</w:t>
      </w:r>
      <w:r>
        <w:rPr>
          <w:rFonts w:hint="eastAsia" w:ascii="仿宋_GB2312" w:hAnsi="黑体" w:eastAsia="仿宋_GB2312" w:cs="仿宋_GB2312"/>
          <w:color w:val="auto"/>
          <w:sz w:val="32"/>
          <w:szCs w:val="32"/>
        </w:rPr>
        <w:t>万元，预算执行率9</w:t>
      </w:r>
      <w:r>
        <w:rPr>
          <w:rFonts w:hint="eastAsia" w:ascii="仿宋_GB2312" w:hAnsi="黑体" w:eastAsia="仿宋_GB2312" w:cs="仿宋_GB2312"/>
          <w:color w:val="auto"/>
          <w:sz w:val="32"/>
          <w:szCs w:val="32"/>
          <w:lang w:val="en-US" w:eastAsia="zh-CN"/>
        </w:rPr>
        <w:t>7</w:t>
      </w:r>
      <w:r>
        <w:rPr>
          <w:rFonts w:hint="eastAsia" w:ascii="仿宋_GB2312" w:hAnsi="黑体" w:eastAsia="仿宋_GB2312" w:cs="仿宋_GB2312"/>
          <w:color w:val="auto"/>
          <w:sz w:val="32"/>
          <w:szCs w:val="32"/>
        </w:rPr>
        <w:t>.</w:t>
      </w:r>
      <w:r>
        <w:rPr>
          <w:rFonts w:hint="eastAsia" w:ascii="仿宋_GB2312" w:hAnsi="黑体" w:eastAsia="仿宋_GB2312" w:cs="仿宋_GB2312"/>
          <w:color w:val="auto"/>
          <w:sz w:val="32"/>
          <w:szCs w:val="32"/>
          <w:lang w:val="en-US" w:eastAsia="zh-CN"/>
        </w:rPr>
        <w:t>6</w:t>
      </w:r>
      <w:r>
        <w:rPr>
          <w:rFonts w:hint="eastAsia" w:ascii="仿宋_GB2312" w:hAnsi="黑体" w:eastAsia="仿宋_GB2312" w:cs="仿宋_GB2312"/>
          <w:color w:val="auto"/>
          <w:sz w:val="32"/>
          <w:szCs w:val="32"/>
        </w:rPr>
        <w:t>%。项目绩效目标完成情况较为理想，达到了项目申请时所设定的各项绩效目标</w:t>
      </w:r>
      <w:r>
        <w:rPr>
          <w:rFonts w:hint="eastAsia" w:ascii="仿宋_GB2312" w:hAnsi="仿宋_GB2312" w:eastAsia="仿宋_GB2312" w:cs="仿宋_GB2312"/>
          <w:color w:val="auto"/>
          <w:sz w:val="32"/>
          <w:szCs w:val="32"/>
          <w:highlight w:val="none"/>
          <w:lang w:eastAsia="zh-CN"/>
        </w:rPr>
        <w:t>。</w:t>
      </w:r>
    </w:p>
    <w:p>
      <w:pPr>
        <w:ind w:firstLine="645"/>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项目资金管理和使用情况</w:t>
      </w:r>
    </w:p>
    <w:p>
      <w:pPr>
        <w:ind w:firstLine="645"/>
        <w:rPr>
          <w:rFonts w:hint="eastAsia" w:ascii="仿宋_GB2312" w:hAnsi="仿宋_GB2312" w:eastAsia="仿宋_GB2312" w:cs="仿宋_GB2312"/>
          <w:color w:val="auto"/>
          <w:sz w:val="32"/>
          <w:szCs w:val="20"/>
          <w:highlight w:val="none"/>
          <w:lang w:eastAsia="zh-CN"/>
        </w:rPr>
      </w:pPr>
      <w:r>
        <w:rPr>
          <w:rFonts w:hint="eastAsia" w:ascii="仿宋_GB2312" w:hAnsi="仿宋_GB2312" w:eastAsia="仿宋_GB2312" w:cs="仿宋_GB2312"/>
          <w:color w:val="auto"/>
          <w:sz w:val="32"/>
          <w:szCs w:val="20"/>
          <w:highlight w:val="none"/>
        </w:rPr>
        <w:t>资金来源</w:t>
      </w:r>
      <w:r>
        <w:rPr>
          <w:rFonts w:hint="eastAsia" w:ascii="仿宋_GB2312" w:hAnsi="仿宋_GB2312" w:eastAsia="仿宋_GB2312" w:cs="仿宋_GB2312"/>
          <w:color w:val="auto"/>
          <w:sz w:val="32"/>
          <w:szCs w:val="20"/>
          <w:highlight w:val="none"/>
          <w:lang w:eastAsia="zh-CN"/>
        </w:rPr>
        <w:t>均为</w:t>
      </w:r>
      <w:r>
        <w:rPr>
          <w:rFonts w:hint="eastAsia" w:ascii="仿宋_GB2312" w:hAnsi="仿宋_GB2312" w:eastAsia="仿宋_GB2312" w:cs="仿宋_GB2312"/>
          <w:color w:val="auto"/>
          <w:sz w:val="32"/>
          <w:szCs w:val="20"/>
          <w:highlight w:val="none"/>
        </w:rPr>
        <w:t>财政</w:t>
      </w:r>
      <w:r>
        <w:rPr>
          <w:rFonts w:hint="eastAsia" w:ascii="仿宋_GB2312" w:hAnsi="仿宋_GB2312" w:eastAsia="仿宋_GB2312" w:cs="仿宋_GB2312"/>
          <w:color w:val="auto"/>
          <w:sz w:val="32"/>
          <w:szCs w:val="20"/>
          <w:highlight w:val="none"/>
          <w:lang w:eastAsia="zh-CN"/>
        </w:rPr>
        <w:t>拨款</w:t>
      </w:r>
      <w:r>
        <w:rPr>
          <w:rFonts w:hint="eastAsia" w:ascii="仿宋_GB2312" w:hAnsi="仿宋_GB2312" w:eastAsia="仿宋_GB2312" w:cs="仿宋_GB2312"/>
          <w:color w:val="auto"/>
          <w:sz w:val="32"/>
          <w:szCs w:val="20"/>
          <w:highlight w:val="none"/>
        </w:rPr>
        <w:t>，纳入年度预算，由</w:t>
      </w:r>
      <w:r>
        <w:rPr>
          <w:rFonts w:hint="eastAsia" w:ascii="仿宋_GB2312" w:hAnsi="仿宋_GB2312" w:eastAsia="仿宋_GB2312" w:cs="仿宋_GB2312"/>
          <w:color w:val="auto"/>
          <w:sz w:val="32"/>
          <w:szCs w:val="20"/>
          <w:highlight w:val="none"/>
          <w:lang w:eastAsia="zh-CN"/>
        </w:rPr>
        <w:t>中心</w:t>
      </w:r>
      <w:r>
        <w:rPr>
          <w:rFonts w:hint="eastAsia" w:ascii="仿宋_GB2312" w:hAnsi="仿宋_GB2312" w:eastAsia="仿宋_GB2312" w:cs="仿宋_GB2312"/>
          <w:color w:val="auto"/>
          <w:sz w:val="32"/>
          <w:szCs w:val="20"/>
          <w:highlight w:val="none"/>
        </w:rPr>
        <w:t>负责管理，</w:t>
      </w:r>
      <w:r>
        <w:rPr>
          <w:rFonts w:hint="eastAsia" w:ascii="仿宋_GB2312" w:hAnsi="仿宋_GB2312" w:eastAsia="仿宋_GB2312" w:cs="仿宋_GB2312"/>
          <w:color w:val="auto"/>
          <w:sz w:val="32"/>
          <w:szCs w:val="20"/>
          <w:highlight w:val="none"/>
          <w:lang w:eastAsia="zh-CN"/>
        </w:rPr>
        <w:t>严格按照</w:t>
      </w:r>
      <w:r>
        <w:rPr>
          <w:rFonts w:hint="eastAsia" w:ascii="仿宋_GB2312" w:hAnsi="仿宋_GB2312" w:eastAsia="仿宋_GB2312" w:cs="仿宋_GB2312"/>
          <w:color w:val="auto"/>
          <w:sz w:val="32"/>
          <w:szCs w:val="20"/>
          <w:highlight w:val="none"/>
        </w:rPr>
        <w:t>项目经费管理制度</w:t>
      </w:r>
      <w:r>
        <w:rPr>
          <w:rFonts w:hint="eastAsia" w:ascii="仿宋_GB2312" w:hAnsi="仿宋_GB2312" w:eastAsia="仿宋_GB2312" w:cs="仿宋_GB2312"/>
          <w:color w:val="auto"/>
          <w:sz w:val="32"/>
          <w:szCs w:val="20"/>
          <w:highlight w:val="none"/>
          <w:lang w:eastAsia="zh-CN"/>
        </w:rPr>
        <w:t>使用和管理。项目全年执行数</w:t>
      </w:r>
      <w:r>
        <w:rPr>
          <w:rFonts w:hint="eastAsia" w:ascii="仿宋_GB2312" w:hAnsi="黑体" w:eastAsia="仿宋_GB2312" w:cs="仿宋_GB2312"/>
          <w:color w:val="auto"/>
          <w:sz w:val="32"/>
          <w:szCs w:val="32"/>
          <w:lang w:val="en-US" w:eastAsia="zh-CN"/>
        </w:rPr>
        <w:t>722.22</w:t>
      </w:r>
      <w:r>
        <w:rPr>
          <w:rFonts w:hint="eastAsia" w:ascii="仿宋_GB2312" w:hAnsi="仿宋_GB2312" w:eastAsia="仿宋_GB2312" w:cs="仿宋_GB2312"/>
          <w:color w:val="auto"/>
          <w:sz w:val="32"/>
          <w:szCs w:val="20"/>
          <w:highlight w:val="none"/>
          <w:lang w:eastAsia="zh-CN"/>
        </w:rPr>
        <w:t>万元，预算执行率</w:t>
      </w:r>
      <w:r>
        <w:rPr>
          <w:rFonts w:hint="eastAsia" w:ascii="仿宋_GB2312" w:hAnsi="黑体" w:eastAsia="仿宋_GB2312" w:cs="仿宋_GB2312"/>
          <w:color w:val="auto"/>
          <w:sz w:val="32"/>
          <w:szCs w:val="32"/>
        </w:rPr>
        <w:t>9</w:t>
      </w:r>
      <w:r>
        <w:rPr>
          <w:rFonts w:hint="eastAsia" w:ascii="仿宋_GB2312" w:hAnsi="黑体" w:eastAsia="仿宋_GB2312" w:cs="仿宋_GB2312"/>
          <w:color w:val="auto"/>
          <w:sz w:val="32"/>
          <w:szCs w:val="32"/>
          <w:lang w:val="en-US" w:eastAsia="zh-CN"/>
        </w:rPr>
        <w:t>7</w:t>
      </w:r>
      <w:r>
        <w:rPr>
          <w:rFonts w:hint="eastAsia" w:ascii="仿宋_GB2312" w:hAnsi="黑体" w:eastAsia="仿宋_GB2312" w:cs="仿宋_GB2312"/>
          <w:color w:val="auto"/>
          <w:sz w:val="32"/>
          <w:szCs w:val="32"/>
        </w:rPr>
        <w:t>.</w:t>
      </w:r>
      <w:r>
        <w:rPr>
          <w:rFonts w:hint="eastAsia" w:ascii="仿宋_GB2312" w:hAnsi="黑体" w:eastAsia="仿宋_GB2312" w:cs="仿宋_GB2312"/>
          <w:color w:val="auto"/>
          <w:sz w:val="32"/>
          <w:szCs w:val="32"/>
          <w:lang w:val="en-US" w:eastAsia="zh-CN"/>
        </w:rPr>
        <w:t>6</w:t>
      </w:r>
      <w:r>
        <w:rPr>
          <w:rFonts w:hint="eastAsia" w:ascii="仿宋_GB2312" w:hAnsi="仿宋_GB2312" w:eastAsia="仿宋_GB2312" w:cs="仿宋_GB2312"/>
          <w:color w:val="auto"/>
          <w:sz w:val="32"/>
          <w:szCs w:val="20"/>
          <w:highlight w:val="none"/>
          <w:lang w:eastAsia="zh-CN"/>
        </w:rPr>
        <w:t>%。</w:t>
      </w:r>
    </w:p>
    <w:p>
      <w:pPr>
        <w:ind w:firstLine="645"/>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（四）项目绩效目标及实现情况</w:t>
      </w:r>
    </w:p>
    <w:p>
      <w:pPr>
        <w:ind w:firstLine="645"/>
        <w:rPr>
          <w:rFonts w:hint="eastAsia" w:ascii="仿宋_GB2312" w:hAnsi="仿宋_GB2312" w:eastAsia="仿宋_GB2312" w:cs="仿宋_GB2312"/>
          <w:color w:val="auto"/>
          <w:sz w:val="32"/>
          <w:szCs w:val="20"/>
          <w:highlight w:val="none"/>
          <w:lang w:eastAsia="zh-CN"/>
        </w:rPr>
      </w:pPr>
      <w:r>
        <w:rPr>
          <w:rFonts w:hint="eastAsia" w:ascii="仿宋_GB2312" w:hAnsi="仿宋_GB2312" w:eastAsia="仿宋_GB2312" w:cs="仿宋_GB2312"/>
          <w:color w:val="auto"/>
          <w:sz w:val="32"/>
          <w:szCs w:val="20"/>
          <w:highlight w:val="none"/>
        </w:rPr>
        <w:t>20</w:t>
      </w:r>
      <w:r>
        <w:rPr>
          <w:rFonts w:hint="eastAsia" w:ascii="仿宋_GB2312" w:hAnsi="仿宋_GB2312" w:eastAsia="仿宋_GB2312" w:cs="仿宋_GB2312"/>
          <w:color w:val="auto"/>
          <w:sz w:val="32"/>
          <w:szCs w:val="20"/>
          <w:highlight w:val="none"/>
          <w:lang w:val="en-US" w:eastAsia="zh-CN"/>
        </w:rPr>
        <w:t>20</w:t>
      </w:r>
      <w:r>
        <w:rPr>
          <w:rFonts w:hint="eastAsia" w:ascii="仿宋_GB2312" w:hAnsi="仿宋_GB2312" w:eastAsia="仿宋_GB2312" w:cs="仿宋_GB2312"/>
          <w:color w:val="auto"/>
          <w:sz w:val="32"/>
          <w:szCs w:val="20"/>
          <w:highlight w:val="none"/>
        </w:rPr>
        <w:t>年</w:t>
      </w:r>
      <w:r>
        <w:rPr>
          <w:rFonts w:hint="eastAsia" w:ascii="仿宋_GB2312" w:hAnsi="仿宋_GB2312" w:eastAsia="仿宋_GB2312" w:cs="仿宋_GB2312"/>
          <w:color w:val="auto"/>
          <w:sz w:val="32"/>
          <w:szCs w:val="20"/>
          <w:highlight w:val="none"/>
          <w:lang w:eastAsia="zh-CN"/>
        </w:rPr>
        <w:t>物业</w:t>
      </w:r>
      <w:r>
        <w:rPr>
          <w:rFonts w:hint="eastAsia" w:ascii="仿宋_GB2312" w:hAnsi="仿宋_GB2312" w:eastAsia="仿宋_GB2312" w:cs="仿宋_GB2312"/>
          <w:color w:val="auto"/>
          <w:sz w:val="32"/>
          <w:szCs w:val="20"/>
          <w:highlight w:val="none"/>
        </w:rPr>
        <w:t>服务绩效指标内容</w:t>
      </w:r>
      <w:r>
        <w:rPr>
          <w:rFonts w:hint="eastAsia" w:ascii="仿宋_GB2312" w:hAnsi="仿宋_GB2312" w:eastAsia="仿宋_GB2312" w:cs="仿宋_GB2312"/>
          <w:color w:val="auto"/>
          <w:sz w:val="32"/>
          <w:szCs w:val="20"/>
          <w:highlight w:val="none"/>
          <w:lang w:eastAsia="zh-CN"/>
        </w:rPr>
        <w:t>：为城管基地、国防大厦、环境监测监控基地、福田花园等基地提供物业管理服务，保障各基地办公场所的正常运转，为所有干部职工提供安全、舒适的办公环境。</w:t>
      </w:r>
    </w:p>
    <w:p>
      <w:pPr>
        <w:ind w:firstLine="645"/>
        <w:rPr>
          <w:rFonts w:ascii="黑体" w:eastAsia="黑体"/>
          <w:b w:val="0"/>
          <w:bCs/>
          <w:color w:val="auto"/>
          <w:sz w:val="32"/>
          <w:szCs w:val="32"/>
          <w:highlight w:val="none"/>
        </w:rPr>
      </w:pPr>
      <w:r>
        <w:rPr>
          <w:rFonts w:hint="eastAsia" w:ascii="黑体" w:eastAsia="黑体" w:cs="黑体"/>
          <w:b w:val="0"/>
          <w:bCs/>
          <w:color w:val="auto"/>
          <w:sz w:val="32"/>
          <w:szCs w:val="32"/>
          <w:highlight w:val="none"/>
        </w:rPr>
        <w:t>二、项目绩效评价结论和分析</w:t>
      </w:r>
    </w:p>
    <w:p>
      <w:pPr>
        <w:ind w:firstLine="645"/>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（一）项目绩效评价结论</w:t>
      </w:r>
    </w:p>
    <w:p>
      <w:pPr>
        <w:ind w:firstLine="645"/>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lang w:val="en-US" w:eastAsia="zh-CN"/>
        </w:rPr>
        <w:t>2020年</w:t>
      </w:r>
      <w:r>
        <w:rPr>
          <w:rFonts w:hint="eastAsia" w:ascii="仿宋_GB2312" w:hAnsi="仿宋_GB2312" w:eastAsia="仿宋_GB2312" w:cs="仿宋_GB2312"/>
          <w:color w:val="auto"/>
          <w:sz w:val="32"/>
          <w:szCs w:val="20"/>
          <w:highlight w:val="none"/>
        </w:rPr>
        <w:t>项目支出整体</w:t>
      </w:r>
      <w:r>
        <w:rPr>
          <w:rFonts w:hint="eastAsia" w:ascii="仿宋_GB2312" w:hAnsi="仿宋_GB2312" w:eastAsia="仿宋_GB2312" w:cs="仿宋_GB2312"/>
          <w:color w:val="auto"/>
          <w:sz w:val="32"/>
          <w:szCs w:val="20"/>
          <w:highlight w:val="none"/>
          <w:lang w:eastAsia="zh-CN"/>
        </w:rPr>
        <w:t>绩效</w:t>
      </w:r>
      <w:r>
        <w:rPr>
          <w:rFonts w:hint="eastAsia" w:ascii="仿宋_GB2312" w:hAnsi="仿宋_GB2312" w:eastAsia="仿宋_GB2312" w:cs="仿宋_GB2312"/>
          <w:color w:val="auto"/>
          <w:sz w:val="32"/>
          <w:szCs w:val="20"/>
          <w:highlight w:val="none"/>
        </w:rPr>
        <w:t>情况自评为优</w:t>
      </w:r>
      <w:r>
        <w:rPr>
          <w:rFonts w:hint="eastAsia" w:ascii="仿宋_GB2312" w:hAnsi="仿宋_GB2312" w:eastAsia="仿宋_GB2312" w:cs="仿宋_GB2312"/>
          <w:color w:val="auto"/>
          <w:sz w:val="32"/>
          <w:szCs w:val="20"/>
          <w:highlight w:val="none"/>
          <w:lang w:val="en-US" w:eastAsia="zh-CN"/>
        </w:rPr>
        <w:t>。按照年度工作安排要求，各个项目已</w:t>
      </w:r>
      <w:r>
        <w:rPr>
          <w:rFonts w:hint="eastAsia" w:ascii="仿宋_GB2312" w:hAnsi="仿宋_GB2312" w:eastAsia="仿宋_GB2312" w:cs="仿宋_GB2312"/>
          <w:color w:val="auto"/>
          <w:sz w:val="32"/>
          <w:szCs w:val="20"/>
          <w:highlight w:val="none"/>
        </w:rPr>
        <w:t>按时按量按质完成</w:t>
      </w:r>
      <w:r>
        <w:rPr>
          <w:rFonts w:hint="eastAsia" w:ascii="仿宋_GB2312" w:hAnsi="仿宋_GB2312" w:eastAsia="仿宋_GB2312" w:cs="仿宋_GB2312"/>
          <w:color w:val="auto"/>
          <w:sz w:val="32"/>
          <w:szCs w:val="20"/>
          <w:highlight w:val="none"/>
          <w:lang w:val="en-US" w:eastAsia="zh-CN"/>
        </w:rPr>
        <w:t>。</w:t>
      </w:r>
    </w:p>
    <w:p>
      <w:pPr>
        <w:spacing w:line="600" w:lineRule="exact"/>
        <w:ind w:firstLine="643" w:firstLineChars="200"/>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（二）项目绩效分析</w:t>
      </w:r>
    </w:p>
    <w:p>
      <w:pPr>
        <w:ind w:firstLine="645"/>
        <w:rPr>
          <w:rFonts w:hint="eastAsia"/>
          <w:lang w:val="en-US" w:eastAsia="zh-CN"/>
        </w:rPr>
      </w:pPr>
      <w:r>
        <w:rPr>
          <w:rFonts w:hint="eastAsia" w:ascii="仿宋_GB2312" w:hAnsi="仿宋_GB2312" w:eastAsia="仿宋_GB2312" w:cs="仿宋_GB2312"/>
          <w:color w:val="auto"/>
          <w:sz w:val="32"/>
          <w:szCs w:val="20"/>
          <w:highlight w:val="none"/>
          <w:lang w:val="en-US" w:eastAsia="zh-CN"/>
        </w:rPr>
        <w:t>2020年中心物业管理项目资金执行率为</w:t>
      </w:r>
      <w:r>
        <w:rPr>
          <w:rFonts w:hint="eastAsia" w:ascii="仿宋_GB2312" w:hAnsi="黑体" w:eastAsia="仿宋_GB2312" w:cs="仿宋_GB2312"/>
          <w:color w:val="auto"/>
          <w:sz w:val="32"/>
          <w:szCs w:val="32"/>
        </w:rPr>
        <w:t>9</w:t>
      </w:r>
      <w:r>
        <w:rPr>
          <w:rFonts w:hint="eastAsia" w:ascii="仿宋_GB2312" w:hAnsi="黑体" w:eastAsia="仿宋_GB2312" w:cs="仿宋_GB2312"/>
          <w:color w:val="auto"/>
          <w:sz w:val="32"/>
          <w:szCs w:val="32"/>
          <w:lang w:val="en-US" w:eastAsia="zh-CN"/>
        </w:rPr>
        <w:t>7</w:t>
      </w:r>
      <w:r>
        <w:rPr>
          <w:rFonts w:hint="eastAsia" w:ascii="仿宋_GB2312" w:hAnsi="黑体" w:eastAsia="仿宋_GB2312" w:cs="仿宋_GB2312"/>
          <w:color w:val="auto"/>
          <w:sz w:val="32"/>
          <w:szCs w:val="32"/>
        </w:rPr>
        <w:t>.</w:t>
      </w:r>
      <w:r>
        <w:rPr>
          <w:rFonts w:hint="eastAsia" w:ascii="仿宋_GB2312" w:hAnsi="黑体" w:eastAsia="仿宋_GB2312" w:cs="仿宋_GB2312"/>
          <w:color w:val="auto"/>
          <w:sz w:val="32"/>
          <w:szCs w:val="32"/>
          <w:lang w:val="en-US" w:eastAsia="zh-CN"/>
        </w:rPr>
        <w:t>6</w:t>
      </w:r>
      <w:r>
        <w:rPr>
          <w:rFonts w:hint="eastAsia" w:ascii="仿宋_GB2312" w:hAnsi="仿宋_GB2312" w:eastAsia="仿宋_GB2312" w:cs="仿宋_GB2312"/>
          <w:color w:val="auto"/>
          <w:sz w:val="32"/>
          <w:szCs w:val="20"/>
          <w:highlight w:val="none"/>
          <w:lang w:val="en-US" w:eastAsia="zh-CN"/>
        </w:rPr>
        <w:t>%，项目绩效如下表所示：</w:t>
      </w:r>
    </w:p>
    <w:tbl>
      <w:tblPr>
        <w:tblStyle w:val="4"/>
        <w:tblW w:w="83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44"/>
        <w:gridCol w:w="34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413" w:type="dxa"/>
            <w:vAlign w:val="center"/>
          </w:tcPr>
          <w:p>
            <w:pPr>
              <w:widowControl/>
              <w:jc w:val="center"/>
              <w:rPr>
                <w:rFonts w:eastAsia="仿宋_GB2312"/>
                <w:sz w:val="24"/>
                <w:szCs w:val="28"/>
              </w:rPr>
            </w:pPr>
            <w:r>
              <w:rPr>
                <w:rFonts w:hint="eastAsia" w:eastAsia="仿宋_GB2312"/>
                <w:sz w:val="24"/>
                <w:szCs w:val="28"/>
              </w:rPr>
              <w:t>一级指标</w:t>
            </w:r>
          </w:p>
        </w:tc>
        <w:tc>
          <w:tcPr>
            <w:tcW w:w="1844" w:type="dxa"/>
            <w:vAlign w:val="center"/>
          </w:tcPr>
          <w:p>
            <w:pPr>
              <w:widowControl/>
              <w:jc w:val="center"/>
              <w:rPr>
                <w:rFonts w:eastAsia="仿宋_GB2312"/>
                <w:sz w:val="24"/>
                <w:szCs w:val="28"/>
              </w:rPr>
            </w:pPr>
            <w:r>
              <w:rPr>
                <w:rFonts w:hint="eastAsia" w:eastAsia="仿宋_GB2312"/>
                <w:sz w:val="24"/>
                <w:szCs w:val="28"/>
              </w:rPr>
              <w:t>二级指标</w:t>
            </w:r>
          </w:p>
        </w:tc>
        <w:tc>
          <w:tcPr>
            <w:tcW w:w="3401" w:type="dxa"/>
            <w:vAlign w:val="center"/>
          </w:tcPr>
          <w:p>
            <w:pPr>
              <w:widowControl/>
              <w:jc w:val="center"/>
              <w:rPr>
                <w:rFonts w:eastAsia="仿宋_GB2312"/>
                <w:sz w:val="24"/>
                <w:szCs w:val="28"/>
              </w:rPr>
            </w:pPr>
            <w:r>
              <w:rPr>
                <w:rFonts w:hint="eastAsia" w:eastAsia="仿宋_GB2312"/>
                <w:sz w:val="24"/>
                <w:szCs w:val="28"/>
              </w:rPr>
              <w:t>三级指标</w:t>
            </w:r>
          </w:p>
        </w:tc>
        <w:tc>
          <w:tcPr>
            <w:tcW w:w="1701" w:type="dxa"/>
            <w:vAlign w:val="center"/>
          </w:tcPr>
          <w:p>
            <w:pPr>
              <w:widowControl/>
              <w:jc w:val="center"/>
              <w:rPr>
                <w:rFonts w:eastAsia="仿宋_GB2312"/>
                <w:sz w:val="24"/>
                <w:szCs w:val="28"/>
              </w:rPr>
            </w:pPr>
            <w:r>
              <w:rPr>
                <w:rFonts w:hint="eastAsia" w:eastAsia="仿宋_GB2312"/>
                <w:sz w:val="24"/>
                <w:szCs w:val="28"/>
                <w:lang w:eastAsia="zh-CN"/>
              </w:rPr>
              <w:t>完成</w:t>
            </w:r>
            <w:r>
              <w:rPr>
                <w:rFonts w:hint="eastAsia" w:eastAsia="仿宋_GB2312"/>
                <w:sz w:val="24"/>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1413"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w:t>
            </w:r>
          </w:p>
        </w:tc>
        <w:tc>
          <w:tcPr>
            <w:tcW w:w="184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3401" w:type="dxa"/>
            <w:vAlign w:val="center"/>
          </w:tcPr>
          <w:p>
            <w:pPr>
              <w:widowControl/>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城管基地、国防大厦、环境监测监控基地、福田花园等外办物业管理费，按合同支付</w:t>
            </w:r>
          </w:p>
        </w:tc>
        <w:tc>
          <w:tcPr>
            <w:tcW w:w="1701" w:type="dxa"/>
            <w:vAlign w:val="center"/>
          </w:tcPr>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740</w:t>
            </w:r>
            <w:r>
              <w:rPr>
                <w:rFonts w:hint="eastAsia" w:ascii="仿宋_GB2312" w:hAnsi="仿宋_GB2312" w:eastAsia="仿宋_GB2312" w:cs="仿宋_GB2312"/>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413" w:type="dxa"/>
            <w:vMerge w:val="continue"/>
            <w:vAlign w:val="center"/>
          </w:tcPr>
          <w:p>
            <w:pPr>
              <w:widowControl/>
              <w:jc w:val="left"/>
              <w:rPr>
                <w:rFonts w:hint="eastAsia" w:ascii="仿宋_GB2312" w:hAnsi="仿宋_GB2312" w:eastAsia="仿宋_GB2312" w:cs="仿宋_GB2312"/>
                <w:sz w:val="24"/>
                <w:szCs w:val="24"/>
              </w:rPr>
            </w:pPr>
          </w:p>
        </w:tc>
        <w:tc>
          <w:tcPr>
            <w:tcW w:w="1844"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3401" w:type="dxa"/>
            <w:vAlign w:val="center"/>
          </w:tcPr>
          <w:p>
            <w:pPr>
              <w:widowControl/>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保障各外办公楼正常运行</w:t>
            </w:r>
          </w:p>
        </w:tc>
        <w:tc>
          <w:tcPr>
            <w:tcW w:w="1701"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13" w:type="dxa"/>
            <w:vMerge w:val="continue"/>
            <w:vAlign w:val="center"/>
          </w:tcPr>
          <w:p>
            <w:pPr>
              <w:widowControl/>
              <w:jc w:val="left"/>
              <w:rPr>
                <w:rFonts w:eastAsia="仿宋_GB2312"/>
                <w:sz w:val="24"/>
                <w:szCs w:val="28"/>
              </w:rPr>
            </w:pPr>
          </w:p>
        </w:tc>
        <w:tc>
          <w:tcPr>
            <w:tcW w:w="1844" w:type="dxa"/>
            <w:vAlign w:val="center"/>
          </w:tcPr>
          <w:p>
            <w:pPr>
              <w:widowControl/>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时效指标</w:t>
            </w:r>
          </w:p>
        </w:tc>
        <w:tc>
          <w:tcPr>
            <w:tcW w:w="3401" w:type="dxa"/>
            <w:vAlign w:val="center"/>
          </w:tcPr>
          <w:p>
            <w:pPr>
              <w:widowControl/>
              <w:jc w:val="left"/>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lang w:eastAsia="zh-CN"/>
              </w:rPr>
              <w:t>全年</w:t>
            </w:r>
          </w:p>
        </w:tc>
        <w:tc>
          <w:tcPr>
            <w:tcW w:w="1701" w:type="dxa"/>
            <w:vAlign w:val="center"/>
          </w:tcPr>
          <w:p>
            <w:pPr>
              <w:widowControl/>
              <w:jc w:val="center"/>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413" w:type="dxa"/>
            <w:vMerge w:val="restart"/>
            <w:vAlign w:val="center"/>
          </w:tcPr>
          <w:p>
            <w:pPr>
              <w:widowControl/>
              <w:jc w:val="center"/>
              <w:rPr>
                <w:rFonts w:eastAsia="仿宋_GB2312"/>
                <w:sz w:val="24"/>
                <w:szCs w:val="28"/>
              </w:rPr>
            </w:pPr>
            <w:r>
              <w:rPr>
                <w:rFonts w:hint="eastAsia" w:eastAsia="仿宋_GB2312"/>
                <w:sz w:val="24"/>
                <w:szCs w:val="28"/>
              </w:rPr>
              <w:t>效果</w:t>
            </w:r>
          </w:p>
        </w:tc>
        <w:tc>
          <w:tcPr>
            <w:tcW w:w="1844" w:type="dxa"/>
            <w:vAlign w:val="center"/>
          </w:tcPr>
          <w:p>
            <w:pPr>
              <w:widowControl/>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社会效益指标</w:t>
            </w:r>
          </w:p>
        </w:tc>
        <w:tc>
          <w:tcPr>
            <w:tcW w:w="3401" w:type="dxa"/>
            <w:vAlign w:val="center"/>
          </w:tcPr>
          <w:p>
            <w:pPr>
              <w:widowControl/>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eastAsia="zh-CN"/>
              </w:rPr>
              <w:t>维持我区机关工作正常运行</w:t>
            </w:r>
          </w:p>
        </w:tc>
        <w:tc>
          <w:tcPr>
            <w:tcW w:w="1701" w:type="dxa"/>
            <w:vAlign w:val="center"/>
          </w:tcPr>
          <w:p>
            <w:pPr>
              <w:widowControl/>
              <w:jc w:val="center"/>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413" w:type="dxa"/>
            <w:vMerge w:val="continue"/>
            <w:vAlign w:val="center"/>
          </w:tcPr>
          <w:p>
            <w:pPr>
              <w:widowControl/>
              <w:jc w:val="left"/>
              <w:rPr>
                <w:rFonts w:eastAsia="仿宋_GB2312"/>
                <w:sz w:val="24"/>
                <w:szCs w:val="28"/>
              </w:rPr>
            </w:pPr>
          </w:p>
        </w:tc>
        <w:tc>
          <w:tcPr>
            <w:tcW w:w="1844" w:type="dxa"/>
            <w:vAlign w:val="center"/>
          </w:tcPr>
          <w:p>
            <w:pPr>
              <w:widowControl/>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满意度指标</w:t>
            </w:r>
          </w:p>
        </w:tc>
        <w:tc>
          <w:tcPr>
            <w:tcW w:w="3401" w:type="dxa"/>
            <w:vAlign w:val="center"/>
          </w:tcPr>
          <w:p>
            <w:pPr>
              <w:widowControl/>
              <w:jc w:val="left"/>
              <w:rPr>
                <w:rFonts w:hint="eastAsia" w:ascii="仿宋_GB2312" w:hAnsi="仿宋_GB2312" w:eastAsia="仿宋_GB2312" w:cs="仿宋_GB2312"/>
                <w:sz w:val="24"/>
                <w:szCs w:val="28"/>
                <w:lang w:eastAsia="zh-CN"/>
              </w:rPr>
            </w:pPr>
            <w:r>
              <w:rPr>
                <w:rFonts w:hint="eastAsia" w:ascii="仿宋_GB2312" w:hAnsi="仿宋_GB2312" w:eastAsia="仿宋_GB2312" w:cs="仿宋_GB2312"/>
                <w:sz w:val="24"/>
                <w:szCs w:val="28"/>
                <w:lang w:eastAsia="zh-CN"/>
              </w:rPr>
              <w:t>单位人员对物业服务的满意度</w:t>
            </w:r>
          </w:p>
        </w:tc>
        <w:tc>
          <w:tcPr>
            <w:tcW w:w="1701" w:type="dxa"/>
            <w:vAlign w:val="center"/>
          </w:tcPr>
          <w:p>
            <w:pPr>
              <w:widowControl/>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100%</w:t>
            </w:r>
          </w:p>
        </w:tc>
      </w:tr>
    </w:tbl>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kern w:val="0"/>
          <w:sz w:val="32"/>
          <w:szCs w:val="32"/>
          <w:lang w:eastAsia="zh-CN"/>
        </w:rPr>
        <w:t>（三）</w:t>
      </w:r>
      <w:r>
        <w:rPr>
          <w:rFonts w:hint="eastAsia" w:ascii="楷体_GB2312" w:hAnsi="楷体_GB2312" w:eastAsia="楷体_GB2312" w:cs="楷体_GB2312"/>
          <w:b/>
          <w:sz w:val="32"/>
          <w:szCs w:val="32"/>
        </w:rPr>
        <w:t>项目绩效目标未完成的，应进行原因分析</w:t>
      </w:r>
    </w:p>
    <w:p>
      <w:pPr>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lang w:val="en-US" w:eastAsia="zh-CN"/>
        </w:rPr>
        <w:t>2020</w:t>
      </w:r>
      <w:r>
        <w:rPr>
          <w:rFonts w:hint="eastAsia" w:ascii="仿宋_GB2312" w:hAnsi="仿宋_GB2312" w:eastAsia="仿宋_GB2312" w:cs="仿宋_GB2312"/>
          <w:sz w:val="32"/>
          <w:szCs w:val="20"/>
        </w:rPr>
        <w:t>年</w:t>
      </w:r>
      <w:r>
        <w:rPr>
          <w:rFonts w:hint="eastAsia" w:ascii="仿宋_GB2312" w:hAnsi="仿宋_GB2312" w:eastAsia="仿宋_GB2312" w:cs="仿宋_GB2312"/>
          <w:sz w:val="32"/>
          <w:szCs w:val="20"/>
          <w:lang w:eastAsia="zh-CN"/>
        </w:rPr>
        <w:t>物业管理项目</w:t>
      </w:r>
      <w:r>
        <w:rPr>
          <w:rFonts w:hint="eastAsia" w:ascii="仿宋_GB2312" w:hAnsi="仿宋_GB2312" w:eastAsia="仿宋_GB2312" w:cs="仿宋_GB2312"/>
          <w:sz w:val="32"/>
          <w:szCs w:val="20"/>
        </w:rPr>
        <w:t>绩效目标已完成。</w:t>
      </w:r>
    </w:p>
    <w:p>
      <w:pPr>
        <w:numPr>
          <w:ilvl w:val="0"/>
          <w:numId w:val="1"/>
        </w:numPr>
        <w:ind w:firstLine="645"/>
        <w:rPr>
          <w:rFonts w:hint="eastAsia" w:ascii="黑体" w:hAnsi="黑体" w:eastAsia="黑体" w:cs="黑体"/>
          <w:b w:val="0"/>
          <w:bCs/>
          <w:sz w:val="32"/>
          <w:szCs w:val="32"/>
        </w:rPr>
      </w:pPr>
      <w:r>
        <w:rPr>
          <w:rFonts w:hint="eastAsia" w:ascii="黑体" w:hAnsi="黑体" w:eastAsia="黑体" w:cs="黑体"/>
          <w:b w:val="0"/>
          <w:bCs/>
          <w:sz w:val="32"/>
          <w:szCs w:val="32"/>
        </w:rPr>
        <w:t>取得的成效</w:t>
      </w:r>
    </w:p>
    <w:p>
      <w:pPr>
        <w:numPr>
          <w:ilvl w:val="0"/>
          <w:numId w:val="0"/>
        </w:numPr>
        <w:ind w:firstLine="640" w:firstLineChars="200"/>
        <w:rPr>
          <w:rFonts w:hint="eastAsia" w:ascii="仿宋_GB2312" w:hAnsi="仿宋_GB2312" w:eastAsia="仿宋_GB2312" w:cs="仿宋_GB2312"/>
          <w:b w:val="0"/>
          <w:bCs w:val="0"/>
          <w:kern w:val="2"/>
          <w:sz w:val="32"/>
          <w:szCs w:val="20"/>
          <w:lang w:val="en-US" w:eastAsia="zh-CN" w:bidi="ar-SA"/>
        </w:rPr>
      </w:pPr>
      <w:r>
        <w:rPr>
          <w:rFonts w:hint="eastAsia" w:ascii="仿宋_GB2312" w:hAnsi="仿宋_GB2312" w:eastAsia="仿宋_GB2312" w:cs="仿宋_GB2312"/>
          <w:b w:val="0"/>
          <w:bCs w:val="0"/>
          <w:kern w:val="2"/>
          <w:sz w:val="32"/>
          <w:szCs w:val="20"/>
          <w:lang w:val="en-US" w:eastAsia="zh-CN" w:bidi="ar-SA"/>
        </w:rPr>
        <w:t>2020年我中心加强物业管理，制定物业考核制度，除对物业管理加强日常监督外，还加强对各基地物业的不定期巡查，要求各物业提供更科学、更贴心、更优质的物业服务，保障干部职工舒适安全的办公环境，使服务对象满意度提高，完成了预期目标任务。</w:t>
      </w:r>
    </w:p>
    <w:p>
      <w:pPr>
        <w:ind w:firstLine="645"/>
        <w:rPr>
          <w:rFonts w:ascii="黑体" w:hAnsi="黑体" w:eastAsia="黑体" w:cs="黑体"/>
          <w:b w:val="0"/>
          <w:bCs/>
          <w:sz w:val="32"/>
          <w:szCs w:val="32"/>
        </w:rPr>
      </w:pPr>
      <w:r>
        <w:rPr>
          <w:rFonts w:hint="eastAsia" w:ascii="黑体" w:hAnsi="黑体" w:eastAsia="黑体" w:cs="黑体"/>
          <w:b w:val="0"/>
          <w:bCs/>
          <w:sz w:val="32"/>
          <w:szCs w:val="32"/>
        </w:rPr>
        <w:t>四、存在的问题</w:t>
      </w:r>
    </w:p>
    <w:p>
      <w:pPr>
        <w:spacing w:line="360" w:lineRule="auto"/>
        <w:ind w:firstLine="640" w:firstLineChars="200"/>
        <w:rPr>
          <w:rFonts w:hint="eastAsia" w:ascii="宋体" w:hAnsi="宋体"/>
          <w:b/>
          <w:sz w:val="32"/>
          <w:szCs w:val="20"/>
          <w:lang w:val="en-US" w:eastAsia="zh-CN"/>
        </w:rPr>
      </w:pPr>
      <w:r>
        <w:rPr>
          <w:rFonts w:hint="eastAsia" w:ascii="仿宋_GB2312" w:hAnsi="仿宋_GB2312" w:eastAsia="仿宋_GB2312" w:cs="仿宋_GB2312"/>
          <w:sz w:val="32"/>
          <w:szCs w:val="32"/>
        </w:rPr>
        <w:t>项目在申请设立时制定科学合理的绩效目标</w:t>
      </w:r>
      <w:r>
        <w:rPr>
          <w:rFonts w:hint="eastAsia" w:ascii="仿宋_GB2312" w:hAnsi="仿宋_GB2312" w:eastAsia="仿宋_GB2312" w:cs="仿宋_GB2312"/>
          <w:sz w:val="32"/>
          <w:szCs w:val="32"/>
          <w:lang w:eastAsia="zh-CN"/>
        </w:rPr>
        <w:t>，需继续</w:t>
      </w:r>
      <w:r>
        <w:rPr>
          <w:rFonts w:hint="eastAsia" w:ascii="仿宋_GB2312" w:hAnsi="仿宋_GB2312" w:eastAsia="仿宋_GB2312" w:cs="仿宋_GB2312"/>
          <w:sz w:val="32"/>
          <w:szCs w:val="32"/>
        </w:rPr>
        <w:t>完善健全绩效评价工作机制</w:t>
      </w:r>
      <w:r>
        <w:rPr>
          <w:rFonts w:hint="eastAsia" w:ascii="仿宋_GB2312" w:hAnsi="仿宋_GB2312" w:eastAsia="仿宋_GB2312" w:cs="仿宋_GB2312"/>
          <w:sz w:val="32"/>
          <w:szCs w:val="32"/>
          <w:lang w:eastAsia="zh-CN"/>
        </w:rPr>
        <w:t>。</w:t>
      </w: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五、相关建议和整改措施</w:t>
      </w:r>
    </w:p>
    <w:p>
      <w:pPr>
        <w:spacing w:line="360" w:lineRule="auto"/>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针对绩效目标完成情况和存在的问题，将绩效目标分解为清晰、可衡量的指标，确定年初目标值，从定性和定量两个方面评价和分析项目实施情况和资金使用效益，完善项目绩效评价体系</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8"/>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4946"/>
    <w:multiLevelType w:val="singleLevel"/>
    <w:tmpl w:val="61C5494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F13D8"/>
    <w:rsid w:val="166F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120" w:after="120" w:line="360" w:lineRule="auto"/>
      <w:ind w:firstLine="723" w:firstLineChars="200"/>
      <w:outlineLvl w:val="2"/>
    </w:pPr>
    <w:rPr>
      <w:rFonts w:ascii="黑体" w:hAnsi="黑体" w:eastAsia="黑体" w:cs="黑体"/>
      <w:b/>
      <w:bCs/>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2021-12-27T07:08:00Z</dcterms:created>
  <dc:creator>wp</dc:creator>
  <cp:lastModifiedBy>wp</cp:lastModifiedBy>
  <dcterms:modified xsi:type="dcterms:W3CDTF">2021-12-27T07:09:33Z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