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ascii="仿宋_GB2312" w:eastAsia="仿宋_GB2312"/>
          <w:color w:val="auto"/>
          <w:sz w:val="44"/>
          <w:szCs w:val="44"/>
          <w:u w:val="none"/>
        </w:rPr>
      </w:pPr>
    </w:p>
    <w:p>
      <w:pPr>
        <w:spacing w:line="360" w:lineRule="auto"/>
        <w:rPr>
          <w:rFonts w:ascii="仿宋_GB2312" w:eastAsia="仿宋_GB2312"/>
          <w:color w:val="auto"/>
          <w:sz w:val="44"/>
          <w:szCs w:val="44"/>
          <w:u w:val="none"/>
        </w:rPr>
      </w:pPr>
    </w:p>
    <w:p>
      <w:pPr>
        <w:spacing w:line="360" w:lineRule="auto"/>
        <w:rPr>
          <w:rFonts w:ascii="仿宋_GB2312" w:eastAsia="仿宋_GB2312"/>
          <w:color w:val="auto"/>
          <w:sz w:val="44"/>
          <w:szCs w:val="44"/>
          <w:u w:val="none"/>
        </w:rPr>
      </w:pPr>
    </w:p>
    <w:p>
      <w:pPr>
        <w:spacing w:line="360" w:lineRule="auto"/>
        <w:rPr>
          <w:rFonts w:ascii="仿宋_GB2312" w:eastAsia="仿宋_GB2312"/>
          <w:color w:val="auto"/>
          <w:sz w:val="44"/>
          <w:szCs w:val="44"/>
          <w:u w:val="none"/>
        </w:rPr>
      </w:pPr>
    </w:p>
    <w:p>
      <w:pPr>
        <w:numPr>
          <w:ins w:id="0" w:author="Unknown" w:date=""/>
        </w:numPr>
        <w:jc w:val="center"/>
        <w:rPr>
          <w:rFonts w:ascii="宋体" w:hAnsi="宋体"/>
          <w:color w:val="auto"/>
          <w:sz w:val="44"/>
          <w:szCs w:val="44"/>
          <w:u w:val="none"/>
        </w:rPr>
      </w:pPr>
      <w:r>
        <w:rPr>
          <w:rFonts w:hint="eastAsia" w:ascii="宋体" w:hAnsi="宋体"/>
          <w:color w:val="auto"/>
          <w:sz w:val="44"/>
          <w:szCs w:val="44"/>
          <w:u w:val="none"/>
        </w:rPr>
        <w:t>部门</w:t>
      </w:r>
      <w:r>
        <w:rPr>
          <w:rFonts w:ascii="宋体" w:hAnsi="宋体"/>
          <w:color w:val="auto"/>
          <w:sz w:val="44"/>
          <w:szCs w:val="44"/>
          <w:u w:val="none"/>
        </w:rPr>
        <w:t>整体绩效</w:t>
      </w:r>
      <w:r>
        <w:rPr>
          <w:rFonts w:hint="eastAsia" w:ascii="宋体" w:hAnsi="宋体"/>
          <w:color w:val="auto"/>
          <w:sz w:val="44"/>
          <w:szCs w:val="44"/>
          <w:u w:val="none"/>
        </w:rPr>
        <w:t>评价</w:t>
      </w:r>
      <w:r>
        <w:rPr>
          <w:rFonts w:ascii="宋体" w:hAnsi="宋体"/>
          <w:color w:val="auto"/>
          <w:sz w:val="44"/>
          <w:szCs w:val="44"/>
          <w:u w:val="none"/>
        </w:rPr>
        <w:t>报告</w:t>
      </w:r>
    </w:p>
    <w:p>
      <w:pPr>
        <w:spacing w:line="360" w:lineRule="auto"/>
        <w:rPr>
          <w:rFonts w:ascii="仿宋_GB2312" w:eastAsia="仿宋_GB2312"/>
          <w:color w:val="auto"/>
          <w:sz w:val="32"/>
          <w:szCs w:val="32"/>
          <w:u w:val="none"/>
        </w:rPr>
      </w:pPr>
    </w:p>
    <w:p>
      <w:pPr>
        <w:spacing w:line="360" w:lineRule="auto"/>
        <w:rPr>
          <w:rFonts w:ascii="仿宋_GB2312" w:eastAsia="仿宋_GB2312"/>
          <w:color w:val="auto"/>
          <w:sz w:val="32"/>
          <w:szCs w:val="32"/>
          <w:u w:val="none"/>
        </w:rPr>
      </w:pPr>
    </w:p>
    <w:p>
      <w:pPr>
        <w:spacing w:line="360" w:lineRule="auto"/>
        <w:rPr>
          <w:rFonts w:ascii="仿宋_GB2312" w:eastAsia="仿宋_GB2312"/>
          <w:color w:val="auto"/>
          <w:sz w:val="32"/>
          <w:szCs w:val="32"/>
          <w:u w:val="none"/>
        </w:rPr>
      </w:pPr>
    </w:p>
    <w:p>
      <w:pPr>
        <w:spacing w:line="360" w:lineRule="auto"/>
        <w:rPr>
          <w:rFonts w:ascii="仿宋_GB2312" w:eastAsia="仿宋_GB2312"/>
          <w:color w:val="auto"/>
          <w:sz w:val="32"/>
          <w:szCs w:val="32"/>
          <w:u w:val="none"/>
        </w:rPr>
      </w:pPr>
    </w:p>
    <w:p>
      <w:pPr>
        <w:spacing w:line="360" w:lineRule="auto"/>
        <w:rPr>
          <w:rFonts w:ascii="仿宋_GB2312" w:eastAsia="仿宋_GB2312"/>
          <w:color w:val="auto"/>
          <w:sz w:val="32"/>
          <w:szCs w:val="32"/>
          <w:u w:val="none"/>
        </w:rPr>
      </w:pPr>
    </w:p>
    <w:p>
      <w:pPr>
        <w:spacing w:line="360" w:lineRule="auto"/>
        <w:rPr>
          <w:rFonts w:ascii="仿宋_GB2312" w:eastAsia="仿宋_GB2312"/>
          <w:color w:val="auto"/>
          <w:sz w:val="32"/>
          <w:szCs w:val="32"/>
          <w:u w:val="none"/>
        </w:rPr>
      </w:pPr>
    </w:p>
    <w:p>
      <w:pPr>
        <w:spacing w:line="360" w:lineRule="auto"/>
        <w:rPr>
          <w:rFonts w:ascii="仿宋_GB2312" w:eastAsia="仿宋_GB2312"/>
          <w:color w:val="auto"/>
          <w:sz w:val="32"/>
          <w:szCs w:val="32"/>
          <w:u w:val="none"/>
        </w:rPr>
      </w:pPr>
    </w:p>
    <w:p>
      <w:pPr>
        <w:spacing w:line="360" w:lineRule="auto"/>
        <w:ind w:firstLine="1760" w:firstLineChars="550"/>
        <w:rPr>
          <w:rFonts w:ascii="仿宋_GB2312" w:eastAsia="仿宋_GB2312"/>
          <w:color w:val="auto"/>
          <w:sz w:val="32"/>
          <w:szCs w:val="32"/>
          <w:u w:val="none"/>
        </w:rPr>
      </w:pPr>
      <w:r>
        <w:rPr>
          <w:rFonts w:hint="eastAsia" w:ascii="仿宋_GB2312" w:eastAsia="仿宋_GB2312"/>
          <w:color w:val="auto"/>
          <w:sz w:val="32"/>
          <w:szCs w:val="32"/>
          <w:u w:val="none"/>
        </w:rPr>
        <w:t>部门名称（公章）：</w:t>
      </w:r>
      <w:r>
        <w:rPr>
          <w:rFonts w:hint="eastAsia" w:ascii="仿宋_GB2312" w:eastAsia="仿宋_GB2312"/>
          <w:color w:val="auto"/>
          <w:sz w:val="32"/>
          <w:szCs w:val="32"/>
          <w:u w:val="none"/>
          <w:lang w:val="en-US" w:eastAsia="zh-CN"/>
        </w:rPr>
        <w:t>深圳市福田区机关事务管理局（本级）</w:t>
      </w:r>
    </w:p>
    <w:p>
      <w:pPr>
        <w:spacing w:line="360" w:lineRule="auto"/>
        <w:ind w:firstLine="1760" w:firstLineChars="550"/>
        <w:rPr>
          <w:rFonts w:ascii="仿宋_GB2312" w:eastAsia="仿宋_GB2312"/>
          <w:color w:val="auto"/>
          <w:sz w:val="32"/>
          <w:szCs w:val="32"/>
          <w:u w:val="none"/>
        </w:rPr>
      </w:pPr>
      <w:r>
        <w:rPr>
          <w:rFonts w:hint="eastAsia" w:ascii="仿宋_GB2312" w:eastAsia="仿宋_GB2312"/>
          <w:color w:val="auto"/>
          <w:sz w:val="32"/>
          <w:szCs w:val="32"/>
          <w:u w:val="none"/>
        </w:rPr>
        <w:t>填报人：</w:t>
      </w:r>
      <w:r>
        <w:rPr>
          <w:rFonts w:hint="eastAsia" w:ascii="仿宋_GB2312" w:eastAsia="仿宋_GB2312"/>
          <w:color w:val="auto"/>
          <w:sz w:val="32"/>
          <w:szCs w:val="32"/>
          <w:u w:val="none"/>
          <w:lang w:val="en-US" w:eastAsia="zh-CN"/>
        </w:rPr>
        <w:t>许沥丹</w:t>
      </w:r>
    </w:p>
    <w:p>
      <w:pPr>
        <w:spacing w:line="360" w:lineRule="auto"/>
        <w:ind w:firstLine="1760" w:firstLineChars="550"/>
        <w:rPr>
          <w:rFonts w:ascii="仿宋_GB2312" w:eastAsia="仿宋_GB2312"/>
          <w:color w:val="auto"/>
          <w:sz w:val="32"/>
          <w:szCs w:val="32"/>
          <w:u w:val="none"/>
        </w:rPr>
      </w:pPr>
      <w:r>
        <w:rPr>
          <w:rFonts w:hint="eastAsia" w:ascii="仿宋_GB2312" w:eastAsia="仿宋_GB2312"/>
          <w:color w:val="auto"/>
          <w:sz w:val="32"/>
          <w:szCs w:val="32"/>
          <w:u w:val="none"/>
        </w:rPr>
        <w:t>联系电话：</w:t>
      </w:r>
    </w:p>
    <w:p>
      <w:pPr>
        <w:jc w:val="center"/>
        <w:rPr>
          <w:rFonts w:ascii="仿宋_GB2312" w:eastAsia="仿宋_GB2312"/>
          <w:color w:val="auto"/>
          <w:sz w:val="32"/>
          <w:szCs w:val="32"/>
          <w:u w:val="none"/>
        </w:rPr>
      </w:pPr>
    </w:p>
    <w:p>
      <w:pPr>
        <w:jc w:val="center"/>
        <w:rPr>
          <w:rFonts w:ascii="宋体" w:hAnsi="宋体"/>
          <w:color w:val="auto"/>
          <w:sz w:val="44"/>
          <w:szCs w:val="44"/>
          <w:u w:val="none"/>
        </w:rPr>
      </w:pPr>
    </w:p>
    <w:p>
      <w:pPr>
        <w:jc w:val="center"/>
        <w:rPr>
          <w:rFonts w:ascii="宋体" w:hAnsi="宋体"/>
          <w:color w:val="auto"/>
          <w:sz w:val="44"/>
          <w:szCs w:val="44"/>
          <w:u w:val="none"/>
        </w:rPr>
      </w:pPr>
    </w:p>
    <w:p>
      <w:pPr>
        <w:rPr>
          <w:rFonts w:ascii="宋体" w:hAnsi="宋体"/>
          <w:color w:val="auto"/>
          <w:sz w:val="44"/>
          <w:szCs w:val="44"/>
          <w:u w:val="none"/>
        </w:rPr>
      </w:pPr>
    </w:p>
    <w:p>
      <w:pPr>
        <w:rPr>
          <w:rFonts w:ascii="宋体" w:hAnsi="宋体"/>
          <w:color w:val="auto"/>
          <w:sz w:val="44"/>
          <w:szCs w:val="44"/>
          <w:u w:val="none"/>
        </w:rPr>
      </w:pPr>
    </w:p>
    <w:p>
      <w:pPr>
        <w:rPr>
          <w:rFonts w:ascii="宋体" w:hAnsi="宋体"/>
          <w:color w:val="auto"/>
          <w:sz w:val="44"/>
          <w:szCs w:val="44"/>
          <w:u w:val="none"/>
        </w:rPr>
      </w:pPr>
    </w:p>
    <w:p>
      <w:pPr>
        <w:rPr>
          <w:rFonts w:hint="eastAsia" w:ascii="宋体" w:hAnsi="宋体"/>
          <w:color w:val="auto"/>
          <w:sz w:val="44"/>
          <w:szCs w:val="44"/>
          <w:u w:val="none"/>
        </w:rPr>
      </w:pPr>
    </w:p>
    <w:p>
      <w:pPr>
        <w:snapToGrid w:val="0"/>
        <w:spacing w:line="580" w:lineRule="exact"/>
        <w:ind w:firstLine="640" w:firstLineChars="200"/>
        <w:rPr>
          <w:rFonts w:ascii="黑体" w:hAnsi="黑体" w:eastAsia="黑体" w:cs="黑体"/>
          <w:bCs/>
          <w:color w:val="auto"/>
          <w:sz w:val="32"/>
          <w:szCs w:val="32"/>
          <w:u w:val="none"/>
        </w:rPr>
      </w:pPr>
      <w:r>
        <w:rPr>
          <w:rFonts w:hint="eastAsia" w:ascii="黑体" w:hAnsi="黑体" w:eastAsia="黑体" w:cs="黑体"/>
          <w:bCs/>
          <w:color w:val="auto"/>
          <w:sz w:val="32"/>
          <w:szCs w:val="32"/>
          <w:u w:val="none"/>
        </w:rPr>
        <w:t>一、部门基本情况</w:t>
      </w:r>
    </w:p>
    <w:p>
      <w:pPr>
        <w:numPr>
          <w:ilvl w:val="0"/>
          <w:numId w:val="1"/>
        </w:numPr>
        <w:snapToGrid w:val="0"/>
        <w:spacing w:line="580" w:lineRule="exact"/>
        <w:ind w:left="0" w:leftChars="0" w:firstLine="420" w:firstLineChars="0"/>
        <w:rPr>
          <w:rFonts w:hint="eastAsia" w:ascii="仿宋_GB2312" w:hAnsi="Adobe 楷体 Std R" w:eastAsia="仿宋_GB2312"/>
          <w:color w:val="auto"/>
          <w:sz w:val="32"/>
          <w:szCs w:val="32"/>
          <w:u w:val="none"/>
        </w:rPr>
      </w:pPr>
      <w:r>
        <w:rPr>
          <w:rFonts w:hint="eastAsia" w:ascii="仿宋_GB2312" w:hAnsi="Adobe 楷体 Std R" w:eastAsia="仿宋_GB2312"/>
          <w:b/>
          <w:bCs/>
          <w:color w:val="auto"/>
          <w:sz w:val="32"/>
          <w:szCs w:val="32"/>
          <w:u w:val="none"/>
        </w:rPr>
        <w:t>部门主要职能。</w:t>
      </w:r>
    </w:p>
    <w:p>
      <w:pPr>
        <w:keepNext w:val="0"/>
        <w:keepLines w:val="0"/>
        <w:pageBreakBefore w:val="0"/>
        <w:kinsoku/>
        <w:wordWrap/>
        <w:overflowPunct/>
        <w:topLinePunct w:val="0"/>
        <w:autoSpaceDE/>
        <w:autoSpaceDN/>
        <w:bidi w:val="0"/>
        <w:adjustRightInd/>
        <w:snapToGrid w:val="0"/>
        <w:spacing w:line="580" w:lineRule="exact"/>
        <w:ind w:left="420" w:leftChars="0" w:firstLine="640" w:firstLineChars="200"/>
        <w:rPr>
          <w:rFonts w:hint="eastAsia" w:ascii="仿宋_GB2312" w:hAnsi="Adobe 楷体 Std R" w:eastAsia="仿宋_GB2312"/>
          <w:color w:val="auto"/>
          <w:sz w:val="32"/>
          <w:szCs w:val="32"/>
          <w:u w:val="none"/>
          <w:lang w:val="en-US" w:eastAsia="zh-CN"/>
        </w:rPr>
      </w:pPr>
      <w:r>
        <w:rPr>
          <w:rFonts w:hint="eastAsia" w:ascii="仿宋_GB2312" w:hAnsi="Adobe 楷体 Std R" w:eastAsia="仿宋_GB2312"/>
          <w:color w:val="auto"/>
          <w:sz w:val="32"/>
          <w:szCs w:val="32"/>
          <w:u w:val="none"/>
          <w:lang w:val="en-US" w:eastAsia="zh-CN"/>
        </w:rPr>
        <w:t>区机关事务管理局(以下简称“我局”)是承担机关事务管理职能的区政府直属行政事务机构，我局的主要负责区委区政府公务活动保障；区委大院事务管理、后勤保障服务；区机关办公用房的统筹管理；全区机关事业普通类公务用车的更新、购置以及福田区公务用车管理平台建设运营；全区公共结构节能工作的组织实施；防疫工作保障；完成上级交办的其他任务。</w:t>
      </w:r>
    </w:p>
    <w:p>
      <w:pPr>
        <w:numPr>
          <w:ilvl w:val="0"/>
          <w:numId w:val="1"/>
        </w:numPr>
        <w:snapToGrid w:val="0"/>
        <w:spacing w:line="580" w:lineRule="exact"/>
        <w:ind w:left="0" w:leftChars="0" w:firstLine="420" w:firstLineChars="0"/>
        <w:rPr>
          <w:rFonts w:hint="eastAsia" w:ascii="仿宋_GB2312" w:hAnsi="仿宋_GB2312" w:eastAsia="仿宋_GB2312" w:cs="仿宋_GB2312"/>
          <w:b/>
          <w:bCs/>
          <w:color w:val="auto"/>
          <w:sz w:val="32"/>
          <w:szCs w:val="32"/>
          <w:u w:val="none"/>
        </w:rPr>
      </w:pPr>
      <w:r>
        <w:rPr>
          <w:rFonts w:hint="eastAsia" w:ascii="仿宋_GB2312" w:hAnsi="仿宋_GB2312" w:eastAsia="仿宋_GB2312" w:cs="仿宋_GB2312"/>
          <w:b/>
          <w:bCs/>
          <w:color w:val="auto"/>
          <w:sz w:val="32"/>
          <w:szCs w:val="32"/>
          <w:u w:val="none"/>
        </w:rPr>
        <w:t>年度总体工作和重点工作任务。</w:t>
      </w:r>
    </w:p>
    <w:p>
      <w:pPr>
        <w:snapToGrid w:val="0"/>
        <w:spacing w:line="580" w:lineRule="exact"/>
        <w:ind w:left="420" w:leftChars="0" w:firstLine="420" w:firstLineChars="0"/>
        <w:rPr>
          <w:rFonts w:hint="eastAsia" w:ascii="仿宋_GB2312" w:hAnsi="仿宋_GB2312" w:eastAsia="仿宋_GB2312" w:cs="仿宋_GB2312"/>
          <w:color w:val="auto"/>
          <w:sz w:val="32"/>
          <w:szCs w:val="32"/>
          <w:u w:val="none"/>
        </w:rPr>
      </w:pPr>
      <w:r>
        <w:rPr>
          <w:rFonts w:hint="eastAsia" w:ascii="仿宋_GB2312" w:hAnsi="Adobe 楷体 Std R" w:eastAsia="仿宋_GB2312"/>
          <w:color w:val="auto"/>
          <w:sz w:val="32"/>
          <w:szCs w:val="32"/>
          <w:u w:val="none"/>
          <w:lang w:val="en-US" w:eastAsia="zh-CN"/>
        </w:rPr>
        <w:t>2021年，我局按照创建“平安、绿色、美丽、人文、幸福”的新时代美好机关要求，立足福田新三十年再出发大局，转变理念，提升效能，以“首善”服务助力福田区全方位高质量发展。年度总体工作和重点任务如下:1.强根铸魂，基层战斗堡垒坚强有力。着力加强党的建设；全面强化队伍建设；扎实推进廉政建设；深入践行“我为群众办实事”实践活动。2.力行不辍，机关大院品质提档升级。统筹推进大院综合整治；用心打造花园式美丽机关；持续推进节约型机关创建。3.勇于实践，后勤管理质效稳步增进。强化大院管理。4.担当作为，急难险重任务落实有力。重大活动保障勇挑重担；疫情防控战斗冲锋在前。</w:t>
      </w:r>
    </w:p>
    <w:p>
      <w:pPr>
        <w:numPr>
          <w:ilvl w:val="0"/>
          <w:numId w:val="1"/>
        </w:numPr>
        <w:snapToGrid w:val="0"/>
        <w:spacing w:line="580" w:lineRule="exact"/>
        <w:ind w:left="0" w:leftChars="0" w:firstLine="420" w:firstLineChars="0"/>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b/>
          <w:bCs/>
          <w:color w:val="auto"/>
          <w:sz w:val="32"/>
          <w:szCs w:val="32"/>
          <w:u w:val="none"/>
          <w:lang w:val="en-US" w:eastAsia="zh-CN"/>
        </w:rPr>
        <w:t>2021</w:t>
      </w:r>
      <w:r>
        <w:rPr>
          <w:rFonts w:hint="eastAsia" w:ascii="仿宋_GB2312" w:hAnsi="仿宋_GB2312" w:eastAsia="仿宋_GB2312" w:cs="仿宋_GB2312"/>
          <w:b/>
          <w:bCs/>
          <w:color w:val="auto"/>
          <w:sz w:val="32"/>
          <w:szCs w:val="32"/>
          <w:u w:val="none"/>
        </w:rPr>
        <w:t>年部门预算编制情况。</w:t>
      </w:r>
    </w:p>
    <w:p>
      <w:pPr>
        <w:numPr>
          <w:ilvl w:val="0"/>
          <w:numId w:val="2"/>
        </w:numPr>
        <w:snapToGrid w:val="0"/>
        <w:spacing w:line="580" w:lineRule="exact"/>
        <w:ind w:left="420" w:leftChars="0" w:firstLine="420" w:firstLineChars="0"/>
        <w:rPr>
          <w:rFonts w:hint="eastAsia" w:ascii="仿宋_GB2312" w:hAnsi="Adobe 楷体 Std R" w:eastAsia="仿宋_GB2312"/>
          <w:color w:val="auto"/>
          <w:sz w:val="32"/>
          <w:szCs w:val="32"/>
          <w:u w:val="none"/>
          <w:lang w:val="en-US" w:eastAsia="zh-CN"/>
        </w:rPr>
      </w:pPr>
      <w:r>
        <w:rPr>
          <w:rFonts w:hint="eastAsia" w:ascii="仿宋_GB2312" w:hAnsi="Adobe 楷体 Std R" w:eastAsia="仿宋_GB2312"/>
          <w:color w:val="auto"/>
          <w:sz w:val="32"/>
          <w:szCs w:val="32"/>
          <w:u w:val="none"/>
          <w:lang w:val="en-US" w:eastAsia="zh-CN"/>
        </w:rPr>
        <w:t>预算编制</w:t>
      </w:r>
    </w:p>
    <w:p>
      <w:pPr>
        <w:numPr>
          <w:ilvl w:val="0"/>
          <w:numId w:val="0"/>
        </w:numPr>
        <w:snapToGrid w:val="0"/>
        <w:spacing w:line="580" w:lineRule="exact"/>
        <w:ind w:firstLine="640" w:firstLineChars="200"/>
        <w:rPr>
          <w:rFonts w:hint="eastAsia" w:ascii="仿宋_GB2312" w:hAnsi="Adobe 楷体 Std R" w:eastAsia="仿宋_GB2312"/>
          <w:color w:val="auto"/>
          <w:sz w:val="32"/>
          <w:szCs w:val="32"/>
          <w:u w:val="none"/>
          <w:lang w:val="en-US" w:eastAsia="zh-CN"/>
        </w:rPr>
      </w:pPr>
      <w:r>
        <w:rPr>
          <w:rFonts w:hint="eastAsia" w:ascii="仿宋_GB2312" w:hAnsi="Adobe 楷体 Std R" w:eastAsia="仿宋_GB2312"/>
          <w:color w:val="auto"/>
          <w:sz w:val="32"/>
          <w:szCs w:val="32"/>
          <w:u w:val="none"/>
          <w:lang w:val="en-US" w:eastAsia="zh-CN"/>
        </w:rPr>
        <w:t>根据福田区2021年部门预算通知要求，我局高效组织开展2021年部门预算编制工作，各部门根据本部门职责及工作任务申报2021年度项目支出预算，并按程序审核后汇总编制形成2021年度部门预算草案，按照“三上三下”的部门预算编制程序和时间要求进行报送。我局2021年部门预算7,566.46万元, 包括人员支出1,997.54万元、</w:t>
      </w:r>
      <w:r>
        <w:rPr>
          <w:rFonts w:hint="eastAsia" w:ascii="仿宋_GB2312" w:hAnsi="Adobe 楷体 Std R" w:eastAsia="仿宋_GB2312" w:cs="Times New Roman"/>
          <w:color w:val="auto"/>
          <w:sz w:val="32"/>
          <w:szCs w:val="32"/>
          <w:u w:val="none"/>
          <w:lang w:val="en-US" w:eastAsia="zh-CN"/>
        </w:rPr>
        <w:t>公用支出119.56万元、离退休人员支出129.92万元，项目支</w:t>
      </w:r>
      <w:r>
        <w:rPr>
          <w:rFonts w:hint="eastAsia" w:ascii="仿宋_GB2312" w:hAnsi="Adobe 楷体 Std R" w:eastAsia="仿宋_GB2312"/>
          <w:color w:val="auto"/>
          <w:sz w:val="32"/>
          <w:szCs w:val="32"/>
          <w:u w:val="none"/>
          <w:lang w:val="en-US" w:eastAsia="zh-CN"/>
        </w:rPr>
        <w:t xml:space="preserve">出5319.44万元。其中，购置费35.2万元，修缮费 550.00万元，一般管理事务2,452.24万元，大楼管理1,052.00万元，后勤保障80.00万元，物业管理870.00万元，政务活动75.00万元，国家药监局大湾区分中心筹备专项200.00万元，预算准备金 5.00 万元。以上预算金额和项目安排符合本局职责、符合市委市政府方针政策和工作要求，并根据2021年度工作重点在不同项目、不同用途之间进行了合理分配，预算编制细化程度合理，功能分类和经济分类编制准确，符合财政部门关于2021年度预算编制的各项原则和要求。 </w:t>
      </w:r>
    </w:p>
    <w:p>
      <w:pPr>
        <w:numPr>
          <w:ilvl w:val="0"/>
          <w:numId w:val="0"/>
        </w:numPr>
        <w:snapToGrid w:val="0"/>
        <w:spacing w:line="580" w:lineRule="exact"/>
        <w:ind w:firstLine="320" w:firstLineChars="100"/>
        <w:rPr>
          <w:rFonts w:hint="eastAsia" w:ascii="仿宋_GB2312" w:hAnsi="Adobe 楷体 Std R" w:eastAsia="仿宋_GB2312"/>
          <w:color w:val="auto"/>
          <w:sz w:val="32"/>
          <w:szCs w:val="32"/>
          <w:u w:val="none"/>
          <w:lang w:val="en-US" w:eastAsia="zh-CN"/>
        </w:rPr>
      </w:pPr>
      <w:r>
        <w:rPr>
          <w:rFonts w:hint="eastAsia" w:ascii="仿宋_GB2312" w:hAnsi="Adobe 楷体 Std R" w:eastAsia="仿宋_GB2312"/>
          <w:color w:val="auto"/>
          <w:sz w:val="32"/>
          <w:szCs w:val="32"/>
          <w:u w:val="none"/>
          <w:lang w:val="en-US" w:eastAsia="zh-CN"/>
        </w:rPr>
        <w:t>
2.绩效目标
</w:t>
      </w:r>
    </w:p>
    <w:p>
      <w:pPr>
        <w:numPr>
          <w:ilvl w:val="0"/>
          <w:numId w:val="0"/>
        </w:numPr>
        <w:snapToGrid w:val="0"/>
        <w:spacing w:line="580" w:lineRule="exact"/>
        <w:ind w:firstLine="640" w:firstLineChars="200"/>
        <w:rPr>
          <w:rFonts w:ascii="仿宋_GB2312" w:hAnsi="仿宋_GB2312" w:eastAsia="仿宋_GB2312" w:cs="仿宋_GB2312"/>
          <w:color w:val="auto"/>
          <w:sz w:val="32"/>
          <w:szCs w:val="32"/>
          <w:u w:val="none"/>
        </w:rPr>
      </w:pPr>
      <w:r>
        <w:rPr>
          <w:rFonts w:hint="eastAsia" w:ascii="仿宋_GB2312" w:hAnsi="Adobe 楷体 Std R" w:eastAsia="仿宋_GB2312"/>
          <w:color w:val="auto"/>
          <w:sz w:val="32"/>
          <w:szCs w:val="32"/>
          <w:u w:val="none"/>
          <w:lang w:val="en-US" w:eastAsia="zh-CN"/>
        </w:rPr>
        <w:t>按照2021年度预算绩效目标编审的工作要求，我局本级编制了2021年部门（单位）整体支出绩效目标表和项目支出绩效目标申报表，实现绩效目标全覆盖，同时与部门预算草案一同向社会进行公开。我局2021年部门整体支出绩效目标细化分解为大楼管理、修缮费、物业管理、后勤保障、政务活动、国家药监局大湾区分中心筹备专项项目等工作任务，按照产出（数量、质量、时效、成本）、效益（经济效益、社会效益、生态效益、可持续影响）和满意度设定绩效指标，基本明确指标名称和目标值，并确保与部门年度任务数或计划数相对应，但存在部分指标设置不明确，具体见问题描述。我局本级共计针对12个二级预算项目编制了项目支出绩效目标并向社会公开，编报的项目支出绩效指标包含量化的绩效指标、具有清晰、可衡量的指标值，能够明确体现我局社会、经济、生态效益等履职效果，绩效指标目标值测算基本符合客观实际情况。</w:t>
      </w:r>
    </w:p>
    <w:p>
      <w:pPr>
        <w:numPr>
          <w:ilvl w:val="0"/>
          <w:numId w:val="1"/>
        </w:numPr>
        <w:snapToGrid w:val="0"/>
        <w:spacing w:line="580" w:lineRule="exact"/>
        <w:ind w:left="0" w:leftChars="0" w:firstLine="420" w:firstLineChars="0"/>
        <w:rPr>
          <w:rFonts w:hint="eastAsia" w:ascii="仿宋_GB2312" w:hAnsi="楷体_GB2312" w:eastAsia="仿宋_GB2312" w:cs="楷体_GB2312"/>
          <w:bCs/>
          <w:color w:val="auto"/>
          <w:sz w:val="32"/>
          <w:szCs w:val="32"/>
          <w:u w:val="none"/>
        </w:rPr>
      </w:pPr>
      <w:r>
        <w:rPr>
          <w:rFonts w:hint="eastAsia" w:ascii="仿宋_GB2312" w:hAnsi="仿宋_GB2312" w:eastAsia="仿宋_GB2312" w:cs="仿宋_GB2312"/>
          <w:b/>
          <w:bCs/>
          <w:color w:val="auto"/>
          <w:sz w:val="32"/>
          <w:szCs w:val="32"/>
          <w:u w:val="none"/>
          <w:lang w:val="en-US" w:eastAsia="zh-CN"/>
        </w:rPr>
        <w:t>2021</w:t>
      </w:r>
      <w:r>
        <w:rPr>
          <w:rFonts w:hint="eastAsia" w:ascii="仿宋_GB2312" w:hAnsi="楷体_GB2312" w:eastAsia="仿宋_GB2312" w:cs="楷体_GB2312"/>
          <w:b/>
          <w:bCs/>
          <w:color w:val="auto"/>
          <w:sz w:val="32"/>
          <w:szCs w:val="32"/>
          <w:u w:val="none"/>
        </w:rPr>
        <w:t>年部门预算执行情</w:t>
      </w:r>
      <w:r>
        <w:rPr>
          <w:rFonts w:hint="eastAsia" w:ascii="仿宋_GB2312" w:hAnsi="楷体_GB2312" w:eastAsia="仿宋_GB2312" w:cs="楷体_GB2312"/>
          <w:b/>
          <w:bCs w:val="0"/>
          <w:color w:val="auto"/>
          <w:sz w:val="32"/>
          <w:szCs w:val="32"/>
          <w:u w:val="none"/>
        </w:rPr>
        <w:t>况。</w:t>
      </w:r>
    </w:p>
    <w:p>
      <w:pPr>
        <w:numPr>
          <w:ilvl w:val="0"/>
          <w:numId w:val="0"/>
        </w:numPr>
        <w:snapToGrid w:val="0"/>
        <w:spacing w:line="580" w:lineRule="exact"/>
        <w:ind w:left="420" w:leftChars="0" w:firstLine="320" w:firstLineChars="100"/>
        <w:rPr>
          <w:rFonts w:hint="eastAsia" w:ascii="仿宋_GB2312" w:hAnsi="Adobe 楷体 Std R" w:eastAsia="仿宋_GB2312"/>
          <w:color w:val="auto"/>
          <w:sz w:val="32"/>
          <w:szCs w:val="32"/>
          <w:u w:val="none"/>
          <w:lang w:val="en-US" w:eastAsia="zh-CN"/>
        </w:rPr>
      </w:pPr>
      <w:r>
        <w:rPr>
          <w:rFonts w:hint="eastAsia" w:ascii="仿宋_GB2312" w:hAnsi="Adobe 楷体 Std R" w:eastAsia="仿宋_GB2312"/>
          <w:color w:val="auto"/>
          <w:sz w:val="32"/>
          <w:szCs w:val="32"/>
          <w:u w:val="none"/>
          <w:lang w:val="en-US" w:eastAsia="zh-CN"/>
        </w:rPr>
        <w:t>1.资金管理
</w:t>
      </w:r>
    </w:p>
    <w:p>
      <w:pPr>
        <w:numPr>
          <w:ilvl w:val="0"/>
          <w:numId w:val="0"/>
        </w:numPr>
        <w:snapToGrid w:val="0"/>
        <w:spacing w:line="580" w:lineRule="exact"/>
        <w:ind w:left="0" w:leftChars="0" w:firstLine="640" w:firstLineChars="200"/>
        <w:rPr>
          <w:rFonts w:hint="eastAsia" w:ascii="仿宋_GB2312" w:hAnsi="Adobe 楷体 Std R" w:eastAsia="仿宋_GB2312"/>
          <w:color w:val="auto"/>
          <w:sz w:val="32"/>
          <w:szCs w:val="32"/>
          <w:u w:val="none"/>
          <w:lang w:val="en-US" w:eastAsia="zh-CN"/>
        </w:rPr>
      </w:pPr>
      <w:r>
        <w:rPr>
          <w:rFonts w:hint="eastAsia" w:ascii="仿宋_GB2312" w:hAnsi="Adobe 楷体 Std R" w:eastAsia="仿宋_GB2312"/>
          <w:color w:val="auto"/>
          <w:sz w:val="32"/>
          <w:szCs w:val="32"/>
          <w:u w:val="none"/>
          <w:lang w:val="en-US" w:eastAsia="zh-CN"/>
        </w:rPr>
        <w:t>我局2021年预算项目间调剂279.06万元，按照年初共计安排7,566.46万元为基础，预算项目调剂率为3.69%。
我局2021年度采购预算金额2,233.66万元，实际采购金额1,934.71万元，政府采购执行率87%，政府采购执行情况良好,有效执行和落实了政府采购政策功能。我局2021年度资金管理、费用标准、支付符合有关制度规定，严格按事项完成进度支付资金；在本单位年初自主申报项目的基础上，资金调整调剂规范，调整、调剂资金累计占年初预算的比例为140.37%（含代支付项目），超过部门预算总规模10%；我局严格规范执行会计核算制度，支出凭证符合相关规定；未发生超范围、超标准支出，未发现虚列支出和截留、挤占、挪用项目资金及其他不符合制度规定支出情况。
我局按财政部门要求于2021年2月26日在福田区政府在线和机关事务管理局官网公开了2021年部门预算，2021年12月27日在福田政府在线和机关事务管理局官网公开了2020年度部门决算。2021年部门预算和2020年部门决算公开的内容、时限、范围等方面，均符合《地方预决算公开操作规程》（财预〔2016〕143号）、《深圳市预算公开工作管理办法》（深财预〔2016〕136号）等文件要求。</w:t>
      </w:r>
    </w:p>
    <w:p>
      <w:pPr>
        <w:numPr>
          <w:ilvl w:val="0"/>
          <w:numId w:val="2"/>
        </w:numPr>
        <w:snapToGrid w:val="0"/>
        <w:spacing w:line="580" w:lineRule="exact"/>
        <w:ind w:left="420" w:leftChars="0" w:firstLine="420" w:firstLineChars="0"/>
        <w:rPr>
          <w:rFonts w:hint="eastAsia" w:ascii="仿宋_GB2312" w:hAnsi="Adobe 楷体 Std R" w:eastAsia="仿宋_GB2312"/>
          <w:color w:val="auto"/>
          <w:sz w:val="32"/>
          <w:szCs w:val="32"/>
          <w:u w:val="none"/>
          <w:lang w:val="en-US" w:eastAsia="zh-CN"/>
        </w:rPr>
      </w:pPr>
      <w:r>
        <w:rPr>
          <w:rFonts w:hint="eastAsia" w:ascii="仿宋_GB2312" w:hAnsi="Adobe 楷体 Std R" w:eastAsia="仿宋_GB2312"/>
          <w:color w:val="auto"/>
          <w:sz w:val="32"/>
          <w:szCs w:val="32"/>
          <w:u w:val="none"/>
          <w:lang w:val="en-US" w:eastAsia="zh-CN"/>
        </w:rPr>
        <w:t xml:space="preserve">项目管理 </w:t>
      </w:r>
    </w:p>
    <w:p>
      <w:pPr>
        <w:numPr>
          <w:ilvl w:val="0"/>
          <w:numId w:val="0"/>
        </w:numPr>
        <w:snapToGrid w:val="0"/>
        <w:spacing w:line="580" w:lineRule="exact"/>
        <w:ind w:left="0" w:leftChars="0" w:firstLine="640" w:firstLineChars="200"/>
        <w:rPr>
          <w:rFonts w:hint="eastAsia" w:ascii="仿宋_GB2312" w:hAnsi="Adobe 楷体 Std R" w:eastAsia="仿宋_GB2312"/>
          <w:color w:val="auto"/>
          <w:sz w:val="32"/>
          <w:szCs w:val="32"/>
          <w:u w:val="none"/>
          <w:lang w:val="en-US" w:eastAsia="zh-CN"/>
        </w:rPr>
      </w:pPr>
      <w:r>
        <w:rPr>
          <w:rFonts w:hint="eastAsia" w:ascii="仿宋_GB2312" w:hAnsi="Adobe 楷体 Std R" w:eastAsia="仿宋_GB2312"/>
          <w:color w:val="auto"/>
          <w:sz w:val="32"/>
          <w:szCs w:val="32"/>
          <w:u w:val="none"/>
          <w:lang w:val="en-US" w:eastAsia="zh-CN"/>
        </w:rPr>
        <w:t>我局2021年度按照财政管理要求，2021年度共计实施13个预算项目，按照项目类型划分，一般性项目12个，政府投资项目1个；按照项目下达时间划分，年初预算安排项目9个，上年及往年结转项目0个，年中调整委派新增项目4个。
我局13个预算项目的设立、调整按规定履行报批程序，项目申报、批复程序符合相关管理办法；项目采购、实施、验收均严格执行相关制度规定，项目验收履行相应手续。
  我局建立了有效的资金管理和绩效运行监控机制，且执行情况良好。项目资金支出按照财务支出审批权限和程序执行，业务部门、财务人员及相关领导对各项支出进行审核把关，发现问题马上督促整改。2021年8月份组织对全年预算执行情况和绩效目标实现情况进行监控，确保预算绩效目标按要求完成。
</w:t>
      </w:r>
    </w:p>
    <w:p>
      <w:pPr>
        <w:numPr>
          <w:ilvl w:val="0"/>
          <w:numId w:val="2"/>
        </w:numPr>
        <w:snapToGrid w:val="0"/>
        <w:spacing w:line="580" w:lineRule="exact"/>
        <w:ind w:left="420" w:leftChars="0" w:firstLine="420" w:firstLineChars="0"/>
        <w:rPr>
          <w:rFonts w:hint="eastAsia" w:ascii="仿宋_GB2312" w:hAnsi="Adobe 楷体 Std R" w:eastAsia="仿宋_GB2312"/>
          <w:color w:val="auto"/>
          <w:sz w:val="32"/>
          <w:szCs w:val="32"/>
          <w:u w:val="none"/>
          <w:lang w:val="en-US" w:eastAsia="zh-CN"/>
        </w:rPr>
      </w:pPr>
      <w:r>
        <w:rPr>
          <w:rFonts w:hint="eastAsia" w:ascii="仿宋_GB2312" w:hAnsi="Adobe 楷体 Std R" w:eastAsia="仿宋_GB2312"/>
          <w:color w:val="auto"/>
          <w:sz w:val="32"/>
          <w:szCs w:val="32"/>
          <w:u w:val="none"/>
          <w:lang w:val="en-US" w:eastAsia="zh-CN"/>
        </w:rPr>
        <w:t>资产管理
</w:t>
      </w:r>
    </w:p>
    <w:p>
      <w:pPr>
        <w:numPr>
          <w:ilvl w:val="0"/>
          <w:numId w:val="0"/>
        </w:numPr>
        <w:snapToGrid w:val="0"/>
        <w:spacing w:line="580" w:lineRule="exact"/>
        <w:ind w:firstLine="640" w:firstLineChars="200"/>
        <w:rPr>
          <w:rFonts w:hint="eastAsia" w:ascii="仿宋_GB2312" w:hAnsi="Adobe 楷体 Std R" w:eastAsia="仿宋_GB2312"/>
          <w:color w:val="auto"/>
          <w:sz w:val="32"/>
          <w:szCs w:val="32"/>
          <w:u w:val="none"/>
          <w:lang w:val="en-US" w:eastAsia="zh-CN"/>
        </w:rPr>
      </w:pPr>
      <w:r>
        <w:rPr>
          <w:rFonts w:hint="eastAsia" w:ascii="仿宋_GB2312" w:hAnsi="Adobe 楷体 Std R" w:eastAsia="仿宋_GB2312"/>
          <w:color w:val="auto"/>
          <w:sz w:val="32"/>
          <w:szCs w:val="32"/>
          <w:u w:val="none"/>
          <w:lang w:val="en-US" w:eastAsia="zh-CN"/>
        </w:rPr>
        <w:t>我局2021年末资产总额为3,221.58万元，其中固定资产净值为1740.26万元，实际在用固定资产原值为3,092.91万元，固定资产利用率为100%。我局2021年共计新增918项固定资产，新增的固定资产账面原值为484.62万元，资产配置合理、保管完整，账实相符；2021年共计开展8批次固定资产处置工作，减少的固定资产账面原值为1,482.75万元，分别为：发生资产报废处置3笔，调出资产处置5笔，以上资产处置事项均规范合理，有偿使用及处置收入均及时足额上缴。
</w:t>
      </w:r>
    </w:p>
    <w:p>
      <w:pPr>
        <w:numPr>
          <w:ilvl w:val="0"/>
          <w:numId w:val="2"/>
        </w:numPr>
        <w:snapToGrid w:val="0"/>
        <w:spacing w:line="580" w:lineRule="exact"/>
        <w:ind w:left="420" w:leftChars="0" w:firstLine="420" w:firstLineChars="0"/>
        <w:rPr>
          <w:rFonts w:hint="eastAsia" w:ascii="仿宋_GB2312" w:hAnsi="Adobe 楷体 Std R" w:eastAsia="仿宋_GB2312"/>
          <w:color w:val="auto"/>
          <w:sz w:val="32"/>
          <w:szCs w:val="32"/>
          <w:u w:val="none"/>
          <w:lang w:val="en-US" w:eastAsia="zh-CN"/>
        </w:rPr>
      </w:pPr>
      <w:r>
        <w:rPr>
          <w:rFonts w:hint="eastAsia" w:ascii="仿宋_GB2312" w:hAnsi="Adobe 楷体 Std R" w:eastAsia="仿宋_GB2312"/>
          <w:color w:val="auto"/>
          <w:sz w:val="32"/>
          <w:szCs w:val="32"/>
          <w:u w:val="none"/>
          <w:lang w:val="en-US" w:eastAsia="zh-CN"/>
        </w:rPr>
        <w:t>人员管理
</w:t>
      </w:r>
    </w:p>
    <w:p>
      <w:pPr>
        <w:numPr>
          <w:ilvl w:val="0"/>
          <w:numId w:val="0"/>
        </w:numPr>
        <w:snapToGrid w:val="0"/>
        <w:spacing w:line="580" w:lineRule="exact"/>
        <w:ind w:firstLine="640" w:firstLineChars="200"/>
        <w:rPr>
          <w:rFonts w:hint="eastAsia" w:ascii="仿宋_GB2312" w:hAnsi="Adobe 楷体 Std R" w:eastAsia="仿宋_GB2312"/>
          <w:color w:val="auto"/>
          <w:sz w:val="32"/>
          <w:szCs w:val="32"/>
          <w:u w:val="none"/>
          <w:lang w:val="en-US" w:eastAsia="zh-CN"/>
        </w:rPr>
      </w:pPr>
      <w:r>
        <w:rPr>
          <w:rFonts w:hint="eastAsia" w:ascii="仿宋_GB2312" w:hAnsi="Adobe 楷体 Std R" w:eastAsia="仿宋_GB2312"/>
          <w:color w:val="auto"/>
          <w:sz w:val="32"/>
          <w:szCs w:val="32"/>
          <w:u w:val="none"/>
          <w:lang w:val="en-US" w:eastAsia="zh-CN"/>
        </w:rPr>
        <w:t>我局2021年核定行政编制数22个，在编20人，财政供养人员控制率100%，无超编超员的情况存在。2021年我局累计聘请劳务派遣人员0人，编外人员控制率为0%，编外人员管理情况得到有效控制。
</w:t>
      </w:r>
    </w:p>
    <w:p>
      <w:pPr>
        <w:numPr>
          <w:ilvl w:val="0"/>
          <w:numId w:val="2"/>
        </w:numPr>
        <w:snapToGrid w:val="0"/>
        <w:spacing w:line="580" w:lineRule="exact"/>
        <w:ind w:left="420" w:leftChars="0" w:firstLine="420" w:firstLineChars="0"/>
        <w:rPr>
          <w:rFonts w:hint="eastAsia" w:ascii="仿宋_GB2312" w:hAnsi="Adobe 楷体 Std R" w:eastAsia="仿宋_GB2312"/>
          <w:color w:val="auto"/>
          <w:sz w:val="32"/>
          <w:szCs w:val="32"/>
          <w:u w:val="none"/>
          <w:lang w:val="en-US" w:eastAsia="zh-CN"/>
        </w:rPr>
      </w:pPr>
      <w:r>
        <w:rPr>
          <w:rFonts w:hint="eastAsia" w:ascii="仿宋_GB2312" w:hAnsi="Adobe 楷体 Std R" w:eastAsia="仿宋_GB2312"/>
          <w:color w:val="auto"/>
          <w:sz w:val="32"/>
          <w:szCs w:val="32"/>
          <w:u w:val="none"/>
          <w:lang w:val="en-US" w:eastAsia="zh-CN"/>
        </w:rPr>
        <w:t>制度管理
</w:t>
      </w:r>
    </w:p>
    <w:p>
      <w:pPr>
        <w:numPr>
          <w:ilvl w:val="0"/>
          <w:numId w:val="0"/>
        </w:numPr>
        <w:snapToGrid w:val="0"/>
        <w:spacing w:line="580" w:lineRule="exact"/>
        <w:ind w:firstLine="640" w:firstLineChars="200"/>
        <w:rPr>
          <w:rFonts w:ascii="仿宋_GB2312" w:hAnsi="楷体_GB2312" w:eastAsia="仿宋_GB2312" w:cs="楷体_GB2312"/>
          <w:bCs/>
          <w:color w:val="auto"/>
          <w:sz w:val="32"/>
          <w:szCs w:val="32"/>
          <w:u w:val="none"/>
        </w:rPr>
      </w:pPr>
      <w:r>
        <w:rPr>
          <w:rFonts w:hint="eastAsia" w:ascii="仿宋_GB2312" w:hAnsi="Adobe 楷体 Std R" w:eastAsia="仿宋_GB2312"/>
          <w:color w:val="auto"/>
          <w:sz w:val="32"/>
          <w:szCs w:val="32"/>
          <w:u w:val="none"/>
          <w:lang w:val="en-US" w:eastAsia="zh-CN"/>
        </w:rPr>
        <w:t>2021年，我局在财政资金管理、预算管理、财务管理、采购管理、资产管理、建设项目管理、合同管理均建立了较为完善的内部控制制度，且相关制度均得到有效执行。
2021年，我局按照区财政部门预算和绩效管理一体化的要求，严格按照《福田区机关事务管理局预算管理制度》等预算绩效管理相关政策文件，开展全面实施预算绩效管理相关工作，组织各部门开展了事前评估、绩效目标编报、绩效监控、绩效评价和评价结果应用等工作。</w:t>
      </w:r>
    </w:p>
    <w:p>
      <w:pPr>
        <w:spacing w:line="580" w:lineRule="exact"/>
        <w:ind w:firstLine="627" w:firstLineChars="196"/>
        <w:rPr>
          <w:rFonts w:ascii="黑体" w:hAnsi="黑体" w:eastAsia="黑体"/>
          <w:color w:val="auto"/>
          <w:sz w:val="32"/>
          <w:szCs w:val="32"/>
          <w:u w:val="none"/>
        </w:rPr>
      </w:pPr>
      <w:r>
        <w:rPr>
          <w:rFonts w:hint="eastAsia" w:ascii="黑体" w:hAnsi="黑体" w:eastAsia="黑体"/>
          <w:color w:val="auto"/>
          <w:sz w:val="32"/>
          <w:szCs w:val="32"/>
          <w:u w:val="none"/>
        </w:rPr>
        <w:t>二、部门主要履职绩效分析</w:t>
      </w:r>
    </w:p>
    <w:p>
      <w:pPr>
        <w:spacing w:line="580" w:lineRule="exact"/>
        <w:ind w:firstLine="640" w:firstLineChars="200"/>
        <w:rPr>
          <w:rFonts w:ascii="仿宋_GB2312" w:eastAsia="仿宋_GB2312"/>
          <w:color w:val="auto"/>
          <w:sz w:val="32"/>
          <w:szCs w:val="32"/>
          <w:u w:val="none"/>
        </w:rPr>
      </w:pPr>
      <w:r>
        <w:rPr>
          <w:rFonts w:hint="eastAsia" w:ascii="仿宋_GB2312" w:eastAsia="仿宋_GB2312"/>
          <w:color w:val="auto"/>
          <w:kern w:val="0"/>
          <w:sz w:val="32"/>
          <w:szCs w:val="32"/>
          <w:u w:val="none"/>
        </w:rPr>
        <w:t>各部门要按照“部门职责—工作任务—预算项目”三个层级规范部门预算绩效管理结构，</w:t>
      </w:r>
      <w:r>
        <w:rPr>
          <w:rFonts w:hint="eastAsia" w:ascii="仿宋_GB2312" w:eastAsia="仿宋_GB2312"/>
          <w:color w:val="auto"/>
          <w:sz w:val="32"/>
          <w:szCs w:val="32"/>
          <w:u w:val="none"/>
        </w:rPr>
        <w:t>结合本部门主要职责和年度重点工作任务，对预算使用绩效进行分析。可参照《部门整体支出绩效评价共性指标体系框架》（详见附件），结合部门履职实际增加个性类指标，进一步完善部门整体评价指标体系后进行评分评级，形成评价结果。分析内容包括但不限于以下几项：</w:t>
      </w:r>
    </w:p>
    <w:p>
      <w:pPr>
        <w:numPr>
          <w:ilvl w:val="0"/>
          <w:numId w:val="3"/>
        </w:numPr>
        <w:spacing w:line="580" w:lineRule="exact"/>
        <w:ind w:left="0" w:leftChars="0" w:firstLine="420" w:firstLineChars="0"/>
        <w:rPr>
          <w:rFonts w:ascii="楷体_GB2312" w:hAnsi="楷体" w:eastAsia="楷体_GB2312"/>
          <w:b/>
          <w:color w:val="auto"/>
          <w:sz w:val="32"/>
          <w:szCs w:val="32"/>
          <w:u w:val="none"/>
        </w:rPr>
      </w:pPr>
      <w:r>
        <w:rPr>
          <w:rFonts w:hint="eastAsia" w:ascii="楷体_GB2312" w:hAnsi="楷体" w:eastAsia="楷体_GB2312"/>
          <w:b/>
          <w:color w:val="auto"/>
          <w:sz w:val="32"/>
          <w:szCs w:val="32"/>
          <w:u w:val="none"/>
        </w:rPr>
        <w:t>主要履职目标</w:t>
      </w:r>
    </w:p>
    <w:p>
      <w:pPr>
        <w:snapToGrid w:val="0"/>
        <w:spacing w:line="580" w:lineRule="exact"/>
        <w:ind w:firstLine="640" w:firstLineChars="200"/>
        <w:rPr>
          <w:rFonts w:hint="eastAsia" w:ascii="仿宋_GB2312" w:eastAsia="仿宋_GB2312"/>
          <w:color w:val="auto"/>
          <w:sz w:val="32"/>
          <w:szCs w:val="32"/>
          <w:u w:val="none"/>
        </w:rPr>
      </w:pPr>
      <w:r>
        <w:rPr>
          <w:rFonts w:hint="eastAsia" w:ascii="仿宋_GB2312" w:hAnsi="Adobe 楷体 Std R" w:eastAsia="仿宋_GB2312"/>
          <w:color w:val="auto"/>
          <w:sz w:val="32"/>
          <w:szCs w:val="32"/>
          <w:u w:val="none"/>
          <w:lang w:val="en-US" w:eastAsia="zh-CN"/>
        </w:rPr>
        <w:t>2021年，我局坚持以习近平新时代中国特色社会主义思想为指导，深入学习贯彻落实总书记在深圳特区成立40周年庆祝大会上的讲话精神，以党建为引领，创建“平安、绿色、美丽、人文、幸福”的新时代美好机关。主要履职目标包括：
1.进一步抓好党建工作。以党建统领全局各项工作，着力培育团队精神，抓好党风廉政建设，引领机关事务全面建设再提升。
2.进一步抓好服务保障提升。持续推进“四化”建设。整合数据资源，用好数字化手段；继续在加强规范化、标准化建设上下功夫，全面提升服务精细化能力。
3.进一步抓好大院综合整治。深入推进大院修缮改造二期工程。大力开展大院安全隐患综合整治。配合做好大院电梯更换，协调推进垃圾分类示范项目。
4.进一步抓好公务用车改革。认真落实中央省市公务用车制度改革要求，规范各单位车辆使用和管理，继续推进全区事业单位和国有企业公务用车制度改革。</w:t>
      </w:r>
    </w:p>
    <w:p>
      <w:pPr>
        <w:numPr>
          <w:ilvl w:val="0"/>
          <w:numId w:val="3"/>
        </w:numPr>
        <w:spacing w:line="580" w:lineRule="exact"/>
        <w:ind w:left="0" w:leftChars="0" w:firstLine="420" w:firstLineChars="0"/>
        <w:rPr>
          <w:rFonts w:ascii="楷体_GB2312" w:hAnsi="楷体" w:eastAsia="楷体_GB2312"/>
          <w:b/>
          <w:color w:val="auto"/>
          <w:sz w:val="32"/>
          <w:szCs w:val="32"/>
          <w:u w:val="none"/>
        </w:rPr>
      </w:pPr>
      <w:r>
        <w:rPr>
          <w:rFonts w:hint="eastAsia" w:ascii="楷体_GB2312" w:hAnsi="楷体" w:eastAsia="楷体_GB2312"/>
          <w:b/>
          <w:color w:val="auto"/>
          <w:sz w:val="32"/>
          <w:szCs w:val="32"/>
          <w:u w:val="none"/>
        </w:rPr>
        <w:t>主要履职情况</w:t>
      </w:r>
    </w:p>
    <w:p>
      <w:pPr>
        <w:numPr>
          <w:ilvl w:val="0"/>
          <w:numId w:val="4"/>
        </w:numPr>
        <w:snapToGrid w:val="0"/>
        <w:spacing w:line="580" w:lineRule="exact"/>
        <w:ind w:left="-426" w:leftChars="0" w:firstLine="1056" w:firstLineChars="0"/>
        <w:rPr>
          <w:rFonts w:hint="eastAsia" w:ascii="仿宋_GB2312" w:hAnsi="Adobe 楷体 Std R" w:eastAsia="仿宋_GB2312"/>
          <w:color w:val="auto"/>
          <w:sz w:val="32"/>
          <w:szCs w:val="32"/>
          <w:u w:val="none"/>
          <w:lang w:val="en-US" w:eastAsia="zh-CN"/>
        </w:rPr>
      </w:pPr>
      <w:r>
        <w:rPr>
          <w:rFonts w:hint="eastAsia" w:ascii="仿宋_GB2312" w:hAnsi="Adobe 楷体 Std R" w:eastAsia="仿宋_GB2312"/>
          <w:color w:val="auto"/>
          <w:sz w:val="32"/>
          <w:szCs w:val="32"/>
          <w:u w:val="none"/>
          <w:lang w:val="en-US" w:eastAsia="zh-CN"/>
        </w:rPr>
        <w:t>党建方面
</w:t>
      </w:r>
    </w:p>
    <w:p>
      <w:pPr>
        <w:numPr>
          <w:ilvl w:val="0"/>
          <w:numId w:val="0"/>
        </w:numPr>
        <w:snapToGrid w:val="0"/>
        <w:spacing w:line="580" w:lineRule="exact"/>
        <w:ind w:firstLine="640" w:firstLineChars="200"/>
        <w:rPr>
          <w:rFonts w:hint="eastAsia" w:ascii="仿宋_GB2312" w:hAnsi="Adobe 楷体 Std R" w:eastAsia="仿宋_GB2312"/>
          <w:color w:val="auto"/>
          <w:sz w:val="32"/>
          <w:szCs w:val="32"/>
          <w:u w:val="none"/>
          <w:lang w:val="en-US" w:eastAsia="zh-CN"/>
        </w:rPr>
      </w:pPr>
      <w:r>
        <w:rPr>
          <w:rFonts w:hint="eastAsia" w:ascii="仿宋_GB2312" w:hAnsi="Adobe 楷体 Std R" w:eastAsia="仿宋_GB2312"/>
          <w:color w:val="auto"/>
          <w:sz w:val="32"/>
          <w:szCs w:val="32"/>
          <w:u w:val="none"/>
          <w:lang w:val="en-US" w:eastAsia="zh-CN"/>
        </w:rPr>
        <w:t>着力加强党的建设。深入学习贯彻习近平新时代中国特色社会主义思想和党的十九届六中全会精神，深刻认识“两个确立”的决定性意义，坚持格局制胜，不断增强“四个意识”、坚定“四个自信”、做到“两个维护”。以党建“五强工程”为引领，扎实开展党史学习教育，全面加强党的领导和党的建设，把党建引领贯穿基层治理全程、融入全局，发挥基层党组织和党员先锋模范作用，不断提升后勤服务保障工作质效。全面强化队伍建设。建立健全人才培养机制，注重在学习思考中增强素质，在业务培训中提升能力，组织各类培训。扎实推进廉政建设。深入践行“我为群众办实事</w:t>
      </w:r>
      <w:bookmarkStart w:id="0" w:name="_GoBack"/>
      <w:bookmarkEnd w:id="0"/>
      <w:r>
        <w:rPr>
          <w:rFonts w:hint="eastAsia" w:ascii="仿宋_GB2312" w:hAnsi="Adobe 楷体 Std R" w:eastAsia="仿宋_GB2312"/>
          <w:color w:val="auto"/>
          <w:sz w:val="32"/>
          <w:szCs w:val="32"/>
          <w:u w:val="none"/>
          <w:lang w:val="en-US" w:eastAsia="zh-CN"/>
        </w:rPr>
        <w:t>”实践活动。响应组织号召，在编人员下沉社区支援核酸检。</w:t>
      </w:r>
    </w:p>
    <w:p>
      <w:pPr>
        <w:numPr>
          <w:ilvl w:val="0"/>
          <w:numId w:val="4"/>
        </w:numPr>
        <w:snapToGrid w:val="0"/>
        <w:spacing w:line="580" w:lineRule="exact"/>
        <w:ind w:left="-426" w:leftChars="0" w:firstLine="1056" w:firstLineChars="0"/>
        <w:rPr>
          <w:rFonts w:hint="eastAsia" w:ascii="仿宋_GB2312" w:hAnsi="Adobe 楷体 Std R" w:eastAsia="仿宋_GB2312"/>
          <w:color w:val="auto"/>
          <w:sz w:val="32"/>
          <w:szCs w:val="32"/>
          <w:u w:val="none"/>
          <w:lang w:val="en-US" w:eastAsia="zh-CN"/>
        </w:rPr>
      </w:pPr>
      <w:r>
        <w:rPr>
          <w:rFonts w:hint="eastAsia" w:ascii="仿宋_GB2312" w:hAnsi="Adobe 楷体 Std R" w:eastAsia="仿宋_GB2312"/>
          <w:color w:val="auto"/>
          <w:sz w:val="32"/>
          <w:szCs w:val="32"/>
          <w:u w:val="none"/>
          <w:lang w:val="en-US" w:eastAsia="zh-CN"/>
        </w:rPr>
        <w:t>机关大院综合整治方面。
</w:t>
      </w:r>
    </w:p>
    <w:p>
      <w:pPr>
        <w:numPr>
          <w:ilvl w:val="0"/>
          <w:numId w:val="0"/>
        </w:numPr>
        <w:snapToGrid w:val="0"/>
        <w:spacing w:line="580" w:lineRule="exact"/>
        <w:ind w:firstLine="640" w:firstLineChars="200"/>
        <w:rPr>
          <w:rFonts w:hint="eastAsia" w:ascii="仿宋_GB2312" w:hAnsi="Adobe 楷体 Std R" w:eastAsia="仿宋_GB2312"/>
          <w:color w:val="auto"/>
          <w:sz w:val="32"/>
          <w:szCs w:val="32"/>
          <w:u w:val="none"/>
          <w:lang w:val="en-US" w:eastAsia="zh-CN"/>
        </w:rPr>
      </w:pPr>
      <w:r>
        <w:rPr>
          <w:rFonts w:hint="eastAsia" w:ascii="仿宋_GB2312" w:hAnsi="Adobe 楷体 Std R" w:eastAsia="仿宋_GB2312"/>
          <w:color w:val="auto"/>
          <w:sz w:val="32"/>
          <w:szCs w:val="32"/>
          <w:u w:val="none"/>
          <w:lang w:val="en-US" w:eastAsia="zh-CN"/>
        </w:rPr>
        <w:t>坚持问题导向、目标导向、需求导向，敢于出招，精准出招，完成翻新、修缮工程，有序推进主楼电梯更换和一楼、负一楼停车场提升，按时按质完成会堂的全面改造，有力解决安全隐患，提升大院办公环境。持续推进节约型机关创建。强化生态意识，倡导绿色办公，积极推动机关后勤“减碳行动”。 
</w:t>
      </w:r>
    </w:p>
    <w:p>
      <w:pPr>
        <w:numPr>
          <w:ilvl w:val="0"/>
          <w:numId w:val="4"/>
        </w:numPr>
        <w:snapToGrid w:val="0"/>
        <w:spacing w:line="580" w:lineRule="exact"/>
        <w:ind w:left="-426" w:leftChars="0" w:firstLine="1056" w:firstLineChars="0"/>
        <w:rPr>
          <w:rFonts w:hint="eastAsia" w:ascii="仿宋_GB2312" w:hAnsi="Adobe 楷体 Std R" w:eastAsia="仿宋_GB2312"/>
          <w:color w:val="auto"/>
          <w:sz w:val="32"/>
          <w:szCs w:val="32"/>
          <w:u w:val="none"/>
          <w:lang w:val="en-US" w:eastAsia="zh-CN"/>
        </w:rPr>
      </w:pPr>
      <w:r>
        <w:rPr>
          <w:rFonts w:hint="eastAsia" w:ascii="仿宋_GB2312" w:hAnsi="Adobe 楷体 Std R" w:eastAsia="仿宋_GB2312"/>
          <w:color w:val="auto"/>
          <w:sz w:val="32"/>
          <w:szCs w:val="32"/>
          <w:u w:val="none"/>
          <w:lang w:val="en-US" w:eastAsia="zh-CN"/>
        </w:rPr>
        <w:t>强化大院管理方面。
</w:t>
      </w:r>
    </w:p>
    <w:p>
      <w:pPr>
        <w:numPr>
          <w:ilvl w:val="0"/>
          <w:numId w:val="0"/>
        </w:numPr>
        <w:snapToGrid w:val="0"/>
        <w:spacing w:line="580" w:lineRule="exact"/>
        <w:ind w:firstLine="640" w:firstLineChars="200"/>
        <w:rPr>
          <w:rFonts w:hint="eastAsia" w:ascii="仿宋_GB2312" w:hAnsi="Adobe 楷体 Std R" w:eastAsia="仿宋_GB2312"/>
          <w:color w:val="auto"/>
          <w:sz w:val="32"/>
          <w:szCs w:val="32"/>
          <w:u w:val="none"/>
          <w:lang w:val="en-US" w:eastAsia="zh-CN"/>
        </w:rPr>
      </w:pPr>
      <w:r>
        <w:rPr>
          <w:rFonts w:hint="eastAsia" w:ascii="仿宋_GB2312" w:hAnsi="Adobe 楷体 Std R" w:eastAsia="仿宋_GB2312"/>
          <w:color w:val="auto"/>
          <w:sz w:val="32"/>
          <w:szCs w:val="32"/>
          <w:u w:val="none"/>
          <w:lang w:val="en-US" w:eastAsia="zh-CN"/>
        </w:rPr>
        <w:t>始终把办公区的安全工作作为主线，严格落实大院巡查制度；创新手段加强停车秩序管理，重新办理和发放新大院车辆出入证，纠正乱停放车辆，有效缓解停车压力；会同交管等部门研究制定区委大院正门交通综合治理方案，整合交警、安保、义工等人力资源，增强交通指挥力量，缓解大院正门交通压力；组织实施大型消防演练，大型反恐演练，有效提升了大院安全保障力度。
</w:t>
      </w:r>
    </w:p>
    <w:p>
      <w:pPr>
        <w:numPr>
          <w:ilvl w:val="0"/>
          <w:numId w:val="4"/>
        </w:numPr>
        <w:snapToGrid w:val="0"/>
        <w:spacing w:line="580" w:lineRule="exact"/>
        <w:ind w:left="-426" w:leftChars="0" w:firstLine="1056" w:firstLineChars="0"/>
        <w:rPr>
          <w:rFonts w:hint="eastAsia" w:ascii="仿宋_GB2312" w:hAnsi="Adobe 楷体 Std R" w:eastAsia="仿宋_GB2312"/>
          <w:color w:val="auto"/>
          <w:sz w:val="32"/>
          <w:szCs w:val="32"/>
          <w:u w:val="none"/>
          <w:lang w:val="en-US" w:eastAsia="zh-CN"/>
        </w:rPr>
      </w:pPr>
      <w:r>
        <w:rPr>
          <w:rFonts w:hint="eastAsia" w:ascii="仿宋_GB2312" w:hAnsi="Adobe 楷体 Std R" w:eastAsia="仿宋_GB2312"/>
          <w:color w:val="auto"/>
          <w:sz w:val="32"/>
          <w:szCs w:val="32"/>
          <w:u w:val="none"/>
          <w:lang w:val="en-US" w:eastAsia="zh-CN"/>
        </w:rPr>
        <w:t>重大活动保障方面。
</w:t>
      </w:r>
    </w:p>
    <w:p>
      <w:pPr>
        <w:numPr>
          <w:ilvl w:val="0"/>
          <w:numId w:val="0"/>
        </w:numPr>
        <w:snapToGrid w:val="0"/>
        <w:spacing w:line="580" w:lineRule="exact"/>
        <w:ind w:firstLine="640" w:firstLineChars="200"/>
        <w:rPr>
          <w:rFonts w:ascii="仿宋_GB2312" w:eastAsia="仿宋_GB2312"/>
          <w:color w:val="auto"/>
          <w:sz w:val="32"/>
          <w:szCs w:val="32"/>
          <w:u w:val="none"/>
        </w:rPr>
      </w:pPr>
      <w:r>
        <w:rPr>
          <w:rFonts w:hint="eastAsia" w:ascii="仿宋_GB2312" w:hAnsi="Adobe 楷体 Std R" w:eastAsia="仿宋_GB2312"/>
          <w:color w:val="auto"/>
          <w:sz w:val="32"/>
          <w:szCs w:val="32"/>
          <w:u w:val="none"/>
          <w:lang w:val="en-US" w:eastAsia="zh-CN"/>
        </w:rPr>
        <w:t>在区委换届选举服务保障工作中，机关事务局自觉打头阵、站前排、主动作为，根据疫情防控需要，严密组织三地全闭环管理，及时采购必备物资，实现物资保障充分、到位、及时，实现车辆保障安全、高效、零失误。疫情防控战斗冲锋在前。</w:t>
      </w:r>
    </w:p>
    <w:p>
      <w:pPr>
        <w:numPr>
          <w:ilvl w:val="0"/>
          <w:numId w:val="3"/>
        </w:numPr>
        <w:spacing w:line="580" w:lineRule="exact"/>
        <w:ind w:left="0" w:leftChars="0" w:firstLine="420" w:firstLineChars="0"/>
        <w:rPr>
          <w:rFonts w:ascii="楷体_GB2312" w:hAnsi="楷体" w:eastAsia="楷体_GB2312"/>
          <w:b/>
          <w:color w:val="auto"/>
          <w:sz w:val="32"/>
          <w:szCs w:val="32"/>
          <w:u w:val="none"/>
        </w:rPr>
      </w:pPr>
      <w:r>
        <w:rPr>
          <w:rFonts w:hint="eastAsia" w:ascii="楷体_GB2312" w:hAnsi="楷体" w:eastAsia="楷体_GB2312"/>
          <w:b/>
          <w:color w:val="auto"/>
          <w:sz w:val="32"/>
          <w:szCs w:val="32"/>
          <w:u w:val="none"/>
        </w:rPr>
        <w:t>部门履职绩效情况</w:t>
      </w:r>
    </w:p>
    <w:p>
      <w:pPr>
        <w:numPr>
          <w:ilvl w:val="0"/>
          <w:numId w:val="5"/>
        </w:numPr>
        <w:snapToGrid w:val="0"/>
        <w:spacing w:line="580" w:lineRule="exact"/>
        <w:ind w:firstLine="1056" w:firstLineChars="330"/>
        <w:rPr>
          <w:rFonts w:hint="eastAsia" w:ascii="仿宋_GB2312" w:hAnsi="Adobe 楷体 Std R" w:eastAsia="仿宋_GB2312"/>
          <w:color w:val="auto"/>
          <w:sz w:val="32"/>
          <w:szCs w:val="32"/>
          <w:u w:val="none"/>
          <w:lang w:val="en-US" w:eastAsia="zh-CN"/>
        </w:rPr>
      </w:pPr>
      <w:r>
        <w:rPr>
          <w:rFonts w:hint="eastAsia" w:ascii="仿宋_GB2312" w:hAnsi="Adobe 楷体 Std R" w:eastAsia="仿宋_GB2312"/>
          <w:color w:val="auto"/>
          <w:sz w:val="32"/>
          <w:szCs w:val="32"/>
          <w:u w:val="none"/>
          <w:lang w:val="en-US" w:eastAsia="zh-CN"/>
        </w:rPr>
        <w:t>经济性
经济性指标主要指公用经费控制率，包括“三公”经费控制率和日常公用经费控制率。2021年，我局“三公”经费预算安排25.67万元，实际支出9.67万元，“三公”经费预算控制率为37.69%；日常公用经费预算安排129.48万元，实际支出124.66万元，日常公用经费预算控制率为96.27%。
因此，按照公用经费控制率指标评分标准，“三公”经费控制率＜90%的，得3分，90%≤日常公用经费控制率≤100%的，得2分。故我局公用经费控制率评价得5分，扣1分。</w:t>
      </w:r>
    </w:p>
    <w:p>
      <w:pPr>
        <w:numPr>
          <w:ilvl w:val="0"/>
          <w:numId w:val="5"/>
        </w:numPr>
        <w:snapToGrid w:val="0"/>
        <w:spacing w:line="580" w:lineRule="exact"/>
        <w:ind w:left="0" w:leftChars="0" w:firstLine="1056" w:firstLineChars="330"/>
        <w:rPr>
          <w:rFonts w:hint="eastAsia" w:ascii="仿宋_GB2312" w:hAnsi="Adobe 楷体 Std R" w:eastAsia="仿宋_GB2312"/>
          <w:color w:val="auto"/>
          <w:sz w:val="32"/>
          <w:szCs w:val="32"/>
          <w:u w:val="none"/>
          <w:lang w:val="en-US" w:eastAsia="zh-CN"/>
        </w:rPr>
      </w:pPr>
      <w:r>
        <w:rPr>
          <w:rFonts w:hint="eastAsia" w:ascii="仿宋_GB2312" w:hAnsi="Adobe 楷体 Std R" w:eastAsia="仿宋_GB2312"/>
          <w:color w:val="auto"/>
          <w:sz w:val="32"/>
          <w:szCs w:val="32"/>
          <w:u w:val="none"/>
          <w:lang w:val="en-US" w:eastAsia="zh-CN"/>
        </w:rPr>
        <w:t>效率性
效率性指标主要包括预算执行率、重点工作完成情况、项目完成及时性三个指标。（1）预算执行率。
2021年，剔除我局代支付的深港合作区、国家药监局两个分中心运行经费外，我局第一季度、第二季度、第三季度、第四季度的部门预算执行进度分别为：30.10%、48.09%、75.23%、98.83%。根据各季度预算支出进度除以各季度预算支出序时进度后得出，我局一季度、二季度、三季度、四季度的预算执行均衡率分别为：112.56%、96.16%、100.31%、98.78%，全年平均预算执行率为101.95%。
因此，按照预算执行率指标评分标准，各季度预算执行率得分=（二季度部门预算支出进度/序时进度）×1分，全年平均支出进度得分=全年平均执行率×2分，故我局预算执行率评价得分为5.95分，扣0.05分。（2）重点工作完成情况。
根据《福田区机关事务管理局2021年重点工作计划》,我局2021年重点工作任务清单中涉及共计18项，均按要求完成。
因此，按照重点工作完成情况指标评分标准，全部按期保质保量完成得8分；一项重点工作没有完成扣4分，故我局重点工作完成情况评价得分为8分。（3）项目完成情况。
2021年，我局共计实施13个预算项目，全部按计划时间完成。</w:t>
      </w:r>
    </w:p>
    <w:p>
      <w:pPr>
        <w:numPr>
          <w:ilvl w:val="0"/>
          <w:numId w:val="5"/>
        </w:numPr>
        <w:snapToGrid w:val="0"/>
        <w:spacing w:line="580" w:lineRule="exact"/>
        <w:ind w:left="0" w:leftChars="0" w:firstLine="1056" w:firstLineChars="330"/>
        <w:rPr>
          <w:rFonts w:ascii="仿宋_GB2312" w:eastAsia="仿宋_GB2312"/>
          <w:color w:val="auto"/>
          <w:sz w:val="32"/>
          <w:szCs w:val="32"/>
          <w:u w:val="none"/>
        </w:rPr>
      </w:pPr>
      <w:r>
        <w:rPr>
          <w:rFonts w:hint="eastAsia" w:ascii="仿宋_GB2312" w:hAnsi="Adobe 楷体 Std R" w:eastAsia="仿宋_GB2312"/>
          <w:color w:val="auto"/>
          <w:sz w:val="32"/>
          <w:szCs w:val="32"/>
          <w:u w:val="none"/>
          <w:lang w:val="en-US" w:eastAsia="zh-CN"/>
        </w:rPr>
        <w:t>效果性（1）在今年福田区五年一次的换届选举大会保障中，面对疫情防控严峻形势和大会全闭环管理要求，区机关事务管理局以党员为骨干组建工作专班，在重要岗位设置党员先锋岗、关键环节组建党员突击队，充分发挥党员先锋模范作用，广大党员和干部职工在党组织的带领下，克服困难，顽强奋斗，出色完成了会内、会外的各项服务保障任务，各代表以及区领导对事务局的优质服务给予充分肯定。89名工作人员多次下沉社区支援核酸检测；积极联系结对社区，开展“关爱儿童，情暖六一”困境儿童慰问活动；组织开展“促安全保顺畅，福田先锋在行动”党员志愿服务活动，做文明交通的“引导者”。（2）全年完成35项翻新、修缮工程，有序推进主楼电梯更换和一楼、负一楼停车场提升，按时按质在党代会前完成了会堂的全面改造，有力解决安全隐患，提升大院办公环境。指导、协助17家区机关单位完成节约型机关创建；（3）创新手段加强停车秩序管理，重新办理和发放新大院车辆出入证2746张，纠正乱停放车辆859辆，有效缓解停车压力；会同交管等部门研究制定区委大院正门交通综合治理方案，整合交警、安保、义工等人力资源，增强交通指挥力量，缓解大院正门交通压力；组织实施大型消防演练1次，大型反恐演练2次，有效提升了大院安全保障力度。综上所述，按照效果性指标评分标准，我局效果性评价得分为25分，无扣分。
</w:t>
      </w:r>
    </w:p>
    <w:p>
      <w:pPr>
        <w:numPr>
          <w:ilvl w:val="0"/>
          <w:numId w:val="0"/>
        </w:numPr>
        <w:snapToGrid w:val="0"/>
        <w:spacing w:line="580" w:lineRule="exact"/>
        <w:ind w:firstLine="640" w:firstLineChars="200"/>
        <w:rPr>
          <w:rFonts w:ascii="仿宋_GB2312" w:eastAsia="仿宋_GB2312"/>
          <w:color w:val="auto"/>
          <w:sz w:val="32"/>
          <w:szCs w:val="32"/>
          <w:u w:val="none"/>
        </w:rPr>
      </w:pPr>
      <w:r>
        <w:rPr>
          <w:rFonts w:hint="eastAsia" w:ascii="仿宋_GB2312" w:hAnsi="Adobe 楷体 Std R" w:eastAsia="仿宋_GB2312"/>
          <w:color w:val="auto"/>
          <w:sz w:val="32"/>
          <w:szCs w:val="32"/>
          <w:u w:val="none"/>
          <w:lang w:val="en-US" w:eastAsia="zh-CN"/>
        </w:rPr>
        <w:t>4.公平性
公平性主要包括主要群众信访办理情况、公众或服务对象满意度两个指标。（1）群众信访办理情况
2021年，我局按照按要求办理回复网站咨询留言事项群众咨询留言事项办理回复率和及时办理回复率均为100%，未发生超期回复事项。在群众咨询留言办理回复机制建设方面，我局建立了便利的群众意见反映渠道和办理回复机制，确保每件咨询事项都做到办理流程规范，接访态度良好，记录完整。因此，按照群众信访办理情况指标评分标准，我局群众信访办理情况评价得分为3分。（2）公众或服务对象满意度
根据福田区2021年度绩效公众满意度调查专题报告评分标准和结果，我局2021年度绩效公众满意度调查综合评分85.35分，按照“公众或服务对象满意度”评分标准“80%≤满意度＜90%的，得2分”，我局公众或服务对象满意度指标得2分，扣4分。</w:t>
      </w:r>
    </w:p>
    <w:p>
      <w:pPr>
        <w:spacing w:line="580" w:lineRule="exact"/>
        <w:ind w:firstLine="627" w:firstLineChars="196"/>
        <w:rPr>
          <w:rFonts w:ascii="黑体" w:hAnsi="黑体" w:eastAsia="黑体"/>
          <w:color w:val="auto"/>
          <w:sz w:val="32"/>
          <w:szCs w:val="32"/>
          <w:u w:val="none"/>
        </w:rPr>
      </w:pPr>
      <w:r>
        <w:rPr>
          <w:rFonts w:hint="eastAsia" w:ascii="黑体" w:hAnsi="黑体" w:eastAsia="黑体"/>
          <w:color w:val="auto"/>
          <w:sz w:val="32"/>
          <w:szCs w:val="32"/>
          <w:u w:val="none"/>
        </w:rPr>
        <w:t xml:space="preserve"> 三、总体评价和整改措施</w:t>
      </w:r>
    </w:p>
    <w:p>
      <w:pPr>
        <w:numPr>
          <w:ilvl w:val="0"/>
          <w:numId w:val="6"/>
        </w:numPr>
        <w:spacing w:line="580" w:lineRule="exact"/>
        <w:ind w:left="0" w:leftChars="0" w:firstLine="420" w:firstLineChars="0"/>
        <w:rPr>
          <w:rFonts w:hint="eastAsia" w:ascii="仿宋_GB2312" w:eastAsia="仿宋_GB2312"/>
          <w:b/>
          <w:bCs/>
          <w:color w:val="auto"/>
          <w:sz w:val="32"/>
          <w:szCs w:val="32"/>
          <w:u w:val="none"/>
        </w:rPr>
      </w:pPr>
      <w:r>
        <w:rPr>
          <w:rFonts w:hint="eastAsia" w:ascii="仿宋_GB2312" w:eastAsia="仿宋_GB2312"/>
          <w:b/>
          <w:bCs/>
          <w:color w:val="auto"/>
          <w:sz w:val="32"/>
          <w:szCs w:val="32"/>
          <w:u w:val="none"/>
        </w:rPr>
        <w:t>预算绩效管理工作主要经验、做法。</w:t>
      </w:r>
    </w:p>
    <w:p>
      <w:pPr>
        <w:snapToGrid w:val="0"/>
        <w:spacing w:line="580" w:lineRule="exact"/>
        <w:ind w:firstLine="1056" w:firstLineChars="330"/>
        <w:rPr>
          <w:rFonts w:hint="eastAsia" w:ascii="仿宋_GB2312" w:eastAsia="仿宋_GB2312"/>
          <w:color w:val="auto"/>
          <w:sz w:val="32"/>
          <w:szCs w:val="32"/>
          <w:u w:val="none"/>
        </w:rPr>
      </w:pPr>
      <w:r>
        <w:rPr>
          <w:rFonts w:hint="eastAsia" w:ascii="仿宋_GB2312" w:hAnsi="Adobe 楷体 Std R" w:eastAsia="仿宋_GB2312"/>
          <w:color w:val="auto"/>
          <w:sz w:val="32"/>
          <w:szCs w:val="32"/>
          <w:u w:val="none"/>
          <w:lang w:val="en-US" w:eastAsia="zh-CN"/>
        </w:rPr>
        <w:t>1.根据全面实施预算绩效管理的要求，实现预算和绩效管理一体化，我局结合绩效管理实际情况，修订了《福田区机关事务管理局预算管理制度》，明确了管理组织及职责分工、绩效评估、绩效目标、绩效监控、绩效评价等环节，为推进财政资金科学化、精细化管理提供了指导。2.我局预算绩效管理坚持“统一管理、分级负责”的原则。我局主要负责人全面指导我局预算绩效管理工作，分管领导负责指导我局预算绩效管理具体落实工作；指定专人负责预算绩效管理工作，各部门主要负责人对本部门预算绩效负责，项目负责人对项目预算绩效负责，分级分层切实做到花钱必问效、无效必问责。</w:t>
      </w:r>
    </w:p>
    <w:p>
      <w:pPr>
        <w:numPr>
          <w:ilvl w:val="0"/>
          <w:numId w:val="6"/>
        </w:numPr>
        <w:spacing w:line="580" w:lineRule="exact"/>
        <w:ind w:left="0" w:leftChars="0" w:firstLine="420" w:firstLineChars="0"/>
        <w:rPr>
          <w:rFonts w:hint="eastAsia" w:ascii="仿宋_GB2312" w:eastAsia="仿宋_GB2312"/>
          <w:b/>
          <w:bCs/>
          <w:color w:val="auto"/>
          <w:sz w:val="32"/>
          <w:szCs w:val="32"/>
          <w:u w:val="none"/>
        </w:rPr>
      </w:pPr>
      <w:r>
        <w:rPr>
          <w:rFonts w:hint="eastAsia" w:ascii="仿宋_GB2312" w:eastAsia="仿宋_GB2312"/>
          <w:b/>
          <w:bCs/>
          <w:color w:val="auto"/>
          <w:sz w:val="32"/>
          <w:szCs w:val="32"/>
          <w:u w:val="none"/>
        </w:rPr>
        <w:t>部门整体支出绩效存在问题及改进措施。</w:t>
      </w:r>
    </w:p>
    <w:p>
      <w:pPr>
        <w:snapToGrid w:val="0"/>
        <w:spacing w:line="580" w:lineRule="exact"/>
        <w:ind w:firstLine="1056" w:firstLineChars="330"/>
        <w:rPr>
          <w:rFonts w:hint="eastAsia" w:ascii="仿宋_GB2312" w:eastAsia="仿宋_GB2312"/>
          <w:color w:val="auto"/>
          <w:sz w:val="32"/>
          <w:szCs w:val="32"/>
          <w:u w:val="none"/>
        </w:rPr>
      </w:pPr>
      <w:r>
        <w:rPr>
          <w:rFonts w:hint="eastAsia" w:ascii="仿宋_GB2312" w:hAnsi="Adobe 楷体 Std R" w:eastAsia="仿宋_GB2312"/>
          <w:color w:val="auto"/>
          <w:sz w:val="32"/>
          <w:szCs w:val="32"/>
          <w:u w:val="none"/>
          <w:lang w:val="en-US" w:eastAsia="zh-CN"/>
        </w:rPr>
        <w:t>1.个别绩效指标内容设置不全面，指标值不明确。
问题表现：部门整体绩效目标中成本指标未设置，时效指标指向不够明确，如“时效指标，三级指标全年，目标值未填写”，该指标设置不明确，不能清晰界定质量评判对象。
改进措施：进一步优化绩效目标管理，提高指标设定的规范性。
2.政府采购执行率略低。问题表现：我局全年政府采购执行率为88%，未达到完成制定的采购计划。
改进措施：加强我局采购执行情况监控，针对各个月份采购执行情况进行统计，重点关注支付较为落后的事项，分析落后原因，并及时整改，保证采购执行进度达标。3.日常公用经费需加强经费管理
问题表现：根据我局2021年整体支出绩效评价指标评分结果，日常公用经费预算控制率为96.27%，未达到部门整体支出绩效评价关于公用经费控制率指标评价满分的要求的90%以下，公用经费控制效能需进一步提升。改进措施：加强公用经费管理，定期开展公用经费使用情况分析，提升公用经费使用效率。
</w:t>
      </w:r>
    </w:p>
    <w:p>
      <w:pPr>
        <w:numPr>
          <w:ilvl w:val="0"/>
          <w:numId w:val="6"/>
        </w:numPr>
        <w:spacing w:line="580" w:lineRule="exact"/>
        <w:ind w:left="0" w:leftChars="0" w:firstLine="420" w:firstLineChars="0"/>
        <w:rPr>
          <w:rFonts w:hint="eastAsia" w:ascii="仿宋_GB2312" w:eastAsia="仿宋_GB2312"/>
          <w:b/>
          <w:bCs/>
          <w:color w:val="auto"/>
          <w:sz w:val="32"/>
          <w:szCs w:val="32"/>
          <w:u w:val="none"/>
        </w:rPr>
      </w:pPr>
      <w:r>
        <w:rPr>
          <w:rFonts w:hint="eastAsia" w:ascii="仿宋_GB2312" w:eastAsia="仿宋_GB2312"/>
          <w:b/>
          <w:bCs/>
          <w:color w:val="auto"/>
          <w:sz w:val="32"/>
          <w:szCs w:val="32"/>
          <w:u w:val="none"/>
        </w:rPr>
        <w:t>后续工作计划、相关建议等。</w:t>
      </w:r>
    </w:p>
    <w:p>
      <w:pPr>
        <w:snapToGrid w:val="0"/>
        <w:spacing w:line="580" w:lineRule="exact"/>
        <w:ind w:firstLine="1056" w:firstLineChars="330"/>
        <w:rPr>
          <w:rFonts w:hint="eastAsia" w:ascii="仿宋_GB2312" w:hAnsi="Adobe 楷体 Std R" w:eastAsia="仿宋_GB2312"/>
          <w:color w:val="auto"/>
          <w:sz w:val="32"/>
          <w:szCs w:val="32"/>
          <w:u w:val="none"/>
          <w:lang w:val="en-US" w:eastAsia="zh-CN"/>
        </w:rPr>
      </w:pPr>
      <w:r>
        <w:rPr>
          <w:rFonts w:hint="eastAsia" w:ascii="仿宋_GB2312" w:hAnsi="Adobe 楷体 Std R" w:eastAsia="仿宋_GB2312"/>
          <w:color w:val="auto"/>
          <w:sz w:val="32"/>
          <w:szCs w:val="32"/>
          <w:u w:val="none"/>
          <w:lang w:val="en-US" w:eastAsia="zh-CN"/>
        </w:rPr>
        <w:t>我局2022年预算绩效管理后续计划及相关建议具体如下：
1.严格落实区财政部门关于全过程预算绩效管理的相关文件，持续做好2022年部门预算绩效监控、2023年预算绩效目标编报及2022年预算绩效管理考核评估工作。
2.根据区财政部门关于开展2021年部门评价的相关要求，选择重点项目开展部门评价并出具《福田区机关事务管理局2021年重点项目部门评价报告》，按要求报送区财政局。
3.持续做好绩效自评及部门自评发现问题的整改工作，并按要求在2021年部门决算公开时一并公开我局预算绩效自评表及部门评价报告。
4.进一步加强预算绩效评价结果的应用，按照“花钱要问效、有效多安排、低效多压减、无效要问责”原则,在2023年部门预算编制中充分考虑往年绩效评价结果，将绩效评价结果作为预算安排、政策完善和加强管理的重要依据。</w:t>
      </w:r>
    </w:p>
    <w:p>
      <w:pPr>
        <w:snapToGrid w:val="0"/>
        <w:spacing w:line="580" w:lineRule="exact"/>
        <w:ind w:firstLine="1056" w:firstLineChars="330"/>
        <w:rPr>
          <w:rFonts w:hint="eastAsia" w:ascii="仿宋_GB2312" w:hAnsi="Adobe 楷体 Std R" w:eastAsia="仿宋_GB2312"/>
          <w:color w:val="auto"/>
          <w:sz w:val="32"/>
          <w:szCs w:val="32"/>
          <w:u w:val="none"/>
          <w:lang w:val="en-US" w:eastAsia="zh-CN"/>
        </w:rPr>
      </w:pPr>
      <w:r>
        <w:rPr>
          <w:rFonts w:hint="eastAsia" w:ascii="仿宋_GB2312" w:hAnsi="Adobe 楷体 Std R" w:eastAsia="仿宋_GB2312"/>
          <w:color w:val="auto"/>
          <w:sz w:val="32"/>
          <w:szCs w:val="32"/>
          <w:u w:val="none"/>
          <w:lang w:val="en-US" w:eastAsia="zh-CN"/>
        </w:rPr>
        <w:br w:type="page"/>
      </w:r>
    </w:p>
    <w:p>
      <w:pPr>
        <w:spacing w:line="580" w:lineRule="exact"/>
        <w:ind w:firstLine="629" w:firstLineChars="196"/>
        <w:rPr>
          <w:rFonts w:hint="eastAsia" w:ascii="仿宋_GB2312" w:eastAsia="仿宋_GB2312"/>
          <w:color w:val="auto"/>
          <w:sz w:val="32"/>
          <w:szCs w:val="32"/>
          <w:u w:val="none"/>
          <w:lang w:val="en-US" w:eastAsia="zh-CN"/>
        </w:rPr>
      </w:pPr>
      <w:r>
        <w:rPr>
          <w:rFonts w:hint="eastAsia" w:ascii="黑体" w:hAnsi="黑体" w:eastAsia="黑体"/>
          <w:b/>
          <w:bCs/>
          <w:color w:val="auto"/>
          <w:sz w:val="32"/>
          <w:szCs w:val="32"/>
          <w:u w:val="none"/>
        </w:rPr>
        <w:t>四、部门整体支出绩效评价指标评分情况</w:t>
      </w:r>
    </w:p>
    <w:tbl>
      <w:tblPr>
        <w:tblStyle w:val="6"/>
        <w:tblW w:w="833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535"/>
        <w:gridCol w:w="999"/>
        <w:gridCol w:w="1100"/>
        <w:gridCol w:w="984"/>
        <w:gridCol w:w="1150"/>
        <w:gridCol w:w="1200"/>
        <w:gridCol w:w="1100"/>
        <w:gridCol w:w="126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8331" w:type="dxa"/>
            <w:gridSpan w:val="8"/>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auto"/>
                <w:sz w:val="21"/>
                <w:szCs w:val="21"/>
                <w:u w:val="none"/>
              </w:rPr>
            </w:pPr>
            <w:r>
              <w:rPr>
                <w:rFonts w:hint="eastAsia" w:ascii="宋体" w:hAnsi="宋体" w:eastAsia="宋体" w:cs="宋体"/>
                <w:b/>
                <w:i w:val="0"/>
                <w:color w:val="auto"/>
                <w:kern w:val="0"/>
                <w:sz w:val="21"/>
                <w:szCs w:val="21"/>
                <w:u w:val="none"/>
                <w:lang w:val="en-US" w:eastAsia="zh-CN" w:bidi="ar"/>
              </w:rPr>
              <w:t>部门（单位）整体支出绩效目标完成情况自评表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40" w:hRule="atLeast"/>
        </w:trPr>
        <w:tc>
          <w:tcPr>
            <w:tcW w:w="1534"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部门（单位）名称</w:t>
            </w:r>
          </w:p>
        </w:tc>
        <w:tc>
          <w:tcPr>
            <w:tcW w:w="3234" w:type="dxa"/>
            <w:gridSpan w:val="3"/>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ascii="等线" w:hAnsi="等线" w:eastAsia="等线" w:cs="等线"/>
                <w:i w:val="0"/>
                <w:color w:val="auto"/>
                <w:sz w:val="22"/>
                <w:szCs w:val="22"/>
                <w:u w:val="none"/>
              </w:rPr>
            </w:pPr>
            <w:r>
              <w:rPr>
                <w:rFonts w:hint="eastAsia" w:ascii="等线" w:hAnsi="等线" w:eastAsia="等线" w:cs="等线"/>
                <w:i w:val="0"/>
                <w:color w:val="auto"/>
                <w:kern w:val="0"/>
                <w:sz w:val="22"/>
                <w:szCs w:val="22"/>
                <w:u w:val="none"/>
                <w:lang w:val="en-US" w:eastAsia="zh-CN" w:bidi="ar"/>
              </w:rPr>
              <w:t>深圳市福田区机关事务管理局（本级）</w:t>
            </w:r>
          </w:p>
        </w:tc>
        <w:tc>
          <w:tcPr>
            <w:tcW w:w="1200"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预算年度</w:t>
            </w:r>
          </w:p>
        </w:tc>
        <w:tc>
          <w:tcPr>
            <w:tcW w:w="2363"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color w:val="auto"/>
                <w:sz w:val="22"/>
                <w:szCs w:val="22"/>
                <w:u w:val="none"/>
              </w:rPr>
            </w:pPr>
            <w:r>
              <w:rPr>
                <w:rFonts w:hint="eastAsia" w:ascii="等线" w:hAnsi="等线" w:eastAsia="等线" w:cs="等线"/>
                <w:i w:val="0"/>
                <w:color w:val="auto"/>
                <w:kern w:val="0"/>
                <w:sz w:val="22"/>
                <w:szCs w:val="22"/>
                <w:u w:val="none"/>
                <w:lang w:val="en-US" w:eastAsia="zh-CN" w:bidi="ar"/>
              </w:rPr>
              <w:t>2021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40" w:hRule="atLeast"/>
        </w:trPr>
        <w:tc>
          <w:tcPr>
            <w:tcW w:w="535"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年度主要任务完成情况</w:t>
            </w:r>
          </w:p>
        </w:tc>
        <w:tc>
          <w:tcPr>
            <w:tcW w:w="999"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任务名称</w:t>
            </w:r>
          </w:p>
        </w:tc>
        <w:tc>
          <w:tcPr>
            <w:tcW w:w="1100"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主要内容内容</w:t>
            </w:r>
          </w:p>
        </w:tc>
        <w:tc>
          <w:tcPr>
            <w:tcW w:w="984"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 完成情况</w:t>
            </w:r>
          </w:p>
        </w:tc>
        <w:tc>
          <w:tcPr>
            <w:tcW w:w="2350"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预算数（元）</w:t>
            </w:r>
          </w:p>
        </w:tc>
        <w:tc>
          <w:tcPr>
            <w:tcW w:w="2363"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执行数（元）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40" w:hRule="atLeast"/>
        </w:trPr>
        <w:tc>
          <w:tcPr>
            <w:tcW w:w="535"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年度主要任务完成情况</w:t>
            </w:r>
          </w:p>
        </w:tc>
        <w:tc>
          <w:tcPr>
            <w:tcW w:w="999"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i w:val="0"/>
                <w:color w:val="auto"/>
                <w:sz w:val="22"/>
                <w:szCs w:val="22"/>
                <w:u w:val="none"/>
              </w:rPr>
            </w:pPr>
          </w:p>
        </w:tc>
        <w:tc>
          <w:tcPr>
            <w:tcW w:w="110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i w:val="0"/>
                <w:color w:val="auto"/>
                <w:sz w:val="22"/>
                <w:szCs w:val="22"/>
                <w:u w:val="none"/>
              </w:rPr>
            </w:pPr>
          </w:p>
        </w:tc>
        <w:tc>
          <w:tcPr>
            <w:tcW w:w="984"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i w:val="0"/>
                <w:color w:val="auto"/>
                <w:sz w:val="22"/>
                <w:szCs w:val="22"/>
                <w:u w:val="none"/>
              </w:rPr>
            </w:pPr>
          </w:p>
        </w:tc>
        <w:tc>
          <w:tcPr>
            <w:tcW w:w="1150"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总额</w:t>
            </w:r>
          </w:p>
        </w:tc>
        <w:tc>
          <w:tcPr>
            <w:tcW w:w="1200"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其中：财政拨款</w:t>
            </w:r>
          </w:p>
        </w:tc>
        <w:tc>
          <w:tcPr>
            <w:tcW w:w="1100"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总额</w:t>
            </w:r>
          </w:p>
        </w:tc>
        <w:tc>
          <w:tcPr>
            <w:tcW w:w="1263"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其中：财政拨款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535"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pageBreakBefore w:val="0"/>
              <w:jc w:val="left"/>
              <w:textAlignment w:val="center"/>
              <w:rPr>
                <w:color w:val="auto"/>
                <w:u w:val="none"/>
              </w:rPr>
            </w:pPr>
            <w:r>
              <w:rPr>
                <w:rFonts w:ascii="Times New Roman" w:hAnsi="Times New Roman" w:eastAsia="Times New Roman" w:cs="Times New Roman"/>
                <w:b w:val="0"/>
                <w:i w:val="0"/>
                <w:strike w:val="0"/>
                <w:color w:val="auto"/>
                <w:position w:val="-1"/>
                <w:sz w:val="22"/>
                <w:u w:val="none"/>
              </w:rPr>
              <w:t>年度主要任务完成情况</w:t>
            </w:r>
          </w:p>
        </w:tc>
        <w:tc>
          <w:tcPr>
            <w:tcW w:w="999" w:type="dxa"/>
            <w:tcBorders>
              <w:top w:val="single" w:color="000000" w:sz="8" w:space="0"/>
              <w:left w:val="single" w:color="000000" w:sz="8" w:space="0"/>
              <w:bottom w:val="single" w:color="000000" w:sz="8" w:space="0"/>
              <w:right w:val="single" w:color="000000" w:sz="8" w:space="0"/>
            </w:tcBorders>
            <w:shd w:val="clear" w:color="auto" w:fill="FFFFFF"/>
            <w:vAlign w:val="center"/>
          </w:tcPr>
          <w:p>
            <w:pPr>
              <w:pageBreakBefore w:val="0"/>
              <w:jc w:val="left"/>
              <w:textAlignment w:val="center"/>
              <w:rPr>
                <w:color w:val="auto"/>
                <w:u w:val="none"/>
              </w:rPr>
            </w:pPr>
            <w:r>
              <w:rPr>
                <w:rFonts w:ascii="Times New Roman" w:hAnsi="Times New Roman" w:eastAsia="Times New Roman" w:cs="Times New Roman"/>
                <w:b w:val="0"/>
                <w:i w:val="0"/>
                <w:strike w:val="0"/>
                <w:color w:val="auto"/>
                <w:position w:val="-1"/>
                <w:sz w:val="22"/>
                <w:u w:val="none"/>
              </w:rPr>
              <w:t>大楼管理</w:t>
            </w:r>
          </w:p>
        </w:tc>
        <w:tc>
          <w:tcPr>
            <w:tcW w:w="1100" w:type="dxa"/>
            <w:tcBorders>
              <w:top w:val="single" w:color="000000" w:sz="8" w:space="0"/>
              <w:left w:val="single" w:color="000000" w:sz="8" w:space="0"/>
              <w:bottom w:val="single" w:color="000000" w:sz="8" w:space="0"/>
              <w:right w:val="single" w:color="000000" w:sz="8" w:space="0"/>
            </w:tcBorders>
            <w:shd w:val="clear" w:color="auto" w:fill="FFFFFF"/>
            <w:vAlign w:val="center"/>
          </w:tcPr>
          <w:p>
            <w:pPr>
              <w:pageBreakBefore w:val="0"/>
              <w:jc w:val="left"/>
              <w:textAlignment w:val="center"/>
              <w:rPr>
                <w:color w:val="auto"/>
                <w:u w:val="none"/>
              </w:rPr>
            </w:pPr>
            <w:r>
              <w:rPr>
                <w:rFonts w:ascii="Times New Roman" w:hAnsi="Times New Roman" w:eastAsia="Times New Roman" w:cs="Times New Roman"/>
                <w:b w:val="0"/>
                <w:i w:val="0"/>
                <w:strike w:val="0"/>
                <w:color w:val="auto"/>
                <w:position w:val="-1"/>
                <w:sz w:val="22"/>
                <w:u w:val="none"/>
              </w:rPr>
              <w:t>区委大院办公场所的水费、电费、维修（护）费、委托业务费等支出；维持区委大院办公场所的正常运转。</w:t>
            </w:r>
          </w:p>
        </w:tc>
        <w:tc>
          <w:tcPr>
            <w:tcW w:w="984" w:type="dxa"/>
            <w:tcBorders>
              <w:top w:val="single" w:color="000000" w:sz="8" w:space="0"/>
              <w:left w:val="single" w:color="000000" w:sz="8" w:space="0"/>
              <w:bottom w:val="single" w:color="000000" w:sz="8" w:space="0"/>
              <w:right w:val="single" w:color="000000" w:sz="8" w:space="0"/>
            </w:tcBorders>
            <w:shd w:val="clear" w:color="auto" w:fill="FFFFFF"/>
            <w:vAlign w:val="center"/>
          </w:tcPr>
          <w:p>
            <w:pPr>
              <w:pageBreakBefore w:val="0"/>
              <w:jc w:val="left"/>
              <w:textAlignment w:val="center"/>
              <w:rPr>
                <w:color w:val="auto"/>
                <w:u w:val="none"/>
              </w:rPr>
            </w:pPr>
            <w:r>
              <w:rPr>
                <w:rFonts w:ascii="Times New Roman" w:hAnsi="Times New Roman" w:eastAsia="Times New Roman" w:cs="Times New Roman"/>
                <w:b w:val="0"/>
                <w:i w:val="0"/>
                <w:strike w:val="0"/>
                <w:color w:val="auto"/>
                <w:position w:val="-1"/>
                <w:sz w:val="22"/>
                <w:u w:val="none"/>
              </w:rPr>
              <w:t>基本保障区委大院办公场所的正常运转，包括用水、用电、通讯等供给及设施维修维护，避免资源浪费。</w:t>
            </w:r>
          </w:p>
        </w:tc>
        <w:tc>
          <w:tcPr>
            <w:tcW w:w="1150" w:type="dxa"/>
            <w:tcBorders>
              <w:top w:val="single" w:color="000000" w:sz="8" w:space="0"/>
              <w:left w:val="single" w:color="000000" w:sz="8" w:space="0"/>
              <w:bottom w:val="single" w:color="000000" w:sz="8" w:space="0"/>
              <w:right w:val="single" w:color="000000" w:sz="8" w:space="0"/>
            </w:tcBorders>
            <w:shd w:val="clear" w:color="auto" w:fill="FFFFFF"/>
            <w:vAlign w:val="center"/>
          </w:tcPr>
          <w:p>
            <w:pPr>
              <w:pageBreakBefore w:val="0"/>
              <w:jc w:val="right"/>
              <w:textAlignment w:val="center"/>
              <w:rPr>
                <w:color w:val="auto"/>
                <w:u w:val="none"/>
              </w:rPr>
            </w:pPr>
            <w:r>
              <w:rPr>
                <w:rFonts w:ascii="Times New Roman" w:hAnsi="Times New Roman" w:eastAsia="Times New Roman" w:cs="Times New Roman"/>
                <w:b w:val="0"/>
                <w:i w:val="0"/>
                <w:strike w:val="0"/>
                <w:color w:val="auto"/>
                <w:position w:val="-1"/>
                <w:sz w:val="22"/>
                <w:u w:val="none"/>
              </w:rPr>
              <w:t>13,140,000.00</w:t>
            </w:r>
          </w:p>
        </w:tc>
        <w:tc>
          <w:tcPr>
            <w:tcW w:w="1200" w:type="dxa"/>
            <w:tcBorders>
              <w:top w:val="single" w:color="000000" w:sz="8" w:space="0"/>
              <w:left w:val="single" w:color="000000" w:sz="8" w:space="0"/>
              <w:bottom w:val="single" w:color="000000" w:sz="8" w:space="0"/>
              <w:right w:val="single" w:color="000000" w:sz="8" w:space="0"/>
            </w:tcBorders>
            <w:shd w:val="clear" w:color="auto" w:fill="FFFFFF"/>
            <w:vAlign w:val="center"/>
          </w:tcPr>
          <w:p>
            <w:pPr>
              <w:pageBreakBefore w:val="0"/>
              <w:jc w:val="right"/>
              <w:textAlignment w:val="center"/>
              <w:rPr>
                <w:color w:val="auto"/>
                <w:u w:val="none"/>
              </w:rPr>
            </w:pPr>
            <w:r>
              <w:rPr>
                <w:rFonts w:ascii="Times New Roman" w:hAnsi="Times New Roman" w:eastAsia="Times New Roman" w:cs="Times New Roman"/>
                <w:b w:val="0"/>
                <w:i w:val="0"/>
                <w:strike w:val="0"/>
                <w:color w:val="auto"/>
                <w:position w:val="-1"/>
                <w:sz w:val="22"/>
                <w:u w:val="none"/>
              </w:rPr>
              <w:t>13,140,000.00</w:t>
            </w:r>
          </w:p>
        </w:tc>
        <w:tc>
          <w:tcPr>
            <w:tcW w:w="1100" w:type="dxa"/>
            <w:tcBorders>
              <w:top w:val="single" w:color="000000" w:sz="8" w:space="0"/>
              <w:left w:val="single" w:color="000000" w:sz="8" w:space="0"/>
              <w:bottom w:val="single" w:color="000000" w:sz="8" w:space="0"/>
              <w:right w:val="single" w:color="000000" w:sz="8" w:space="0"/>
            </w:tcBorders>
            <w:shd w:val="clear" w:color="auto" w:fill="FFFFFF"/>
            <w:vAlign w:val="center"/>
          </w:tcPr>
          <w:p>
            <w:pPr>
              <w:pageBreakBefore w:val="0"/>
              <w:jc w:val="right"/>
              <w:textAlignment w:val="center"/>
              <w:rPr>
                <w:color w:val="auto"/>
                <w:u w:val="none"/>
              </w:rPr>
            </w:pPr>
            <w:r>
              <w:rPr>
                <w:rFonts w:ascii="Times New Roman" w:hAnsi="Times New Roman" w:eastAsia="Times New Roman" w:cs="Times New Roman"/>
                <w:b w:val="0"/>
                <w:i w:val="0"/>
                <w:strike w:val="0"/>
                <w:color w:val="auto"/>
                <w:position w:val="-1"/>
                <w:sz w:val="22"/>
                <w:u w:val="none"/>
              </w:rPr>
              <w:t>13,131,607.83</w:t>
            </w:r>
          </w:p>
        </w:tc>
        <w:tc>
          <w:tcPr>
            <w:tcW w:w="1263" w:type="dxa"/>
            <w:tcBorders>
              <w:top w:val="single" w:color="000000" w:sz="8" w:space="0"/>
              <w:left w:val="single" w:color="000000" w:sz="8" w:space="0"/>
              <w:bottom w:val="single" w:color="000000" w:sz="8" w:space="0"/>
              <w:right w:val="single" w:color="000000" w:sz="8" w:space="0"/>
            </w:tcBorders>
            <w:shd w:val="clear" w:color="auto" w:fill="FFFFFF"/>
            <w:vAlign w:val="center"/>
          </w:tcPr>
          <w:p>
            <w:pPr>
              <w:pageBreakBefore w:val="0"/>
              <w:jc w:val="right"/>
              <w:textAlignment w:val="center"/>
              <w:rPr>
                <w:color w:val="auto"/>
                <w:u w:val="none"/>
              </w:rPr>
            </w:pPr>
            <w:r>
              <w:rPr>
                <w:rFonts w:ascii="Times New Roman" w:hAnsi="Times New Roman" w:eastAsia="Times New Roman" w:cs="Times New Roman"/>
                <w:b w:val="0"/>
                <w:i w:val="0"/>
                <w:strike w:val="0"/>
                <w:color w:val="auto"/>
                <w:position w:val="-1"/>
                <w:sz w:val="22"/>
                <w:u w:val="none"/>
              </w:rPr>
              <w:t>13,131,607.83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535"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pageBreakBefore w:val="0"/>
              <w:jc w:val="left"/>
              <w:textAlignment w:val="center"/>
              <w:rPr>
                <w:color w:val="auto"/>
                <w:u w:val="none"/>
              </w:rPr>
            </w:pPr>
            <w:r>
              <w:rPr>
                <w:rFonts w:ascii="Times New Roman" w:hAnsi="Times New Roman" w:eastAsia="Times New Roman" w:cs="Times New Roman"/>
                <w:b w:val="0"/>
                <w:i w:val="0"/>
                <w:strike w:val="0"/>
                <w:color w:val="auto"/>
                <w:position w:val="-1"/>
                <w:sz w:val="22"/>
                <w:u w:val="none"/>
              </w:rPr>
              <w:t>年度主要任务完成情况</w:t>
            </w:r>
          </w:p>
        </w:tc>
        <w:tc>
          <w:tcPr>
            <w:tcW w:w="999" w:type="dxa"/>
            <w:tcBorders>
              <w:top w:val="single" w:color="000000" w:sz="8" w:space="0"/>
              <w:left w:val="single" w:color="000000" w:sz="8" w:space="0"/>
              <w:bottom w:val="single" w:color="000000" w:sz="8" w:space="0"/>
              <w:right w:val="single" w:color="000000" w:sz="8" w:space="0"/>
            </w:tcBorders>
            <w:shd w:val="clear" w:color="auto" w:fill="FFFFFF"/>
            <w:vAlign w:val="center"/>
          </w:tcPr>
          <w:p>
            <w:pPr>
              <w:pageBreakBefore w:val="0"/>
              <w:jc w:val="left"/>
              <w:textAlignment w:val="center"/>
              <w:rPr>
                <w:color w:val="auto"/>
                <w:u w:val="none"/>
              </w:rPr>
            </w:pPr>
            <w:r>
              <w:rPr>
                <w:rFonts w:ascii="Times New Roman" w:hAnsi="Times New Roman" w:eastAsia="Times New Roman" w:cs="Times New Roman"/>
                <w:b w:val="0"/>
                <w:i w:val="0"/>
                <w:strike w:val="0"/>
                <w:color w:val="auto"/>
                <w:position w:val="-1"/>
                <w:sz w:val="22"/>
                <w:u w:val="none"/>
              </w:rPr>
              <w:t>修缮费</w:t>
            </w:r>
          </w:p>
        </w:tc>
        <w:tc>
          <w:tcPr>
            <w:tcW w:w="1100" w:type="dxa"/>
            <w:tcBorders>
              <w:top w:val="single" w:color="000000" w:sz="8" w:space="0"/>
              <w:left w:val="single" w:color="000000" w:sz="8" w:space="0"/>
              <w:bottom w:val="single" w:color="000000" w:sz="8" w:space="0"/>
              <w:right w:val="single" w:color="000000" w:sz="8" w:space="0"/>
            </w:tcBorders>
            <w:shd w:val="clear" w:color="auto" w:fill="FFFFFF"/>
            <w:vAlign w:val="center"/>
          </w:tcPr>
          <w:p>
            <w:pPr>
              <w:pageBreakBefore w:val="0"/>
              <w:jc w:val="left"/>
              <w:textAlignment w:val="center"/>
              <w:rPr>
                <w:color w:val="auto"/>
                <w:u w:val="none"/>
              </w:rPr>
            </w:pPr>
            <w:r>
              <w:rPr>
                <w:rFonts w:ascii="Times New Roman" w:hAnsi="Times New Roman" w:eastAsia="Times New Roman" w:cs="Times New Roman"/>
                <w:b w:val="0"/>
                <w:i w:val="0"/>
                <w:strike w:val="0"/>
                <w:color w:val="auto"/>
                <w:position w:val="-1"/>
                <w:sz w:val="22"/>
                <w:u w:val="none"/>
              </w:rPr>
              <w:t>区委大院办公场所、公共区域的日常维修及改造工程</w:t>
            </w:r>
          </w:p>
        </w:tc>
        <w:tc>
          <w:tcPr>
            <w:tcW w:w="984" w:type="dxa"/>
            <w:tcBorders>
              <w:top w:val="single" w:color="000000" w:sz="8" w:space="0"/>
              <w:left w:val="single" w:color="000000" w:sz="8" w:space="0"/>
              <w:bottom w:val="single" w:color="000000" w:sz="8" w:space="0"/>
              <w:right w:val="single" w:color="000000" w:sz="8" w:space="0"/>
            </w:tcBorders>
            <w:shd w:val="clear" w:color="auto" w:fill="FFFFFF"/>
            <w:vAlign w:val="center"/>
          </w:tcPr>
          <w:p>
            <w:pPr>
              <w:pageBreakBefore w:val="0"/>
              <w:jc w:val="left"/>
              <w:textAlignment w:val="center"/>
              <w:rPr>
                <w:color w:val="auto"/>
                <w:u w:val="none"/>
              </w:rPr>
            </w:pPr>
            <w:r>
              <w:rPr>
                <w:rFonts w:ascii="Times New Roman" w:hAnsi="Times New Roman" w:eastAsia="Times New Roman" w:cs="Times New Roman"/>
                <w:b w:val="0"/>
                <w:i w:val="0"/>
                <w:strike w:val="0"/>
                <w:color w:val="auto"/>
                <w:position w:val="-1"/>
                <w:sz w:val="22"/>
                <w:u w:val="none"/>
              </w:rPr>
              <w:t>完成区委大院办公场所、公共区域的维修及改造工程等任务。</w:t>
            </w:r>
          </w:p>
        </w:tc>
        <w:tc>
          <w:tcPr>
            <w:tcW w:w="1150" w:type="dxa"/>
            <w:tcBorders>
              <w:top w:val="single" w:color="000000" w:sz="8" w:space="0"/>
              <w:left w:val="single" w:color="000000" w:sz="8" w:space="0"/>
              <w:bottom w:val="single" w:color="000000" w:sz="8" w:space="0"/>
              <w:right w:val="single" w:color="000000" w:sz="8" w:space="0"/>
            </w:tcBorders>
            <w:shd w:val="clear" w:color="auto" w:fill="FFFFFF"/>
            <w:vAlign w:val="center"/>
          </w:tcPr>
          <w:p>
            <w:pPr>
              <w:pageBreakBefore w:val="0"/>
              <w:jc w:val="right"/>
              <w:textAlignment w:val="center"/>
              <w:rPr>
                <w:color w:val="auto"/>
                <w:u w:val="none"/>
              </w:rPr>
            </w:pPr>
            <w:r>
              <w:rPr>
                <w:rFonts w:ascii="Times New Roman" w:hAnsi="Times New Roman" w:eastAsia="Times New Roman" w:cs="Times New Roman"/>
                <w:b w:val="0"/>
                <w:i w:val="0"/>
                <w:strike w:val="0"/>
                <w:color w:val="auto"/>
                <w:position w:val="-1"/>
                <w:sz w:val="22"/>
                <w:u w:val="none"/>
              </w:rPr>
              <w:t>10,970,600.00</w:t>
            </w:r>
          </w:p>
        </w:tc>
        <w:tc>
          <w:tcPr>
            <w:tcW w:w="1200" w:type="dxa"/>
            <w:tcBorders>
              <w:top w:val="single" w:color="000000" w:sz="8" w:space="0"/>
              <w:left w:val="single" w:color="000000" w:sz="8" w:space="0"/>
              <w:bottom w:val="single" w:color="000000" w:sz="8" w:space="0"/>
              <w:right w:val="single" w:color="000000" w:sz="8" w:space="0"/>
            </w:tcBorders>
            <w:shd w:val="clear" w:color="auto" w:fill="FFFFFF"/>
            <w:vAlign w:val="center"/>
          </w:tcPr>
          <w:p>
            <w:pPr>
              <w:pageBreakBefore w:val="0"/>
              <w:jc w:val="right"/>
              <w:textAlignment w:val="center"/>
              <w:rPr>
                <w:color w:val="auto"/>
                <w:u w:val="none"/>
              </w:rPr>
            </w:pPr>
            <w:r>
              <w:rPr>
                <w:rFonts w:ascii="Times New Roman" w:hAnsi="Times New Roman" w:eastAsia="Times New Roman" w:cs="Times New Roman"/>
                <w:b w:val="0"/>
                <w:i w:val="0"/>
                <w:strike w:val="0"/>
                <w:color w:val="auto"/>
                <w:position w:val="-1"/>
                <w:sz w:val="22"/>
                <w:u w:val="none"/>
              </w:rPr>
              <w:t>10,970,600.00</w:t>
            </w:r>
          </w:p>
        </w:tc>
        <w:tc>
          <w:tcPr>
            <w:tcW w:w="1100" w:type="dxa"/>
            <w:tcBorders>
              <w:top w:val="single" w:color="000000" w:sz="8" w:space="0"/>
              <w:left w:val="single" w:color="000000" w:sz="8" w:space="0"/>
              <w:bottom w:val="single" w:color="000000" w:sz="8" w:space="0"/>
              <w:right w:val="single" w:color="000000" w:sz="8" w:space="0"/>
            </w:tcBorders>
            <w:shd w:val="clear" w:color="auto" w:fill="FFFFFF"/>
            <w:vAlign w:val="center"/>
          </w:tcPr>
          <w:p>
            <w:pPr>
              <w:pageBreakBefore w:val="0"/>
              <w:jc w:val="right"/>
              <w:textAlignment w:val="center"/>
              <w:rPr>
                <w:color w:val="auto"/>
                <w:u w:val="none"/>
              </w:rPr>
            </w:pPr>
            <w:r>
              <w:rPr>
                <w:rFonts w:ascii="Times New Roman" w:hAnsi="Times New Roman" w:eastAsia="Times New Roman" w:cs="Times New Roman"/>
                <w:b w:val="0"/>
                <w:i w:val="0"/>
                <w:strike w:val="0"/>
                <w:color w:val="auto"/>
                <w:position w:val="-1"/>
                <w:sz w:val="22"/>
                <w:u w:val="none"/>
              </w:rPr>
              <w:t>10,963,177.66</w:t>
            </w:r>
          </w:p>
        </w:tc>
        <w:tc>
          <w:tcPr>
            <w:tcW w:w="1263" w:type="dxa"/>
            <w:tcBorders>
              <w:top w:val="single" w:color="000000" w:sz="8" w:space="0"/>
              <w:left w:val="single" w:color="000000" w:sz="8" w:space="0"/>
              <w:bottom w:val="single" w:color="000000" w:sz="8" w:space="0"/>
              <w:right w:val="single" w:color="000000" w:sz="8" w:space="0"/>
            </w:tcBorders>
            <w:shd w:val="clear" w:color="auto" w:fill="FFFFFF"/>
            <w:vAlign w:val="center"/>
          </w:tcPr>
          <w:p>
            <w:pPr>
              <w:pageBreakBefore w:val="0"/>
              <w:jc w:val="right"/>
              <w:textAlignment w:val="center"/>
              <w:rPr>
                <w:color w:val="auto"/>
                <w:u w:val="none"/>
              </w:rPr>
            </w:pPr>
            <w:r>
              <w:rPr>
                <w:rFonts w:ascii="Times New Roman" w:hAnsi="Times New Roman" w:eastAsia="Times New Roman" w:cs="Times New Roman"/>
                <w:b w:val="0"/>
                <w:i w:val="0"/>
                <w:strike w:val="0"/>
                <w:color w:val="auto"/>
                <w:position w:val="-1"/>
                <w:sz w:val="22"/>
                <w:u w:val="none"/>
              </w:rPr>
              <w:t>10,963,177.66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535"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pageBreakBefore w:val="0"/>
              <w:jc w:val="left"/>
              <w:textAlignment w:val="center"/>
              <w:rPr>
                <w:color w:val="auto"/>
                <w:u w:val="none"/>
              </w:rPr>
            </w:pPr>
            <w:r>
              <w:rPr>
                <w:rFonts w:ascii="Times New Roman" w:hAnsi="Times New Roman" w:eastAsia="Times New Roman" w:cs="Times New Roman"/>
                <w:b w:val="0"/>
                <w:i w:val="0"/>
                <w:strike w:val="0"/>
                <w:color w:val="auto"/>
                <w:position w:val="-1"/>
                <w:sz w:val="22"/>
                <w:u w:val="none"/>
              </w:rPr>
              <w:t>年度主要任务完成情况</w:t>
            </w:r>
          </w:p>
        </w:tc>
        <w:tc>
          <w:tcPr>
            <w:tcW w:w="999" w:type="dxa"/>
            <w:tcBorders>
              <w:top w:val="single" w:color="000000" w:sz="8" w:space="0"/>
              <w:left w:val="single" w:color="000000" w:sz="8" w:space="0"/>
              <w:bottom w:val="single" w:color="000000" w:sz="8" w:space="0"/>
              <w:right w:val="single" w:color="000000" w:sz="8" w:space="0"/>
            </w:tcBorders>
            <w:shd w:val="clear" w:color="auto" w:fill="FFFFFF"/>
            <w:vAlign w:val="center"/>
          </w:tcPr>
          <w:p>
            <w:pPr>
              <w:pageBreakBefore w:val="0"/>
              <w:jc w:val="left"/>
              <w:textAlignment w:val="center"/>
              <w:rPr>
                <w:color w:val="auto"/>
                <w:u w:val="none"/>
              </w:rPr>
            </w:pPr>
            <w:r>
              <w:rPr>
                <w:rFonts w:ascii="Times New Roman" w:hAnsi="Times New Roman" w:eastAsia="Times New Roman" w:cs="Times New Roman"/>
                <w:b w:val="0"/>
                <w:i w:val="0"/>
                <w:strike w:val="0"/>
                <w:color w:val="auto"/>
                <w:position w:val="-1"/>
                <w:sz w:val="22"/>
                <w:u w:val="none"/>
              </w:rPr>
              <w:t>后勤保障</w:t>
            </w:r>
          </w:p>
        </w:tc>
        <w:tc>
          <w:tcPr>
            <w:tcW w:w="1100" w:type="dxa"/>
            <w:tcBorders>
              <w:top w:val="single" w:color="000000" w:sz="8" w:space="0"/>
              <w:left w:val="single" w:color="000000" w:sz="8" w:space="0"/>
              <w:bottom w:val="single" w:color="000000" w:sz="8" w:space="0"/>
              <w:right w:val="single" w:color="000000" w:sz="8" w:space="0"/>
            </w:tcBorders>
            <w:shd w:val="clear" w:color="auto" w:fill="FFFFFF"/>
            <w:vAlign w:val="center"/>
          </w:tcPr>
          <w:p>
            <w:pPr>
              <w:pageBreakBefore w:val="0"/>
              <w:jc w:val="left"/>
              <w:textAlignment w:val="center"/>
              <w:rPr>
                <w:color w:val="auto"/>
                <w:u w:val="none"/>
              </w:rPr>
            </w:pPr>
            <w:r>
              <w:rPr>
                <w:rFonts w:ascii="Times New Roman" w:hAnsi="Times New Roman" w:eastAsia="Times New Roman" w:cs="Times New Roman"/>
                <w:b w:val="0"/>
                <w:i w:val="0"/>
                <w:strike w:val="0"/>
                <w:color w:val="auto"/>
                <w:position w:val="-1"/>
                <w:sz w:val="22"/>
                <w:u w:val="none"/>
              </w:rPr>
              <w:t>区政府及上级部门布置的后勤服务任务，扶贫工作等</w:t>
            </w:r>
          </w:p>
        </w:tc>
        <w:tc>
          <w:tcPr>
            <w:tcW w:w="984" w:type="dxa"/>
            <w:tcBorders>
              <w:top w:val="single" w:color="000000" w:sz="8" w:space="0"/>
              <w:left w:val="single" w:color="000000" w:sz="8" w:space="0"/>
              <w:bottom w:val="single" w:color="000000" w:sz="8" w:space="0"/>
              <w:right w:val="single" w:color="000000" w:sz="8" w:space="0"/>
            </w:tcBorders>
            <w:shd w:val="clear" w:color="auto" w:fill="FFFFFF"/>
            <w:vAlign w:val="center"/>
          </w:tcPr>
          <w:p>
            <w:pPr>
              <w:pageBreakBefore w:val="0"/>
              <w:jc w:val="left"/>
              <w:textAlignment w:val="center"/>
              <w:rPr>
                <w:color w:val="auto"/>
                <w:u w:val="none"/>
              </w:rPr>
            </w:pPr>
            <w:r>
              <w:rPr>
                <w:rFonts w:ascii="Times New Roman" w:hAnsi="Times New Roman" w:eastAsia="Times New Roman" w:cs="Times New Roman"/>
                <w:b w:val="0"/>
                <w:i w:val="0"/>
                <w:strike w:val="0"/>
                <w:color w:val="auto"/>
                <w:position w:val="-1"/>
                <w:sz w:val="22"/>
                <w:u w:val="none"/>
              </w:rPr>
              <w:t>基本完成区政府及上级部门布置的后勤服务与扶贫等任务</w:t>
            </w:r>
          </w:p>
        </w:tc>
        <w:tc>
          <w:tcPr>
            <w:tcW w:w="1150" w:type="dxa"/>
            <w:tcBorders>
              <w:top w:val="single" w:color="000000" w:sz="8" w:space="0"/>
              <w:left w:val="single" w:color="000000" w:sz="8" w:space="0"/>
              <w:bottom w:val="single" w:color="000000" w:sz="8" w:space="0"/>
              <w:right w:val="single" w:color="000000" w:sz="8" w:space="0"/>
            </w:tcBorders>
            <w:shd w:val="clear" w:color="auto" w:fill="FFFFFF"/>
            <w:vAlign w:val="center"/>
          </w:tcPr>
          <w:p>
            <w:pPr>
              <w:pageBreakBefore w:val="0"/>
              <w:jc w:val="right"/>
              <w:textAlignment w:val="center"/>
              <w:rPr>
                <w:color w:val="auto"/>
                <w:u w:val="none"/>
              </w:rPr>
            </w:pPr>
            <w:r>
              <w:rPr>
                <w:rFonts w:ascii="Times New Roman" w:hAnsi="Times New Roman" w:eastAsia="Times New Roman" w:cs="Times New Roman"/>
                <w:b w:val="0"/>
                <w:i w:val="0"/>
                <w:strike w:val="0"/>
                <w:color w:val="auto"/>
                <w:position w:val="-1"/>
                <w:sz w:val="22"/>
                <w:u w:val="none"/>
              </w:rPr>
              <w:t>700,000.00</w:t>
            </w:r>
          </w:p>
        </w:tc>
        <w:tc>
          <w:tcPr>
            <w:tcW w:w="1200" w:type="dxa"/>
            <w:tcBorders>
              <w:top w:val="single" w:color="000000" w:sz="8" w:space="0"/>
              <w:left w:val="single" w:color="000000" w:sz="8" w:space="0"/>
              <w:bottom w:val="single" w:color="000000" w:sz="8" w:space="0"/>
              <w:right w:val="single" w:color="000000" w:sz="8" w:space="0"/>
            </w:tcBorders>
            <w:shd w:val="clear" w:color="auto" w:fill="FFFFFF"/>
            <w:vAlign w:val="center"/>
          </w:tcPr>
          <w:p>
            <w:pPr>
              <w:pageBreakBefore w:val="0"/>
              <w:jc w:val="right"/>
              <w:textAlignment w:val="center"/>
              <w:rPr>
                <w:color w:val="auto"/>
                <w:u w:val="none"/>
              </w:rPr>
            </w:pPr>
            <w:r>
              <w:rPr>
                <w:rFonts w:ascii="Times New Roman" w:hAnsi="Times New Roman" w:eastAsia="Times New Roman" w:cs="Times New Roman"/>
                <w:b w:val="0"/>
                <w:i w:val="0"/>
                <w:strike w:val="0"/>
                <w:color w:val="auto"/>
                <w:position w:val="-1"/>
                <w:sz w:val="22"/>
                <w:u w:val="none"/>
              </w:rPr>
              <w:t>700,000.00</w:t>
            </w:r>
          </w:p>
        </w:tc>
        <w:tc>
          <w:tcPr>
            <w:tcW w:w="1100" w:type="dxa"/>
            <w:tcBorders>
              <w:top w:val="single" w:color="000000" w:sz="8" w:space="0"/>
              <w:left w:val="single" w:color="000000" w:sz="8" w:space="0"/>
              <w:bottom w:val="single" w:color="000000" w:sz="8" w:space="0"/>
              <w:right w:val="single" w:color="000000" w:sz="8" w:space="0"/>
            </w:tcBorders>
            <w:shd w:val="clear" w:color="auto" w:fill="FFFFFF"/>
            <w:vAlign w:val="center"/>
          </w:tcPr>
          <w:p>
            <w:pPr>
              <w:pageBreakBefore w:val="0"/>
              <w:jc w:val="right"/>
              <w:textAlignment w:val="center"/>
              <w:rPr>
                <w:color w:val="auto"/>
                <w:u w:val="none"/>
              </w:rPr>
            </w:pPr>
            <w:r>
              <w:rPr>
                <w:rFonts w:ascii="Times New Roman" w:hAnsi="Times New Roman" w:eastAsia="Times New Roman" w:cs="Times New Roman"/>
                <w:b w:val="0"/>
                <w:i w:val="0"/>
                <w:strike w:val="0"/>
                <w:color w:val="auto"/>
                <w:position w:val="-1"/>
                <w:sz w:val="22"/>
                <w:u w:val="none"/>
              </w:rPr>
              <w:t>616,147.36</w:t>
            </w:r>
          </w:p>
        </w:tc>
        <w:tc>
          <w:tcPr>
            <w:tcW w:w="1263" w:type="dxa"/>
            <w:tcBorders>
              <w:top w:val="single" w:color="000000" w:sz="8" w:space="0"/>
              <w:left w:val="single" w:color="000000" w:sz="8" w:space="0"/>
              <w:bottom w:val="single" w:color="000000" w:sz="8" w:space="0"/>
              <w:right w:val="single" w:color="000000" w:sz="8" w:space="0"/>
            </w:tcBorders>
            <w:shd w:val="clear" w:color="auto" w:fill="FFFFFF"/>
            <w:vAlign w:val="center"/>
          </w:tcPr>
          <w:p>
            <w:pPr>
              <w:pageBreakBefore w:val="0"/>
              <w:jc w:val="right"/>
              <w:textAlignment w:val="center"/>
              <w:rPr>
                <w:color w:val="auto"/>
                <w:u w:val="none"/>
              </w:rPr>
            </w:pPr>
            <w:r>
              <w:rPr>
                <w:rFonts w:ascii="Times New Roman" w:hAnsi="Times New Roman" w:eastAsia="Times New Roman" w:cs="Times New Roman"/>
                <w:b w:val="0"/>
                <w:i w:val="0"/>
                <w:strike w:val="0"/>
                <w:color w:val="auto"/>
                <w:position w:val="-1"/>
                <w:sz w:val="22"/>
                <w:u w:val="none"/>
              </w:rPr>
              <w:t>616,147.36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535"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pageBreakBefore w:val="0"/>
              <w:jc w:val="left"/>
              <w:textAlignment w:val="center"/>
              <w:rPr>
                <w:color w:val="auto"/>
                <w:u w:val="none"/>
              </w:rPr>
            </w:pPr>
            <w:r>
              <w:rPr>
                <w:rFonts w:ascii="Times New Roman" w:hAnsi="Times New Roman" w:eastAsia="Times New Roman" w:cs="Times New Roman"/>
                <w:b w:val="0"/>
                <w:i w:val="0"/>
                <w:strike w:val="0"/>
                <w:color w:val="auto"/>
                <w:position w:val="-1"/>
                <w:sz w:val="22"/>
                <w:u w:val="none"/>
              </w:rPr>
              <w:t>年度主要任务完成情况</w:t>
            </w:r>
          </w:p>
        </w:tc>
        <w:tc>
          <w:tcPr>
            <w:tcW w:w="999" w:type="dxa"/>
            <w:tcBorders>
              <w:top w:val="single" w:color="000000" w:sz="8" w:space="0"/>
              <w:left w:val="single" w:color="000000" w:sz="8" w:space="0"/>
              <w:bottom w:val="single" w:color="000000" w:sz="8" w:space="0"/>
              <w:right w:val="single" w:color="000000" w:sz="8" w:space="0"/>
            </w:tcBorders>
            <w:shd w:val="clear" w:color="auto" w:fill="FFFFFF"/>
            <w:vAlign w:val="center"/>
          </w:tcPr>
          <w:p>
            <w:pPr>
              <w:pageBreakBefore w:val="0"/>
              <w:jc w:val="left"/>
              <w:textAlignment w:val="center"/>
              <w:rPr>
                <w:color w:val="auto"/>
                <w:u w:val="none"/>
              </w:rPr>
            </w:pPr>
            <w:r>
              <w:rPr>
                <w:rFonts w:ascii="Times New Roman" w:hAnsi="Times New Roman" w:eastAsia="Times New Roman" w:cs="Times New Roman"/>
                <w:b w:val="0"/>
                <w:i w:val="0"/>
                <w:strike w:val="0"/>
                <w:color w:val="auto"/>
                <w:position w:val="-1"/>
                <w:sz w:val="22"/>
                <w:u w:val="none"/>
              </w:rPr>
              <w:t>政府活动</w:t>
            </w:r>
          </w:p>
        </w:tc>
        <w:tc>
          <w:tcPr>
            <w:tcW w:w="1100" w:type="dxa"/>
            <w:tcBorders>
              <w:top w:val="single" w:color="000000" w:sz="8" w:space="0"/>
              <w:left w:val="single" w:color="000000" w:sz="8" w:space="0"/>
              <w:bottom w:val="single" w:color="000000" w:sz="8" w:space="0"/>
              <w:right w:val="single" w:color="000000" w:sz="8" w:space="0"/>
            </w:tcBorders>
            <w:shd w:val="clear" w:color="auto" w:fill="FFFFFF"/>
            <w:vAlign w:val="center"/>
          </w:tcPr>
          <w:p>
            <w:pPr>
              <w:pageBreakBefore w:val="0"/>
              <w:jc w:val="left"/>
              <w:textAlignment w:val="center"/>
              <w:rPr>
                <w:color w:val="auto"/>
                <w:u w:val="none"/>
              </w:rPr>
            </w:pPr>
            <w:r>
              <w:rPr>
                <w:rFonts w:ascii="Times New Roman" w:hAnsi="Times New Roman" w:eastAsia="Times New Roman" w:cs="Times New Roman"/>
                <w:b w:val="0"/>
                <w:i w:val="0"/>
                <w:strike w:val="0"/>
                <w:color w:val="auto"/>
                <w:position w:val="-1"/>
                <w:sz w:val="22"/>
                <w:u w:val="none"/>
              </w:rPr>
              <w:t>区委区政府调研、政务活动经费</w:t>
            </w:r>
          </w:p>
        </w:tc>
        <w:tc>
          <w:tcPr>
            <w:tcW w:w="984" w:type="dxa"/>
            <w:tcBorders>
              <w:top w:val="single" w:color="000000" w:sz="8" w:space="0"/>
              <w:left w:val="single" w:color="000000" w:sz="8" w:space="0"/>
              <w:bottom w:val="single" w:color="000000" w:sz="8" w:space="0"/>
              <w:right w:val="single" w:color="000000" w:sz="8" w:space="0"/>
            </w:tcBorders>
            <w:shd w:val="clear" w:color="auto" w:fill="FFFFFF"/>
            <w:vAlign w:val="center"/>
          </w:tcPr>
          <w:p>
            <w:pPr>
              <w:pageBreakBefore w:val="0"/>
              <w:jc w:val="left"/>
              <w:textAlignment w:val="center"/>
              <w:rPr>
                <w:color w:val="auto"/>
                <w:u w:val="none"/>
              </w:rPr>
            </w:pPr>
            <w:r>
              <w:rPr>
                <w:rFonts w:ascii="Times New Roman" w:hAnsi="Times New Roman" w:eastAsia="Times New Roman" w:cs="Times New Roman"/>
                <w:b w:val="0"/>
                <w:i w:val="0"/>
                <w:strike w:val="0"/>
                <w:color w:val="auto"/>
                <w:position w:val="-1"/>
                <w:sz w:val="22"/>
                <w:u w:val="none"/>
              </w:rPr>
              <w:t>基本保障区委区政府调研、政务活动经费支出。</w:t>
            </w:r>
          </w:p>
        </w:tc>
        <w:tc>
          <w:tcPr>
            <w:tcW w:w="1150" w:type="dxa"/>
            <w:tcBorders>
              <w:top w:val="single" w:color="000000" w:sz="8" w:space="0"/>
              <w:left w:val="single" w:color="000000" w:sz="8" w:space="0"/>
              <w:bottom w:val="single" w:color="000000" w:sz="8" w:space="0"/>
              <w:right w:val="single" w:color="000000" w:sz="8" w:space="0"/>
            </w:tcBorders>
            <w:shd w:val="clear" w:color="auto" w:fill="FFFFFF"/>
            <w:vAlign w:val="center"/>
          </w:tcPr>
          <w:p>
            <w:pPr>
              <w:pageBreakBefore w:val="0"/>
              <w:jc w:val="right"/>
              <w:textAlignment w:val="center"/>
              <w:rPr>
                <w:color w:val="auto"/>
                <w:u w:val="none"/>
              </w:rPr>
            </w:pPr>
            <w:r>
              <w:rPr>
                <w:rFonts w:ascii="Times New Roman" w:hAnsi="Times New Roman" w:eastAsia="Times New Roman" w:cs="Times New Roman"/>
                <w:b w:val="0"/>
                <w:i w:val="0"/>
                <w:strike w:val="0"/>
                <w:color w:val="auto"/>
                <w:position w:val="-1"/>
                <w:sz w:val="22"/>
                <w:u w:val="none"/>
              </w:rPr>
              <w:t>3,090,000.00</w:t>
            </w:r>
          </w:p>
        </w:tc>
        <w:tc>
          <w:tcPr>
            <w:tcW w:w="1200" w:type="dxa"/>
            <w:tcBorders>
              <w:top w:val="single" w:color="000000" w:sz="8" w:space="0"/>
              <w:left w:val="single" w:color="000000" w:sz="8" w:space="0"/>
              <w:bottom w:val="single" w:color="000000" w:sz="8" w:space="0"/>
              <w:right w:val="single" w:color="000000" w:sz="8" w:space="0"/>
            </w:tcBorders>
            <w:shd w:val="clear" w:color="auto" w:fill="FFFFFF"/>
            <w:vAlign w:val="center"/>
          </w:tcPr>
          <w:p>
            <w:pPr>
              <w:pageBreakBefore w:val="0"/>
              <w:jc w:val="right"/>
              <w:textAlignment w:val="center"/>
              <w:rPr>
                <w:color w:val="auto"/>
                <w:u w:val="none"/>
              </w:rPr>
            </w:pPr>
            <w:r>
              <w:rPr>
                <w:rFonts w:ascii="Times New Roman" w:hAnsi="Times New Roman" w:eastAsia="Times New Roman" w:cs="Times New Roman"/>
                <w:b w:val="0"/>
                <w:i w:val="0"/>
                <w:strike w:val="0"/>
                <w:color w:val="auto"/>
                <w:position w:val="-1"/>
                <w:sz w:val="22"/>
                <w:u w:val="none"/>
              </w:rPr>
              <w:t>3,090,000.00</w:t>
            </w:r>
          </w:p>
        </w:tc>
        <w:tc>
          <w:tcPr>
            <w:tcW w:w="1100" w:type="dxa"/>
            <w:tcBorders>
              <w:top w:val="single" w:color="000000" w:sz="8" w:space="0"/>
              <w:left w:val="single" w:color="000000" w:sz="8" w:space="0"/>
              <w:bottom w:val="single" w:color="000000" w:sz="8" w:space="0"/>
              <w:right w:val="single" w:color="000000" w:sz="8" w:space="0"/>
            </w:tcBorders>
            <w:shd w:val="clear" w:color="auto" w:fill="FFFFFF"/>
            <w:vAlign w:val="center"/>
          </w:tcPr>
          <w:p>
            <w:pPr>
              <w:pageBreakBefore w:val="0"/>
              <w:jc w:val="right"/>
              <w:textAlignment w:val="center"/>
              <w:rPr>
                <w:color w:val="auto"/>
                <w:u w:val="none"/>
              </w:rPr>
            </w:pPr>
            <w:r>
              <w:rPr>
                <w:rFonts w:ascii="Times New Roman" w:hAnsi="Times New Roman" w:eastAsia="Times New Roman" w:cs="Times New Roman"/>
                <w:b w:val="0"/>
                <w:i w:val="0"/>
                <w:strike w:val="0"/>
                <w:color w:val="auto"/>
                <w:position w:val="-1"/>
                <w:sz w:val="22"/>
                <w:u w:val="none"/>
              </w:rPr>
              <w:t>3,028,243.77</w:t>
            </w:r>
          </w:p>
        </w:tc>
        <w:tc>
          <w:tcPr>
            <w:tcW w:w="1263" w:type="dxa"/>
            <w:tcBorders>
              <w:top w:val="single" w:color="000000" w:sz="8" w:space="0"/>
              <w:left w:val="single" w:color="000000" w:sz="8" w:space="0"/>
              <w:bottom w:val="single" w:color="000000" w:sz="8" w:space="0"/>
              <w:right w:val="single" w:color="000000" w:sz="8" w:space="0"/>
            </w:tcBorders>
            <w:shd w:val="clear" w:color="auto" w:fill="FFFFFF"/>
            <w:vAlign w:val="center"/>
          </w:tcPr>
          <w:p>
            <w:pPr>
              <w:pageBreakBefore w:val="0"/>
              <w:jc w:val="right"/>
              <w:textAlignment w:val="center"/>
              <w:rPr>
                <w:color w:val="auto"/>
                <w:u w:val="none"/>
              </w:rPr>
            </w:pPr>
            <w:r>
              <w:rPr>
                <w:rFonts w:ascii="Times New Roman" w:hAnsi="Times New Roman" w:eastAsia="Times New Roman" w:cs="Times New Roman"/>
                <w:b w:val="0"/>
                <w:i w:val="0"/>
                <w:strike w:val="0"/>
                <w:color w:val="auto"/>
                <w:position w:val="-1"/>
                <w:sz w:val="22"/>
                <w:u w:val="none"/>
              </w:rPr>
              <w:t>3,028,243.77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535"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pageBreakBefore w:val="0"/>
              <w:jc w:val="left"/>
              <w:textAlignment w:val="center"/>
              <w:rPr>
                <w:color w:val="auto"/>
                <w:u w:val="none"/>
              </w:rPr>
            </w:pPr>
            <w:r>
              <w:rPr>
                <w:rFonts w:ascii="Times New Roman" w:hAnsi="Times New Roman" w:eastAsia="Times New Roman" w:cs="Times New Roman"/>
                <w:b w:val="0"/>
                <w:i w:val="0"/>
                <w:strike w:val="0"/>
                <w:color w:val="auto"/>
                <w:position w:val="-1"/>
                <w:sz w:val="22"/>
                <w:u w:val="none"/>
              </w:rPr>
              <w:t>年度主要任务完成情况</w:t>
            </w:r>
          </w:p>
        </w:tc>
        <w:tc>
          <w:tcPr>
            <w:tcW w:w="999" w:type="dxa"/>
            <w:tcBorders>
              <w:top w:val="single" w:color="000000" w:sz="8" w:space="0"/>
              <w:left w:val="single" w:color="000000" w:sz="8" w:space="0"/>
              <w:bottom w:val="single" w:color="000000" w:sz="8" w:space="0"/>
              <w:right w:val="single" w:color="000000" w:sz="8" w:space="0"/>
            </w:tcBorders>
            <w:shd w:val="clear" w:color="auto" w:fill="FFFFFF"/>
            <w:vAlign w:val="center"/>
          </w:tcPr>
          <w:p>
            <w:pPr>
              <w:pageBreakBefore w:val="0"/>
              <w:jc w:val="left"/>
              <w:textAlignment w:val="center"/>
              <w:rPr>
                <w:color w:val="auto"/>
                <w:u w:val="none"/>
              </w:rPr>
            </w:pPr>
            <w:r>
              <w:rPr>
                <w:rFonts w:ascii="Times New Roman" w:hAnsi="Times New Roman" w:eastAsia="Times New Roman" w:cs="Times New Roman"/>
                <w:b w:val="0"/>
                <w:i w:val="0"/>
                <w:strike w:val="0"/>
                <w:color w:val="auto"/>
                <w:position w:val="-1"/>
                <w:sz w:val="22"/>
                <w:u w:val="none"/>
              </w:rPr>
              <w:t>基本支出</w:t>
            </w:r>
          </w:p>
        </w:tc>
        <w:tc>
          <w:tcPr>
            <w:tcW w:w="1100" w:type="dxa"/>
            <w:tcBorders>
              <w:top w:val="single" w:color="000000" w:sz="8" w:space="0"/>
              <w:left w:val="single" w:color="000000" w:sz="8" w:space="0"/>
              <w:bottom w:val="single" w:color="000000" w:sz="8" w:space="0"/>
              <w:right w:val="single" w:color="000000" w:sz="8" w:space="0"/>
            </w:tcBorders>
            <w:shd w:val="clear" w:color="auto" w:fill="FFFFFF"/>
            <w:vAlign w:val="center"/>
          </w:tcPr>
          <w:p>
            <w:pPr>
              <w:pageBreakBefore w:val="0"/>
              <w:jc w:val="left"/>
              <w:textAlignment w:val="center"/>
              <w:rPr>
                <w:color w:val="auto"/>
                <w:u w:val="none"/>
              </w:rPr>
            </w:pPr>
            <w:r>
              <w:rPr>
                <w:rFonts w:ascii="Times New Roman" w:hAnsi="Times New Roman" w:eastAsia="Times New Roman" w:cs="Times New Roman"/>
                <w:b w:val="0"/>
                <w:i w:val="0"/>
                <w:strike w:val="0"/>
                <w:color w:val="auto"/>
                <w:position w:val="-1"/>
                <w:sz w:val="22"/>
                <w:u w:val="none"/>
              </w:rPr>
              <w:t>人员经费、公用经费综合定额、公务用车运行维护费、工会经费、职工福利费、离退休人员经费</w:t>
            </w:r>
          </w:p>
        </w:tc>
        <w:tc>
          <w:tcPr>
            <w:tcW w:w="984" w:type="dxa"/>
            <w:tcBorders>
              <w:top w:val="single" w:color="000000" w:sz="8" w:space="0"/>
              <w:left w:val="single" w:color="000000" w:sz="8" w:space="0"/>
              <w:bottom w:val="single" w:color="000000" w:sz="8" w:space="0"/>
              <w:right w:val="single" w:color="000000" w:sz="8" w:space="0"/>
            </w:tcBorders>
            <w:shd w:val="clear" w:color="auto" w:fill="FFFFFF"/>
            <w:vAlign w:val="center"/>
          </w:tcPr>
          <w:p>
            <w:pPr>
              <w:pageBreakBefore w:val="0"/>
              <w:jc w:val="left"/>
              <w:textAlignment w:val="center"/>
              <w:rPr>
                <w:color w:val="auto"/>
                <w:u w:val="none"/>
              </w:rPr>
            </w:pPr>
            <w:r>
              <w:rPr>
                <w:rFonts w:ascii="Times New Roman" w:hAnsi="Times New Roman" w:eastAsia="Times New Roman" w:cs="Times New Roman"/>
                <w:b w:val="0"/>
                <w:i w:val="0"/>
                <w:strike w:val="0"/>
                <w:color w:val="auto"/>
                <w:position w:val="-1"/>
                <w:sz w:val="22"/>
                <w:u w:val="none"/>
              </w:rPr>
              <w:t>1、定期巡查考核。定期到各基地办进行物业巡查，并每月组织对物业的设施设备维护管理、清洁消杀、安保、防疫工作等工作情况进行检查考核，督促物业提高物业保障水平。
2、组织开展各基地维修工作。物业部组织维修队伍对城管基地防火门更换、城管宿舍地下管道渗漏、国防大厦大堂天面翻新和地面沉降修复、福田花园和档案馆精密空调维修等37项维修事宜。
3、协助完成其他物业工作。协助完成金地基地拆迁退场、水电销户、后续交接等事宜，协助中国电信完成5G建设基站通电及建户等事项。</w:t>
            </w:r>
          </w:p>
        </w:tc>
        <w:tc>
          <w:tcPr>
            <w:tcW w:w="1150" w:type="dxa"/>
            <w:tcBorders>
              <w:top w:val="single" w:color="000000" w:sz="8" w:space="0"/>
              <w:left w:val="single" w:color="000000" w:sz="8" w:space="0"/>
              <w:bottom w:val="single" w:color="000000" w:sz="8" w:space="0"/>
              <w:right w:val="single" w:color="000000" w:sz="8" w:space="0"/>
            </w:tcBorders>
            <w:shd w:val="clear" w:color="auto" w:fill="FFFFFF"/>
            <w:vAlign w:val="center"/>
          </w:tcPr>
          <w:p>
            <w:pPr>
              <w:pageBreakBefore w:val="0"/>
              <w:jc w:val="right"/>
              <w:textAlignment w:val="center"/>
              <w:rPr>
                <w:color w:val="auto"/>
                <w:u w:val="none"/>
              </w:rPr>
            </w:pPr>
            <w:r>
              <w:rPr>
                <w:rFonts w:ascii="Times New Roman" w:hAnsi="Times New Roman" w:eastAsia="Times New Roman" w:cs="Times New Roman"/>
                <w:b w:val="0"/>
                <w:i w:val="0"/>
                <w:strike w:val="0"/>
                <w:color w:val="auto"/>
                <w:position w:val="-1"/>
                <w:sz w:val="22"/>
                <w:u w:val="none"/>
              </w:rPr>
              <w:t>25,770,210.60</w:t>
            </w:r>
          </w:p>
        </w:tc>
        <w:tc>
          <w:tcPr>
            <w:tcW w:w="1200" w:type="dxa"/>
            <w:tcBorders>
              <w:top w:val="single" w:color="000000" w:sz="8" w:space="0"/>
              <w:left w:val="single" w:color="000000" w:sz="8" w:space="0"/>
              <w:bottom w:val="single" w:color="000000" w:sz="8" w:space="0"/>
              <w:right w:val="single" w:color="000000" w:sz="8" w:space="0"/>
            </w:tcBorders>
            <w:shd w:val="clear" w:color="auto" w:fill="FFFFFF"/>
            <w:vAlign w:val="center"/>
          </w:tcPr>
          <w:p>
            <w:pPr>
              <w:pageBreakBefore w:val="0"/>
              <w:jc w:val="right"/>
              <w:textAlignment w:val="center"/>
              <w:rPr>
                <w:color w:val="auto"/>
                <w:u w:val="none"/>
              </w:rPr>
            </w:pPr>
            <w:r>
              <w:rPr>
                <w:rFonts w:ascii="Times New Roman" w:hAnsi="Times New Roman" w:eastAsia="Times New Roman" w:cs="Times New Roman"/>
                <w:b w:val="0"/>
                <w:i w:val="0"/>
                <w:strike w:val="0"/>
                <w:color w:val="auto"/>
                <w:position w:val="-1"/>
                <w:sz w:val="22"/>
                <w:u w:val="none"/>
              </w:rPr>
              <w:t>25,770,210.60</w:t>
            </w:r>
          </w:p>
        </w:tc>
        <w:tc>
          <w:tcPr>
            <w:tcW w:w="1100" w:type="dxa"/>
            <w:tcBorders>
              <w:top w:val="single" w:color="000000" w:sz="8" w:space="0"/>
              <w:left w:val="single" w:color="000000" w:sz="8" w:space="0"/>
              <w:bottom w:val="single" w:color="000000" w:sz="8" w:space="0"/>
              <w:right w:val="single" w:color="000000" w:sz="8" w:space="0"/>
            </w:tcBorders>
            <w:shd w:val="clear" w:color="auto" w:fill="FFFFFF"/>
            <w:vAlign w:val="center"/>
          </w:tcPr>
          <w:p>
            <w:pPr>
              <w:pageBreakBefore w:val="0"/>
              <w:jc w:val="right"/>
              <w:textAlignment w:val="center"/>
              <w:rPr>
                <w:color w:val="auto"/>
                <w:u w:val="none"/>
              </w:rPr>
            </w:pPr>
            <w:r>
              <w:rPr>
                <w:rFonts w:ascii="Times New Roman" w:hAnsi="Times New Roman" w:eastAsia="Times New Roman" w:cs="Times New Roman"/>
                <w:b w:val="0"/>
                <w:i w:val="0"/>
                <w:strike w:val="0"/>
                <w:color w:val="auto"/>
                <w:position w:val="-1"/>
                <w:sz w:val="22"/>
                <w:u w:val="none"/>
              </w:rPr>
              <w:t>24,949,784.32</w:t>
            </w:r>
          </w:p>
        </w:tc>
        <w:tc>
          <w:tcPr>
            <w:tcW w:w="1263" w:type="dxa"/>
            <w:tcBorders>
              <w:top w:val="single" w:color="000000" w:sz="8" w:space="0"/>
              <w:left w:val="single" w:color="000000" w:sz="8" w:space="0"/>
              <w:bottom w:val="single" w:color="000000" w:sz="8" w:space="0"/>
              <w:right w:val="single" w:color="000000" w:sz="8" w:space="0"/>
            </w:tcBorders>
            <w:shd w:val="clear" w:color="auto" w:fill="FFFFFF"/>
            <w:vAlign w:val="center"/>
          </w:tcPr>
          <w:p>
            <w:pPr>
              <w:pageBreakBefore w:val="0"/>
              <w:jc w:val="right"/>
              <w:textAlignment w:val="center"/>
              <w:rPr>
                <w:color w:val="auto"/>
                <w:u w:val="none"/>
              </w:rPr>
            </w:pPr>
            <w:r>
              <w:rPr>
                <w:rFonts w:ascii="Times New Roman" w:hAnsi="Times New Roman" w:eastAsia="Times New Roman" w:cs="Times New Roman"/>
                <w:b w:val="0"/>
                <w:i w:val="0"/>
                <w:strike w:val="0"/>
                <w:color w:val="auto"/>
                <w:position w:val="-1"/>
                <w:sz w:val="22"/>
                <w:u w:val="none"/>
              </w:rPr>
              <w:t>24,949,784.32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535"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pageBreakBefore w:val="0"/>
              <w:jc w:val="left"/>
              <w:textAlignment w:val="center"/>
              <w:rPr>
                <w:color w:val="auto"/>
                <w:u w:val="none"/>
              </w:rPr>
            </w:pPr>
            <w:r>
              <w:rPr>
                <w:rFonts w:ascii="Times New Roman" w:hAnsi="Times New Roman" w:eastAsia="Times New Roman" w:cs="Times New Roman"/>
                <w:b w:val="0"/>
                <w:i w:val="0"/>
                <w:strike w:val="0"/>
                <w:color w:val="auto"/>
                <w:position w:val="-1"/>
                <w:sz w:val="22"/>
                <w:u w:val="none"/>
              </w:rPr>
              <w:t>年度主要任务完成情况</w:t>
            </w:r>
          </w:p>
        </w:tc>
        <w:tc>
          <w:tcPr>
            <w:tcW w:w="999" w:type="dxa"/>
            <w:tcBorders>
              <w:top w:val="single" w:color="000000" w:sz="8" w:space="0"/>
              <w:left w:val="single" w:color="000000" w:sz="8" w:space="0"/>
              <w:bottom w:val="single" w:color="000000" w:sz="8" w:space="0"/>
              <w:right w:val="single" w:color="000000" w:sz="8" w:space="0"/>
            </w:tcBorders>
            <w:shd w:val="clear" w:color="auto" w:fill="FFFFFF"/>
            <w:vAlign w:val="center"/>
          </w:tcPr>
          <w:p>
            <w:pPr>
              <w:pageBreakBefore w:val="0"/>
              <w:jc w:val="left"/>
              <w:textAlignment w:val="center"/>
              <w:rPr>
                <w:color w:val="auto"/>
                <w:u w:val="none"/>
              </w:rPr>
            </w:pPr>
            <w:r>
              <w:rPr>
                <w:rFonts w:ascii="Times New Roman" w:hAnsi="Times New Roman" w:eastAsia="Times New Roman" w:cs="Times New Roman"/>
                <w:b w:val="0"/>
                <w:i w:val="0"/>
                <w:strike w:val="0"/>
                <w:color w:val="auto"/>
                <w:position w:val="-1"/>
                <w:sz w:val="22"/>
                <w:u w:val="none"/>
              </w:rPr>
              <w:t>物业管理</w:t>
            </w:r>
          </w:p>
        </w:tc>
        <w:tc>
          <w:tcPr>
            <w:tcW w:w="1100" w:type="dxa"/>
            <w:tcBorders>
              <w:top w:val="single" w:color="000000" w:sz="8" w:space="0"/>
              <w:left w:val="single" w:color="000000" w:sz="8" w:space="0"/>
              <w:bottom w:val="single" w:color="000000" w:sz="8" w:space="0"/>
              <w:right w:val="single" w:color="000000" w:sz="8" w:space="0"/>
            </w:tcBorders>
            <w:shd w:val="clear" w:color="auto" w:fill="FFFFFF"/>
            <w:vAlign w:val="center"/>
          </w:tcPr>
          <w:p>
            <w:pPr>
              <w:pageBreakBefore w:val="0"/>
              <w:jc w:val="left"/>
              <w:textAlignment w:val="center"/>
              <w:rPr>
                <w:color w:val="auto"/>
                <w:u w:val="none"/>
              </w:rPr>
            </w:pPr>
            <w:r>
              <w:rPr>
                <w:rFonts w:ascii="Times New Roman" w:hAnsi="Times New Roman" w:eastAsia="Times New Roman" w:cs="Times New Roman"/>
                <w:b w:val="0"/>
                <w:i w:val="0"/>
                <w:strike w:val="0"/>
                <w:color w:val="auto"/>
                <w:position w:val="-1"/>
                <w:sz w:val="22"/>
                <w:u w:val="none"/>
              </w:rPr>
              <w:t>区委大院物业管理费</w:t>
            </w:r>
          </w:p>
        </w:tc>
        <w:tc>
          <w:tcPr>
            <w:tcW w:w="984" w:type="dxa"/>
            <w:tcBorders>
              <w:top w:val="single" w:color="000000" w:sz="8" w:space="0"/>
              <w:left w:val="single" w:color="000000" w:sz="8" w:space="0"/>
              <w:bottom w:val="single" w:color="000000" w:sz="8" w:space="0"/>
              <w:right w:val="single" w:color="000000" w:sz="8" w:space="0"/>
            </w:tcBorders>
            <w:shd w:val="clear" w:color="auto" w:fill="FFFFFF"/>
            <w:vAlign w:val="center"/>
          </w:tcPr>
          <w:p>
            <w:pPr>
              <w:pageBreakBefore w:val="0"/>
              <w:jc w:val="left"/>
              <w:textAlignment w:val="center"/>
              <w:rPr>
                <w:color w:val="auto"/>
                <w:u w:val="none"/>
              </w:rPr>
            </w:pPr>
            <w:r>
              <w:rPr>
                <w:rFonts w:ascii="Times New Roman" w:hAnsi="Times New Roman" w:eastAsia="Times New Roman" w:cs="Times New Roman"/>
                <w:b w:val="0"/>
                <w:i w:val="0"/>
                <w:strike w:val="0"/>
                <w:color w:val="auto"/>
                <w:position w:val="-1"/>
                <w:sz w:val="22"/>
                <w:u w:val="none"/>
              </w:rPr>
              <w:t>完成筹备人员在深期间的费用，已按流程依照深圳市差旅标准解决通勤、办公、差旅、补助等费用开支。</w:t>
            </w:r>
          </w:p>
        </w:tc>
        <w:tc>
          <w:tcPr>
            <w:tcW w:w="1150" w:type="dxa"/>
            <w:tcBorders>
              <w:top w:val="single" w:color="000000" w:sz="8" w:space="0"/>
              <w:left w:val="single" w:color="000000" w:sz="8" w:space="0"/>
              <w:bottom w:val="single" w:color="000000" w:sz="8" w:space="0"/>
              <w:right w:val="single" w:color="000000" w:sz="8" w:space="0"/>
            </w:tcBorders>
            <w:shd w:val="clear" w:color="auto" w:fill="FFFFFF"/>
            <w:vAlign w:val="center"/>
          </w:tcPr>
          <w:p>
            <w:pPr>
              <w:pageBreakBefore w:val="0"/>
              <w:jc w:val="right"/>
              <w:textAlignment w:val="center"/>
              <w:rPr>
                <w:color w:val="auto"/>
                <w:u w:val="none"/>
              </w:rPr>
            </w:pPr>
            <w:r>
              <w:rPr>
                <w:rFonts w:ascii="Times New Roman" w:hAnsi="Times New Roman" w:eastAsia="Times New Roman" w:cs="Times New Roman"/>
                <w:b w:val="0"/>
                <w:i w:val="0"/>
                <w:strike w:val="0"/>
                <w:color w:val="auto"/>
                <w:position w:val="-1"/>
                <w:sz w:val="22"/>
                <w:u w:val="none"/>
              </w:rPr>
              <w:t>13,811,400.00</w:t>
            </w:r>
          </w:p>
        </w:tc>
        <w:tc>
          <w:tcPr>
            <w:tcW w:w="1200" w:type="dxa"/>
            <w:tcBorders>
              <w:top w:val="single" w:color="000000" w:sz="8" w:space="0"/>
              <w:left w:val="single" w:color="000000" w:sz="8" w:space="0"/>
              <w:bottom w:val="single" w:color="000000" w:sz="8" w:space="0"/>
              <w:right w:val="single" w:color="000000" w:sz="8" w:space="0"/>
            </w:tcBorders>
            <w:shd w:val="clear" w:color="auto" w:fill="FFFFFF"/>
            <w:vAlign w:val="center"/>
          </w:tcPr>
          <w:p>
            <w:pPr>
              <w:pageBreakBefore w:val="0"/>
              <w:jc w:val="right"/>
              <w:textAlignment w:val="center"/>
              <w:rPr>
                <w:color w:val="auto"/>
                <w:u w:val="none"/>
              </w:rPr>
            </w:pPr>
            <w:r>
              <w:rPr>
                <w:rFonts w:ascii="Times New Roman" w:hAnsi="Times New Roman" w:eastAsia="Times New Roman" w:cs="Times New Roman"/>
                <w:b w:val="0"/>
                <w:i w:val="0"/>
                <w:strike w:val="0"/>
                <w:color w:val="auto"/>
                <w:position w:val="-1"/>
                <w:sz w:val="22"/>
                <w:u w:val="none"/>
              </w:rPr>
              <w:t>13,811,400.00</w:t>
            </w:r>
          </w:p>
        </w:tc>
        <w:tc>
          <w:tcPr>
            <w:tcW w:w="1100" w:type="dxa"/>
            <w:tcBorders>
              <w:top w:val="single" w:color="000000" w:sz="8" w:space="0"/>
              <w:left w:val="single" w:color="000000" w:sz="8" w:space="0"/>
              <w:bottom w:val="single" w:color="000000" w:sz="8" w:space="0"/>
              <w:right w:val="single" w:color="000000" w:sz="8" w:space="0"/>
            </w:tcBorders>
            <w:shd w:val="clear" w:color="auto" w:fill="FFFFFF"/>
            <w:vAlign w:val="center"/>
          </w:tcPr>
          <w:p>
            <w:pPr>
              <w:pageBreakBefore w:val="0"/>
              <w:jc w:val="right"/>
              <w:textAlignment w:val="center"/>
              <w:rPr>
                <w:color w:val="auto"/>
                <w:u w:val="none"/>
              </w:rPr>
            </w:pPr>
            <w:r>
              <w:rPr>
                <w:rFonts w:ascii="Times New Roman" w:hAnsi="Times New Roman" w:eastAsia="Times New Roman" w:cs="Times New Roman"/>
                <w:b w:val="0"/>
                <w:i w:val="0"/>
                <w:strike w:val="0"/>
                <w:color w:val="auto"/>
                <w:position w:val="-1"/>
                <w:sz w:val="22"/>
                <w:u w:val="none"/>
              </w:rPr>
              <w:t>13,810,869.54</w:t>
            </w:r>
          </w:p>
        </w:tc>
        <w:tc>
          <w:tcPr>
            <w:tcW w:w="1263" w:type="dxa"/>
            <w:tcBorders>
              <w:top w:val="single" w:color="000000" w:sz="8" w:space="0"/>
              <w:left w:val="single" w:color="000000" w:sz="8" w:space="0"/>
              <w:bottom w:val="single" w:color="000000" w:sz="8" w:space="0"/>
              <w:right w:val="single" w:color="000000" w:sz="8" w:space="0"/>
            </w:tcBorders>
            <w:shd w:val="clear" w:color="auto" w:fill="FFFFFF"/>
            <w:vAlign w:val="center"/>
          </w:tcPr>
          <w:p>
            <w:pPr>
              <w:pageBreakBefore w:val="0"/>
              <w:jc w:val="right"/>
              <w:textAlignment w:val="center"/>
              <w:rPr>
                <w:color w:val="auto"/>
                <w:u w:val="none"/>
              </w:rPr>
            </w:pPr>
            <w:r>
              <w:rPr>
                <w:rFonts w:ascii="Times New Roman" w:hAnsi="Times New Roman" w:eastAsia="Times New Roman" w:cs="Times New Roman"/>
                <w:b w:val="0"/>
                <w:i w:val="0"/>
                <w:strike w:val="0"/>
                <w:color w:val="auto"/>
                <w:position w:val="-1"/>
                <w:sz w:val="22"/>
                <w:u w:val="none"/>
              </w:rPr>
              <w:t>13,810,869.54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535"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pageBreakBefore w:val="0"/>
              <w:jc w:val="left"/>
              <w:textAlignment w:val="center"/>
              <w:rPr>
                <w:color w:val="auto"/>
                <w:u w:val="none"/>
              </w:rPr>
            </w:pPr>
            <w:r>
              <w:rPr>
                <w:rFonts w:ascii="Times New Roman" w:hAnsi="Times New Roman" w:eastAsia="Times New Roman" w:cs="Times New Roman"/>
                <w:b w:val="0"/>
                <w:i w:val="0"/>
                <w:strike w:val="0"/>
                <w:color w:val="auto"/>
                <w:position w:val="-1"/>
                <w:sz w:val="22"/>
                <w:u w:val="none"/>
              </w:rPr>
              <w:t>年度主要任务完成情况</w:t>
            </w:r>
          </w:p>
        </w:tc>
        <w:tc>
          <w:tcPr>
            <w:tcW w:w="999" w:type="dxa"/>
            <w:tcBorders>
              <w:top w:val="single" w:color="000000" w:sz="8" w:space="0"/>
              <w:left w:val="single" w:color="000000" w:sz="8" w:space="0"/>
              <w:bottom w:val="single" w:color="000000" w:sz="8" w:space="0"/>
              <w:right w:val="single" w:color="000000" w:sz="8" w:space="0"/>
            </w:tcBorders>
            <w:shd w:val="clear" w:color="auto" w:fill="FFFFFF"/>
            <w:vAlign w:val="center"/>
          </w:tcPr>
          <w:p>
            <w:pPr>
              <w:pageBreakBefore w:val="0"/>
              <w:jc w:val="left"/>
              <w:textAlignment w:val="center"/>
              <w:rPr>
                <w:color w:val="auto"/>
                <w:u w:val="none"/>
              </w:rPr>
            </w:pPr>
            <w:r>
              <w:rPr>
                <w:rFonts w:ascii="Times New Roman" w:hAnsi="Times New Roman" w:eastAsia="Times New Roman" w:cs="Times New Roman"/>
                <w:b w:val="0"/>
                <w:i w:val="0"/>
                <w:strike w:val="0"/>
                <w:color w:val="auto"/>
                <w:position w:val="-1"/>
                <w:sz w:val="22"/>
                <w:u w:val="none"/>
              </w:rPr>
              <w:t>国家药监局大湾区分中心筹备专项</w:t>
            </w:r>
          </w:p>
        </w:tc>
        <w:tc>
          <w:tcPr>
            <w:tcW w:w="1100" w:type="dxa"/>
            <w:tcBorders>
              <w:top w:val="single" w:color="000000" w:sz="8" w:space="0"/>
              <w:left w:val="single" w:color="000000" w:sz="8" w:space="0"/>
              <w:bottom w:val="single" w:color="000000" w:sz="8" w:space="0"/>
              <w:right w:val="single" w:color="000000" w:sz="8" w:space="0"/>
            </w:tcBorders>
            <w:shd w:val="clear" w:color="auto" w:fill="FFFFFF"/>
            <w:vAlign w:val="center"/>
          </w:tcPr>
          <w:p>
            <w:pPr>
              <w:pageBreakBefore w:val="0"/>
              <w:jc w:val="left"/>
              <w:textAlignment w:val="center"/>
              <w:rPr>
                <w:color w:val="auto"/>
                <w:u w:val="none"/>
              </w:rPr>
            </w:pPr>
            <w:r>
              <w:rPr>
                <w:rFonts w:ascii="Times New Roman" w:hAnsi="Times New Roman" w:eastAsia="Times New Roman" w:cs="Times New Roman"/>
                <w:b w:val="0"/>
                <w:i w:val="0"/>
                <w:strike w:val="0"/>
                <w:color w:val="auto"/>
                <w:position w:val="-1"/>
                <w:sz w:val="22"/>
                <w:u w:val="none"/>
              </w:rPr>
              <w:t>按流程依照深圳市差旅标准解决通勤、办公、差旅、补助等费用开支</w:t>
            </w:r>
          </w:p>
        </w:tc>
        <w:tc>
          <w:tcPr>
            <w:tcW w:w="984" w:type="dxa"/>
            <w:tcBorders>
              <w:top w:val="single" w:color="000000" w:sz="8" w:space="0"/>
              <w:left w:val="single" w:color="000000" w:sz="8" w:space="0"/>
              <w:bottom w:val="single" w:color="000000" w:sz="8" w:space="0"/>
              <w:right w:val="single" w:color="000000" w:sz="8" w:space="0"/>
            </w:tcBorders>
            <w:shd w:val="clear" w:color="auto" w:fill="FFFFFF"/>
            <w:vAlign w:val="center"/>
          </w:tcPr>
          <w:p>
            <w:pPr>
              <w:pageBreakBefore w:val="0"/>
              <w:jc w:val="left"/>
              <w:textAlignment w:val="center"/>
              <w:rPr>
                <w:color w:val="auto"/>
                <w:u w:val="none"/>
              </w:rPr>
            </w:pPr>
            <w:r>
              <w:rPr>
                <w:rFonts w:ascii="Times New Roman" w:hAnsi="Times New Roman" w:eastAsia="Times New Roman" w:cs="Times New Roman"/>
                <w:b w:val="0"/>
                <w:i w:val="0"/>
                <w:strike w:val="0"/>
                <w:color w:val="auto"/>
                <w:position w:val="-1"/>
                <w:sz w:val="22"/>
                <w:u w:val="none"/>
              </w:rPr>
              <w:t>已按时按质发放人员经费、公用经费综合定额、公务用车运行维护费、工会经费、职工福利费、离退休人员经费</w:t>
            </w:r>
          </w:p>
        </w:tc>
        <w:tc>
          <w:tcPr>
            <w:tcW w:w="1150" w:type="dxa"/>
            <w:tcBorders>
              <w:top w:val="single" w:color="000000" w:sz="8" w:space="0"/>
              <w:left w:val="single" w:color="000000" w:sz="8" w:space="0"/>
              <w:bottom w:val="single" w:color="000000" w:sz="8" w:space="0"/>
              <w:right w:val="single" w:color="000000" w:sz="8" w:space="0"/>
            </w:tcBorders>
            <w:shd w:val="clear" w:color="auto" w:fill="FFFFFF"/>
            <w:vAlign w:val="center"/>
          </w:tcPr>
          <w:p>
            <w:pPr>
              <w:pageBreakBefore w:val="0"/>
              <w:jc w:val="right"/>
              <w:textAlignment w:val="center"/>
              <w:rPr>
                <w:color w:val="auto"/>
                <w:u w:val="none"/>
              </w:rPr>
            </w:pPr>
            <w:r>
              <w:rPr>
                <w:rFonts w:ascii="Times New Roman" w:hAnsi="Times New Roman" w:eastAsia="Times New Roman" w:cs="Times New Roman"/>
                <w:b w:val="0"/>
                <w:i w:val="0"/>
                <w:strike w:val="0"/>
                <w:color w:val="auto"/>
                <w:position w:val="-1"/>
                <w:sz w:val="22"/>
                <w:u w:val="none"/>
              </w:rPr>
              <w:t>60,000,000.00</w:t>
            </w:r>
          </w:p>
        </w:tc>
        <w:tc>
          <w:tcPr>
            <w:tcW w:w="1200" w:type="dxa"/>
            <w:tcBorders>
              <w:top w:val="single" w:color="000000" w:sz="8" w:space="0"/>
              <w:left w:val="single" w:color="000000" w:sz="8" w:space="0"/>
              <w:bottom w:val="single" w:color="000000" w:sz="8" w:space="0"/>
              <w:right w:val="single" w:color="000000" w:sz="8" w:space="0"/>
            </w:tcBorders>
            <w:shd w:val="clear" w:color="auto" w:fill="FFFFFF"/>
            <w:vAlign w:val="center"/>
          </w:tcPr>
          <w:p>
            <w:pPr>
              <w:pageBreakBefore w:val="0"/>
              <w:jc w:val="right"/>
              <w:textAlignment w:val="center"/>
              <w:rPr>
                <w:color w:val="auto"/>
                <w:u w:val="none"/>
              </w:rPr>
            </w:pPr>
            <w:r>
              <w:rPr>
                <w:rFonts w:ascii="Times New Roman" w:hAnsi="Times New Roman" w:eastAsia="Times New Roman" w:cs="Times New Roman"/>
                <w:b w:val="0"/>
                <w:i w:val="0"/>
                <w:strike w:val="0"/>
                <w:color w:val="auto"/>
                <w:position w:val="-1"/>
                <w:sz w:val="22"/>
                <w:u w:val="none"/>
              </w:rPr>
              <w:t>60,000,000.00</w:t>
            </w:r>
          </w:p>
        </w:tc>
        <w:tc>
          <w:tcPr>
            <w:tcW w:w="1100" w:type="dxa"/>
            <w:tcBorders>
              <w:top w:val="single" w:color="000000" w:sz="8" w:space="0"/>
              <w:left w:val="single" w:color="000000" w:sz="8" w:space="0"/>
              <w:bottom w:val="single" w:color="000000" w:sz="8" w:space="0"/>
              <w:right w:val="single" w:color="000000" w:sz="8" w:space="0"/>
            </w:tcBorders>
            <w:shd w:val="clear" w:color="auto" w:fill="FFFFFF"/>
            <w:vAlign w:val="center"/>
          </w:tcPr>
          <w:p>
            <w:pPr>
              <w:pageBreakBefore w:val="0"/>
              <w:jc w:val="right"/>
              <w:textAlignment w:val="center"/>
              <w:rPr>
                <w:color w:val="auto"/>
                <w:u w:val="none"/>
              </w:rPr>
            </w:pPr>
            <w:r>
              <w:rPr>
                <w:rFonts w:ascii="Times New Roman" w:hAnsi="Times New Roman" w:eastAsia="Times New Roman" w:cs="Times New Roman"/>
                <w:b w:val="0"/>
                <w:i w:val="0"/>
                <w:strike w:val="0"/>
                <w:color w:val="auto"/>
                <w:position w:val="-1"/>
                <w:sz w:val="22"/>
                <w:u w:val="none"/>
              </w:rPr>
              <w:t>11,866,224.07</w:t>
            </w:r>
          </w:p>
        </w:tc>
        <w:tc>
          <w:tcPr>
            <w:tcW w:w="1263" w:type="dxa"/>
            <w:tcBorders>
              <w:top w:val="single" w:color="000000" w:sz="8" w:space="0"/>
              <w:left w:val="single" w:color="000000" w:sz="8" w:space="0"/>
              <w:bottom w:val="single" w:color="000000" w:sz="8" w:space="0"/>
              <w:right w:val="single" w:color="000000" w:sz="8" w:space="0"/>
            </w:tcBorders>
            <w:shd w:val="clear" w:color="auto" w:fill="FFFFFF"/>
            <w:vAlign w:val="center"/>
          </w:tcPr>
          <w:p>
            <w:pPr>
              <w:pageBreakBefore w:val="0"/>
              <w:jc w:val="right"/>
              <w:textAlignment w:val="center"/>
              <w:rPr>
                <w:color w:val="auto"/>
                <w:u w:val="none"/>
              </w:rPr>
            </w:pPr>
            <w:r>
              <w:rPr>
                <w:rFonts w:ascii="Times New Roman" w:hAnsi="Times New Roman" w:eastAsia="Times New Roman" w:cs="Times New Roman"/>
                <w:b w:val="0"/>
                <w:i w:val="0"/>
                <w:strike w:val="0"/>
                <w:color w:val="auto"/>
                <w:position w:val="-1"/>
                <w:sz w:val="22"/>
                <w:u w:val="none"/>
              </w:rPr>
              <w:t>11,866,224.07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535"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pageBreakBefore w:val="0"/>
              <w:jc w:val="left"/>
              <w:textAlignment w:val="center"/>
              <w:rPr>
                <w:color w:val="auto"/>
                <w:u w:val="none"/>
              </w:rPr>
            </w:pPr>
            <w:r>
              <w:rPr>
                <w:rFonts w:ascii="Times New Roman" w:hAnsi="Times New Roman" w:eastAsia="Times New Roman" w:cs="Times New Roman"/>
                <w:b w:val="0"/>
                <w:i w:val="0"/>
                <w:strike w:val="0"/>
                <w:color w:val="auto"/>
                <w:position w:val="-1"/>
                <w:sz w:val="22"/>
                <w:u w:val="none"/>
              </w:rPr>
              <w:t>年度主要任务完成情况</w:t>
            </w:r>
          </w:p>
        </w:tc>
        <w:tc>
          <w:tcPr>
            <w:tcW w:w="999" w:type="dxa"/>
            <w:tcBorders>
              <w:top w:val="single" w:color="000000" w:sz="8" w:space="0"/>
              <w:left w:val="single" w:color="000000" w:sz="8" w:space="0"/>
              <w:bottom w:val="single" w:color="000000" w:sz="8" w:space="0"/>
              <w:right w:val="single" w:color="000000" w:sz="8" w:space="0"/>
            </w:tcBorders>
            <w:shd w:val="clear" w:color="auto" w:fill="FFFFFF"/>
            <w:vAlign w:val="center"/>
          </w:tcPr>
          <w:p>
            <w:pPr>
              <w:pageBreakBefore w:val="0"/>
              <w:jc w:val="left"/>
              <w:textAlignment w:val="center"/>
              <w:rPr>
                <w:color w:val="auto"/>
                <w:u w:val="none"/>
              </w:rPr>
            </w:pPr>
            <w:r>
              <w:rPr>
                <w:rFonts w:ascii="Times New Roman" w:hAnsi="Times New Roman" w:eastAsia="Times New Roman" w:cs="Times New Roman"/>
                <w:b w:val="0"/>
                <w:i w:val="0"/>
                <w:strike w:val="0"/>
                <w:color w:val="auto"/>
                <w:position w:val="-1"/>
                <w:sz w:val="22"/>
                <w:u w:val="none"/>
              </w:rPr>
              <w:t>一般管理事务</w:t>
            </w:r>
          </w:p>
        </w:tc>
        <w:tc>
          <w:tcPr>
            <w:tcW w:w="1100" w:type="dxa"/>
            <w:tcBorders>
              <w:top w:val="single" w:color="000000" w:sz="8" w:space="0"/>
              <w:left w:val="single" w:color="000000" w:sz="8" w:space="0"/>
              <w:bottom w:val="single" w:color="000000" w:sz="8" w:space="0"/>
              <w:right w:val="single" w:color="000000" w:sz="8" w:space="0"/>
            </w:tcBorders>
            <w:shd w:val="clear" w:color="auto" w:fill="FFFFFF"/>
            <w:vAlign w:val="center"/>
          </w:tcPr>
          <w:p>
            <w:pPr>
              <w:pageBreakBefore w:val="0"/>
              <w:jc w:val="left"/>
              <w:textAlignment w:val="center"/>
              <w:rPr>
                <w:color w:val="auto"/>
                <w:u w:val="none"/>
              </w:rPr>
            </w:pPr>
            <w:r>
              <w:rPr>
                <w:rFonts w:ascii="Times New Roman" w:hAnsi="Times New Roman" w:eastAsia="Times New Roman" w:cs="Times New Roman"/>
                <w:b w:val="0"/>
                <w:i w:val="0"/>
                <w:strike w:val="0"/>
                <w:color w:val="auto"/>
                <w:position w:val="-1"/>
                <w:sz w:val="22"/>
                <w:u w:val="none"/>
              </w:rPr>
              <w:t>维持本局工作正常运转的一般性管理事务支出，包括培训费、基层党建、公务接待费、原招待所人员工资、临工工资等</w:t>
            </w:r>
          </w:p>
        </w:tc>
        <w:tc>
          <w:tcPr>
            <w:tcW w:w="984" w:type="dxa"/>
            <w:tcBorders>
              <w:top w:val="single" w:color="000000" w:sz="8" w:space="0"/>
              <w:left w:val="single" w:color="000000" w:sz="8" w:space="0"/>
              <w:bottom w:val="single" w:color="000000" w:sz="8" w:space="0"/>
              <w:right w:val="single" w:color="000000" w:sz="8" w:space="0"/>
            </w:tcBorders>
            <w:shd w:val="clear" w:color="auto" w:fill="FFFFFF"/>
            <w:vAlign w:val="center"/>
          </w:tcPr>
          <w:p>
            <w:pPr>
              <w:pageBreakBefore w:val="0"/>
              <w:jc w:val="left"/>
              <w:textAlignment w:val="center"/>
              <w:rPr>
                <w:color w:val="auto"/>
                <w:u w:val="none"/>
              </w:rPr>
            </w:pPr>
            <w:r>
              <w:rPr>
                <w:rFonts w:ascii="Times New Roman" w:hAnsi="Times New Roman" w:eastAsia="Times New Roman" w:cs="Times New Roman"/>
                <w:b w:val="0"/>
                <w:i w:val="0"/>
                <w:strike w:val="0"/>
                <w:color w:val="auto"/>
                <w:position w:val="-1"/>
                <w:sz w:val="22"/>
                <w:u w:val="none"/>
              </w:rPr>
              <w:t>有效保障本局工作正常开展，完成培训、基层党建、公务接待等工作。</w:t>
            </w:r>
          </w:p>
        </w:tc>
        <w:tc>
          <w:tcPr>
            <w:tcW w:w="1150" w:type="dxa"/>
            <w:tcBorders>
              <w:top w:val="single" w:color="000000" w:sz="8" w:space="0"/>
              <w:left w:val="single" w:color="000000" w:sz="8" w:space="0"/>
              <w:bottom w:val="single" w:color="000000" w:sz="8" w:space="0"/>
              <w:right w:val="single" w:color="000000" w:sz="8" w:space="0"/>
            </w:tcBorders>
            <w:shd w:val="clear" w:color="auto" w:fill="FFFFFF"/>
            <w:vAlign w:val="center"/>
          </w:tcPr>
          <w:p>
            <w:pPr>
              <w:pageBreakBefore w:val="0"/>
              <w:jc w:val="right"/>
              <w:textAlignment w:val="center"/>
              <w:rPr>
                <w:color w:val="auto"/>
                <w:u w:val="none"/>
              </w:rPr>
            </w:pPr>
            <w:r>
              <w:rPr>
                <w:rFonts w:ascii="Times New Roman" w:hAnsi="Times New Roman" w:eastAsia="Times New Roman" w:cs="Times New Roman"/>
                <w:b w:val="0"/>
                <w:i w:val="0"/>
                <w:strike w:val="0"/>
                <w:color w:val="auto"/>
                <w:position w:val="-1"/>
                <w:sz w:val="22"/>
                <w:u w:val="none"/>
              </w:rPr>
              <w:t>25,042,409.40</w:t>
            </w:r>
          </w:p>
        </w:tc>
        <w:tc>
          <w:tcPr>
            <w:tcW w:w="1200" w:type="dxa"/>
            <w:tcBorders>
              <w:top w:val="single" w:color="000000" w:sz="8" w:space="0"/>
              <w:left w:val="single" w:color="000000" w:sz="8" w:space="0"/>
              <w:bottom w:val="single" w:color="000000" w:sz="8" w:space="0"/>
              <w:right w:val="single" w:color="000000" w:sz="8" w:space="0"/>
            </w:tcBorders>
            <w:shd w:val="clear" w:color="auto" w:fill="FFFFFF"/>
            <w:vAlign w:val="center"/>
          </w:tcPr>
          <w:p>
            <w:pPr>
              <w:pageBreakBefore w:val="0"/>
              <w:jc w:val="right"/>
              <w:textAlignment w:val="center"/>
              <w:rPr>
                <w:color w:val="auto"/>
                <w:u w:val="none"/>
              </w:rPr>
            </w:pPr>
            <w:r>
              <w:rPr>
                <w:rFonts w:ascii="Times New Roman" w:hAnsi="Times New Roman" w:eastAsia="Times New Roman" w:cs="Times New Roman"/>
                <w:b w:val="0"/>
                <w:i w:val="0"/>
                <w:strike w:val="0"/>
                <w:color w:val="auto"/>
                <w:position w:val="-1"/>
                <w:sz w:val="22"/>
                <w:u w:val="none"/>
              </w:rPr>
              <w:t>25,042,409.40</w:t>
            </w:r>
          </w:p>
        </w:tc>
        <w:tc>
          <w:tcPr>
            <w:tcW w:w="1100" w:type="dxa"/>
            <w:tcBorders>
              <w:top w:val="single" w:color="000000" w:sz="8" w:space="0"/>
              <w:left w:val="single" w:color="000000" w:sz="8" w:space="0"/>
              <w:bottom w:val="single" w:color="000000" w:sz="8" w:space="0"/>
              <w:right w:val="single" w:color="000000" w:sz="8" w:space="0"/>
            </w:tcBorders>
            <w:shd w:val="clear" w:color="auto" w:fill="FFFFFF"/>
            <w:vAlign w:val="center"/>
          </w:tcPr>
          <w:p>
            <w:pPr>
              <w:pageBreakBefore w:val="0"/>
              <w:jc w:val="right"/>
              <w:textAlignment w:val="center"/>
              <w:rPr>
                <w:color w:val="auto"/>
                <w:u w:val="none"/>
              </w:rPr>
            </w:pPr>
            <w:r>
              <w:rPr>
                <w:rFonts w:ascii="Times New Roman" w:hAnsi="Times New Roman" w:eastAsia="Times New Roman" w:cs="Times New Roman"/>
                <w:b w:val="0"/>
                <w:i w:val="0"/>
                <w:strike w:val="0"/>
                <w:color w:val="auto"/>
                <w:position w:val="-1"/>
                <w:sz w:val="22"/>
                <w:u w:val="none"/>
              </w:rPr>
              <w:t>24,963,573.68</w:t>
            </w:r>
          </w:p>
        </w:tc>
        <w:tc>
          <w:tcPr>
            <w:tcW w:w="1263" w:type="dxa"/>
            <w:tcBorders>
              <w:top w:val="single" w:color="000000" w:sz="8" w:space="0"/>
              <w:left w:val="single" w:color="000000" w:sz="8" w:space="0"/>
              <w:bottom w:val="single" w:color="000000" w:sz="8" w:space="0"/>
              <w:right w:val="single" w:color="000000" w:sz="8" w:space="0"/>
            </w:tcBorders>
            <w:shd w:val="clear" w:color="auto" w:fill="FFFFFF"/>
            <w:vAlign w:val="center"/>
          </w:tcPr>
          <w:p>
            <w:pPr>
              <w:pageBreakBefore w:val="0"/>
              <w:jc w:val="right"/>
              <w:textAlignment w:val="center"/>
              <w:rPr>
                <w:color w:val="auto"/>
                <w:u w:val="none"/>
              </w:rPr>
            </w:pPr>
            <w:r>
              <w:rPr>
                <w:rFonts w:ascii="Times New Roman" w:hAnsi="Times New Roman" w:eastAsia="Times New Roman" w:cs="Times New Roman"/>
                <w:b w:val="0"/>
                <w:i w:val="0"/>
                <w:strike w:val="0"/>
                <w:color w:val="auto"/>
                <w:position w:val="-1"/>
                <w:sz w:val="22"/>
                <w:u w:val="none"/>
              </w:rPr>
              <w:t>24,963,573.68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535"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pageBreakBefore w:val="0"/>
              <w:jc w:val="left"/>
              <w:textAlignment w:val="center"/>
              <w:rPr>
                <w:color w:val="auto"/>
                <w:u w:val="none"/>
              </w:rPr>
            </w:pPr>
            <w:r>
              <w:rPr>
                <w:rFonts w:ascii="Times New Roman" w:hAnsi="Times New Roman" w:eastAsia="Times New Roman" w:cs="Times New Roman"/>
                <w:b w:val="0"/>
                <w:i w:val="0"/>
                <w:strike w:val="0"/>
                <w:color w:val="auto"/>
                <w:position w:val="-1"/>
                <w:sz w:val="22"/>
                <w:u w:val="none"/>
              </w:rPr>
              <w:t>年度主要任务完成情况</w:t>
            </w:r>
          </w:p>
        </w:tc>
        <w:tc>
          <w:tcPr>
            <w:tcW w:w="999" w:type="dxa"/>
            <w:tcBorders>
              <w:top w:val="single" w:color="000000" w:sz="8" w:space="0"/>
              <w:left w:val="single" w:color="000000" w:sz="8" w:space="0"/>
              <w:bottom w:val="single" w:color="000000" w:sz="8" w:space="0"/>
              <w:right w:val="single" w:color="000000" w:sz="8" w:space="0"/>
            </w:tcBorders>
            <w:shd w:val="clear" w:color="auto" w:fill="FFFFFF"/>
            <w:vAlign w:val="center"/>
          </w:tcPr>
          <w:p>
            <w:pPr>
              <w:pageBreakBefore w:val="0"/>
              <w:jc w:val="left"/>
              <w:textAlignment w:val="center"/>
              <w:rPr>
                <w:color w:val="auto"/>
                <w:u w:val="none"/>
              </w:rPr>
            </w:pPr>
            <w:r>
              <w:rPr>
                <w:rFonts w:ascii="Times New Roman" w:hAnsi="Times New Roman" w:eastAsia="Times New Roman" w:cs="Times New Roman"/>
                <w:b w:val="0"/>
                <w:i w:val="0"/>
                <w:strike w:val="0"/>
                <w:color w:val="auto"/>
                <w:position w:val="-1"/>
                <w:sz w:val="22"/>
                <w:u w:val="none"/>
              </w:rPr>
              <w:t>购置费</w:t>
            </w:r>
          </w:p>
        </w:tc>
        <w:tc>
          <w:tcPr>
            <w:tcW w:w="1100" w:type="dxa"/>
            <w:tcBorders>
              <w:top w:val="single" w:color="000000" w:sz="8" w:space="0"/>
              <w:left w:val="single" w:color="000000" w:sz="8" w:space="0"/>
              <w:bottom w:val="single" w:color="000000" w:sz="8" w:space="0"/>
              <w:right w:val="single" w:color="000000" w:sz="8" w:space="0"/>
            </w:tcBorders>
            <w:shd w:val="clear" w:color="auto" w:fill="FFFFFF"/>
            <w:vAlign w:val="center"/>
          </w:tcPr>
          <w:p>
            <w:pPr>
              <w:pageBreakBefore w:val="0"/>
              <w:jc w:val="left"/>
              <w:textAlignment w:val="center"/>
              <w:rPr>
                <w:color w:val="auto"/>
                <w:u w:val="none"/>
              </w:rPr>
            </w:pPr>
            <w:r>
              <w:rPr>
                <w:rFonts w:ascii="Times New Roman" w:hAnsi="Times New Roman" w:eastAsia="Times New Roman" w:cs="Times New Roman"/>
                <w:b w:val="0"/>
                <w:i w:val="0"/>
                <w:strike w:val="0"/>
                <w:color w:val="auto"/>
                <w:position w:val="-1"/>
                <w:sz w:val="22"/>
                <w:u w:val="none"/>
              </w:rPr>
              <w:t>购置维持工作正常运转所需的相关设备</w:t>
            </w:r>
          </w:p>
        </w:tc>
        <w:tc>
          <w:tcPr>
            <w:tcW w:w="984" w:type="dxa"/>
            <w:tcBorders>
              <w:top w:val="single" w:color="000000" w:sz="8" w:space="0"/>
              <w:left w:val="single" w:color="000000" w:sz="8" w:space="0"/>
              <w:bottom w:val="single" w:color="000000" w:sz="8" w:space="0"/>
              <w:right w:val="single" w:color="000000" w:sz="8" w:space="0"/>
            </w:tcBorders>
            <w:shd w:val="clear" w:color="auto" w:fill="FFFFFF"/>
            <w:vAlign w:val="center"/>
          </w:tcPr>
          <w:p>
            <w:pPr>
              <w:pageBreakBefore w:val="0"/>
              <w:jc w:val="left"/>
              <w:textAlignment w:val="center"/>
              <w:rPr>
                <w:color w:val="auto"/>
                <w:u w:val="none"/>
              </w:rPr>
            </w:pPr>
            <w:r>
              <w:rPr>
                <w:rFonts w:ascii="Times New Roman" w:hAnsi="Times New Roman" w:eastAsia="Times New Roman" w:cs="Times New Roman"/>
                <w:b w:val="0"/>
                <w:i w:val="0"/>
                <w:strike w:val="0"/>
                <w:color w:val="auto"/>
                <w:position w:val="-1"/>
                <w:sz w:val="22"/>
                <w:u w:val="none"/>
              </w:rPr>
              <w:t>完成全年本局及区领导办公设备购置、其他服务类政府采购等任务。按需支出，保障工作正常运行。</w:t>
            </w:r>
          </w:p>
        </w:tc>
        <w:tc>
          <w:tcPr>
            <w:tcW w:w="1150" w:type="dxa"/>
            <w:tcBorders>
              <w:top w:val="single" w:color="000000" w:sz="8" w:space="0"/>
              <w:left w:val="single" w:color="000000" w:sz="8" w:space="0"/>
              <w:bottom w:val="single" w:color="000000" w:sz="8" w:space="0"/>
              <w:right w:val="single" w:color="000000" w:sz="8" w:space="0"/>
            </w:tcBorders>
            <w:shd w:val="clear" w:color="auto" w:fill="FFFFFF"/>
            <w:vAlign w:val="center"/>
          </w:tcPr>
          <w:p>
            <w:pPr>
              <w:pageBreakBefore w:val="0"/>
              <w:jc w:val="right"/>
              <w:textAlignment w:val="center"/>
              <w:rPr>
                <w:color w:val="auto"/>
                <w:u w:val="none"/>
              </w:rPr>
            </w:pPr>
            <w:r>
              <w:rPr>
                <w:rFonts w:ascii="Times New Roman" w:hAnsi="Times New Roman" w:eastAsia="Times New Roman" w:cs="Times New Roman"/>
                <w:b w:val="0"/>
                <w:i w:val="0"/>
                <w:strike w:val="0"/>
                <w:color w:val="auto"/>
                <w:position w:val="-1"/>
                <w:sz w:val="22"/>
                <w:u w:val="none"/>
              </w:rPr>
              <w:t>432,000.00</w:t>
            </w:r>
          </w:p>
        </w:tc>
        <w:tc>
          <w:tcPr>
            <w:tcW w:w="1200" w:type="dxa"/>
            <w:tcBorders>
              <w:top w:val="single" w:color="000000" w:sz="8" w:space="0"/>
              <w:left w:val="single" w:color="000000" w:sz="8" w:space="0"/>
              <w:bottom w:val="single" w:color="000000" w:sz="8" w:space="0"/>
              <w:right w:val="single" w:color="000000" w:sz="8" w:space="0"/>
            </w:tcBorders>
            <w:shd w:val="clear" w:color="auto" w:fill="FFFFFF"/>
            <w:vAlign w:val="center"/>
          </w:tcPr>
          <w:p>
            <w:pPr>
              <w:pageBreakBefore w:val="0"/>
              <w:jc w:val="right"/>
              <w:textAlignment w:val="center"/>
              <w:rPr>
                <w:color w:val="auto"/>
                <w:u w:val="none"/>
              </w:rPr>
            </w:pPr>
            <w:r>
              <w:rPr>
                <w:rFonts w:ascii="Times New Roman" w:hAnsi="Times New Roman" w:eastAsia="Times New Roman" w:cs="Times New Roman"/>
                <w:b w:val="0"/>
                <w:i w:val="0"/>
                <w:strike w:val="0"/>
                <w:color w:val="auto"/>
                <w:position w:val="-1"/>
                <w:sz w:val="22"/>
                <w:u w:val="none"/>
              </w:rPr>
              <w:t>432,000.00</w:t>
            </w:r>
          </w:p>
        </w:tc>
        <w:tc>
          <w:tcPr>
            <w:tcW w:w="1100" w:type="dxa"/>
            <w:tcBorders>
              <w:top w:val="single" w:color="000000" w:sz="8" w:space="0"/>
              <w:left w:val="single" w:color="000000" w:sz="8" w:space="0"/>
              <w:bottom w:val="single" w:color="000000" w:sz="8" w:space="0"/>
              <w:right w:val="single" w:color="000000" w:sz="8" w:space="0"/>
            </w:tcBorders>
            <w:shd w:val="clear" w:color="auto" w:fill="FFFFFF"/>
            <w:vAlign w:val="center"/>
          </w:tcPr>
          <w:p>
            <w:pPr>
              <w:pageBreakBefore w:val="0"/>
              <w:jc w:val="right"/>
              <w:textAlignment w:val="center"/>
              <w:rPr>
                <w:color w:val="auto"/>
                <w:u w:val="none"/>
              </w:rPr>
            </w:pPr>
            <w:r>
              <w:rPr>
                <w:rFonts w:ascii="Times New Roman" w:hAnsi="Times New Roman" w:eastAsia="Times New Roman" w:cs="Times New Roman"/>
                <w:b w:val="0"/>
                <w:i w:val="0"/>
                <w:strike w:val="0"/>
                <w:color w:val="auto"/>
                <w:position w:val="-1"/>
                <w:sz w:val="22"/>
                <w:u w:val="none"/>
              </w:rPr>
              <w:t>414,134.00</w:t>
            </w:r>
          </w:p>
        </w:tc>
        <w:tc>
          <w:tcPr>
            <w:tcW w:w="1263" w:type="dxa"/>
            <w:tcBorders>
              <w:top w:val="single" w:color="000000" w:sz="8" w:space="0"/>
              <w:left w:val="single" w:color="000000" w:sz="8" w:space="0"/>
              <w:bottom w:val="single" w:color="000000" w:sz="8" w:space="0"/>
              <w:right w:val="single" w:color="000000" w:sz="8" w:space="0"/>
            </w:tcBorders>
            <w:shd w:val="clear" w:color="auto" w:fill="FFFFFF"/>
            <w:vAlign w:val="center"/>
          </w:tcPr>
          <w:p>
            <w:pPr>
              <w:pageBreakBefore w:val="0"/>
              <w:jc w:val="right"/>
              <w:textAlignment w:val="center"/>
              <w:rPr>
                <w:color w:val="auto"/>
                <w:u w:val="none"/>
              </w:rPr>
            </w:pPr>
            <w:r>
              <w:rPr>
                <w:rFonts w:ascii="Times New Roman" w:hAnsi="Times New Roman" w:eastAsia="Times New Roman" w:cs="Times New Roman"/>
                <w:b w:val="0"/>
                <w:i w:val="0"/>
                <w:strike w:val="0"/>
                <w:color w:val="auto"/>
                <w:position w:val="-1"/>
                <w:sz w:val="22"/>
                <w:u w:val="none"/>
              </w:rPr>
              <w:t>414,134.00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535"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pageBreakBefore w:val="0"/>
              <w:jc w:val="left"/>
              <w:textAlignment w:val="center"/>
              <w:rPr>
                <w:color w:val="auto"/>
                <w:u w:val="none"/>
              </w:rPr>
            </w:pPr>
            <w:r>
              <w:rPr>
                <w:rFonts w:ascii="Times New Roman" w:hAnsi="Times New Roman" w:eastAsia="Times New Roman" w:cs="Times New Roman"/>
                <w:b w:val="0"/>
                <w:i w:val="0"/>
                <w:strike w:val="0"/>
                <w:color w:val="auto"/>
                <w:position w:val="-1"/>
                <w:sz w:val="22"/>
                <w:u w:val="none"/>
              </w:rPr>
              <w:t>年度主要任务完成情况</w:t>
            </w:r>
          </w:p>
        </w:tc>
        <w:tc>
          <w:tcPr>
            <w:tcW w:w="999" w:type="dxa"/>
            <w:tcBorders>
              <w:top w:val="single" w:color="000000" w:sz="8" w:space="0"/>
              <w:left w:val="single" w:color="000000" w:sz="8" w:space="0"/>
              <w:bottom w:val="single" w:color="000000" w:sz="8" w:space="0"/>
              <w:right w:val="single" w:color="000000" w:sz="8" w:space="0"/>
            </w:tcBorders>
            <w:shd w:val="clear" w:color="auto" w:fill="FFFFFF"/>
            <w:vAlign w:val="center"/>
          </w:tcPr>
          <w:p>
            <w:pPr>
              <w:pageBreakBefore w:val="0"/>
              <w:jc w:val="left"/>
              <w:textAlignment w:val="center"/>
              <w:rPr>
                <w:color w:val="auto"/>
                <w:u w:val="none"/>
              </w:rPr>
            </w:pPr>
            <w:r>
              <w:rPr>
                <w:rFonts w:ascii="Times New Roman" w:hAnsi="Times New Roman" w:eastAsia="Times New Roman" w:cs="Times New Roman"/>
                <w:b w:val="0"/>
                <w:i w:val="0"/>
                <w:strike w:val="0"/>
                <w:color w:val="auto"/>
                <w:position w:val="-1"/>
                <w:sz w:val="22"/>
                <w:u w:val="none"/>
              </w:rPr>
              <w:t>预算准备金</w:t>
            </w:r>
          </w:p>
        </w:tc>
        <w:tc>
          <w:tcPr>
            <w:tcW w:w="1100" w:type="dxa"/>
            <w:tcBorders>
              <w:top w:val="single" w:color="000000" w:sz="8" w:space="0"/>
              <w:left w:val="single" w:color="000000" w:sz="8" w:space="0"/>
              <w:bottom w:val="single" w:color="000000" w:sz="8" w:space="0"/>
              <w:right w:val="single" w:color="000000" w:sz="8" w:space="0"/>
            </w:tcBorders>
            <w:shd w:val="clear" w:color="auto" w:fill="FFFFFF"/>
            <w:vAlign w:val="center"/>
          </w:tcPr>
          <w:p>
            <w:pPr>
              <w:pageBreakBefore w:val="0"/>
              <w:jc w:val="left"/>
              <w:textAlignment w:val="center"/>
              <w:rPr>
                <w:color w:val="auto"/>
                <w:u w:val="none"/>
              </w:rPr>
            </w:pPr>
            <w:r>
              <w:rPr>
                <w:rFonts w:ascii="Times New Roman" w:hAnsi="Times New Roman" w:eastAsia="Times New Roman" w:cs="Times New Roman"/>
                <w:b w:val="0"/>
                <w:i w:val="0"/>
                <w:strike w:val="0"/>
                <w:color w:val="auto"/>
                <w:position w:val="-1"/>
                <w:sz w:val="22"/>
                <w:u w:val="none"/>
              </w:rPr>
              <w:t>预算执行过程中特殊及不可遇见支出</w:t>
            </w:r>
          </w:p>
        </w:tc>
        <w:tc>
          <w:tcPr>
            <w:tcW w:w="984" w:type="dxa"/>
            <w:tcBorders>
              <w:top w:val="single" w:color="000000" w:sz="8" w:space="0"/>
              <w:left w:val="single" w:color="000000" w:sz="8" w:space="0"/>
              <w:bottom w:val="single" w:color="000000" w:sz="8" w:space="0"/>
              <w:right w:val="single" w:color="000000" w:sz="8" w:space="0"/>
            </w:tcBorders>
            <w:shd w:val="clear" w:color="auto" w:fill="FFFFFF"/>
            <w:vAlign w:val="center"/>
          </w:tcPr>
          <w:p>
            <w:pPr>
              <w:pageBreakBefore w:val="0"/>
              <w:jc w:val="left"/>
              <w:textAlignment w:val="center"/>
              <w:rPr>
                <w:color w:val="auto"/>
                <w:u w:val="none"/>
              </w:rPr>
            </w:pPr>
            <w:r>
              <w:rPr>
                <w:rFonts w:ascii="Times New Roman" w:hAnsi="Times New Roman" w:eastAsia="Times New Roman" w:cs="Times New Roman"/>
                <w:b w:val="0"/>
                <w:i w:val="0"/>
                <w:strike w:val="0"/>
                <w:color w:val="auto"/>
                <w:position w:val="-1"/>
                <w:sz w:val="22"/>
                <w:u w:val="none"/>
              </w:rPr>
              <w:t>全年预算已覆盖全年支出，无需使用预算准备金</w:t>
            </w:r>
          </w:p>
        </w:tc>
        <w:tc>
          <w:tcPr>
            <w:tcW w:w="1150" w:type="dxa"/>
            <w:tcBorders>
              <w:top w:val="single" w:color="000000" w:sz="8" w:space="0"/>
              <w:left w:val="single" w:color="000000" w:sz="8" w:space="0"/>
              <w:bottom w:val="single" w:color="000000" w:sz="8" w:space="0"/>
              <w:right w:val="single" w:color="000000" w:sz="8" w:space="0"/>
            </w:tcBorders>
            <w:shd w:val="clear" w:color="auto" w:fill="FFFFFF"/>
            <w:vAlign w:val="center"/>
          </w:tcPr>
          <w:p>
            <w:pPr>
              <w:pageBreakBefore w:val="0"/>
              <w:jc w:val="right"/>
              <w:textAlignment w:val="center"/>
              <w:rPr>
                <w:color w:val="auto"/>
                <w:u w:val="none"/>
              </w:rPr>
            </w:pPr>
            <w:r>
              <w:rPr>
                <w:rFonts w:ascii="Times New Roman" w:hAnsi="Times New Roman" w:eastAsia="Times New Roman" w:cs="Times New Roman"/>
                <w:b w:val="0"/>
                <w:i w:val="0"/>
                <w:strike w:val="0"/>
                <w:color w:val="auto"/>
                <w:position w:val="-1"/>
                <w:sz w:val="22"/>
                <w:u w:val="none"/>
              </w:rPr>
              <w:t>50,000.00</w:t>
            </w:r>
          </w:p>
        </w:tc>
        <w:tc>
          <w:tcPr>
            <w:tcW w:w="1200" w:type="dxa"/>
            <w:tcBorders>
              <w:top w:val="single" w:color="000000" w:sz="8" w:space="0"/>
              <w:left w:val="single" w:color="000000" w:sz="8" w:space="0"/>
              <w:bottom w:val="single" w:color="000000" w:sz="8" w:space="0"/>
              <w:right w:val="single" w:color="000000" w:sz="8" w:space="0"/>
            </w:tcBorders>
            <w:shd w:val="clear" w:color="auto" w:fill="FFFFFF"/>
            <w:vAlign w:val="center"/>
          </w:tcPr>
          <w:p>
            <w:pPr>
              <w:pageBreakBefore w:val="0"/>
              <w:jc w:val="right"/>
              <w:textAlignment w:val="center"/>
              <w:rPr>
                <w:color w:val="auto"/>
                <w:u w:val="none"/>
              </w:rPr>
            </w:pPr>
            <w:r>
              <w:rPr>
                <w:rFonts w:ascii="Times New Roman" w:hAnsi="Times New Roman" w:eastAsia="Times New Roman" w:cs="Times New Roman"/>
                <w:b w:val="0"/>
                <w:i w:val="0"/>
                <w:strike w:val="0"/>
                <w:color w:val="auto"/>
                <w:position w:val="-1"/>
                <w:sz w:val="22"/>
                <w:u w:val="none"/>
              </w:rPr>
              <w:t>50,000.00</w:t>
            </w:r>
          </w:p>
        </w:tc>
        <w:tc>
          <w:tcPr>
            <w:tcW w:w="1100" w:type="dxa"/>
            <w:tcBorders>
              <w:top w:val="single" w:color="000000" w:sz="8" w:space="0"/>
              <w:left w:val="single" w:color="000000" w:sz="8" w:space="0"/>
              <w:bottom w:val="single" w:color="000000" w:sz="8" w:space="0"/>
              <w:right w:val="single" w:color="000000" w:sz="8" w:space="0"/>
            </w:tcBorders>
            <w:shd w:val="clear" w:color="auto" w:fill="FFFFFF"/>
            <w:vAlign w:val="center"/>
          </w:tcPr>
          <w:p>
            <w:pPr>
              <w:pageBreakBefore w:val="0"/>
              <w:jc w:val="right"/>
              <w:textAlignment w:val="center"/>
              <w:rPr>
                <w:color w:val="auto"/>
                <w:u w:val="none"/>
              </w:rPr>
            </w:pPr>
            <w:r>
              <w:rPr>
                <w:rFonts w:ascii="Times New Roman" w:hAnsi="Times New Roman" w:eastAsia="Times New Roman" w:cs="Times New Roman"/>
                <w:b w:val="0"/>
                <w:i w:val="0"/>
                <w:strike w:val="0"/>
                <w:color w:val="auto"/>
                <w:position w:val="-1"/>
                <w:sz w:val="22"/>
                <w:u w:val="none"/>
              </w:rPr>
              <w:t>0.00</w:t>
            </w:r>
          </w:p>
        </w:tc>
        <w:tc>
          <w:tcPr>
            <w:tcW w:w="1263" w:type="dxa"/>
            <w:tcBorders>
              <w:top w:val="single" w:color="000000" w:sz="8" w:space="0"/>
              <w:left w:val="single" w:color="000000" w:sz="8" w:space="0"/>
              <w:bottom w:val="single" w:color="000000" w:sz="8" w:space="0"/>
              <w:right w:val="single" w:color="000000" w:sz="8" w:space="0"/>
            </w:tcBorders>
            <w:shd w:val="clear" w:color="auto" w:fill="FFFFFF"/>
            <w:vAlign w:val="center"/>
          </w:tcPr>
          <w:p>
            <w:pPr>
              <w:pageBreakBefore w:val="0"/>
              <w:jc w:val="right"/>
              <w:textAlignment w:val="center"/>
              <w:rPr>
                <w:color w:val="auto"/>
                <w:u w:val="none"/>
              </w:rPr>
            </w:pPr>
            <w:r>
              <w:rPr>
                <w:rFonts w:ascii="Times New Roman" w:hAnsi="Times New Roman" w:eastAsia="Times New Roman" w:cs="Times New Roman"/>
                <w:b w:val="0"/>
                <w:i w:val="0"/>
                <w:strike w:val="0"/>
                <w:color w:val="auto"/>
                <w:position w:val="-1"/>
                <w:sz w:val="22"/>
                <w:u w:val="none"/>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00" w:hRule="atLeast"/>
        </w:trPr>
        <w:tc>
          <w:tcPr>
            <w:tcW w:w="535"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年度主要任务完成情况</w:t>
            </w:r>
          </w:p>
        </w:tc>
        <w:tc>
          <w:tcPr>
            <w:tcW w:w="3083" w:type="dxa"/>
            <w:gridSpan w:val="3"/>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金额合计</w:t>
            </w:r>
          </w:p>
        </w:tc>
        <w:tc>
          <w:tcPr>
            <w:tcW w:w="1150"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153,006,620.00</w:t>
            </w:r>
          </w:p>
        </w:tc>
        <w:tc>
          <w:tcPr>
            <w:tcW w:w="1200"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153,006,620.00</w:t>
            </w:r>
          </w:p>
        </w:tc>
        <w:tc>
          <w:tcPr>
            <w:tcW w:w="1100"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103,743,762.23</w:t>
            </w:r>
          </w:p>
        </w:tc>
        <w:tc>
          <w:tcPr>
            <w:tcW w:w="1263"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103,743,762.23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40" w:hRule="atLeast"/>
        </w:trPr>
        <w:tc>
          <w:tcPr>
            <w:tcW w:w="535"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年度总体目标完成情况</w:t>
            </w:r>
          </w:p>
        </w:tc>
        <w:tc>
          <w:tcPr>
            <w:tcW w:w="3083" w:type="dxa"/>
            <w:gridSpan w:val="3"/>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预期目标</w:t>
            </w:r>
          </w:p>
        </w:tc>
        <w:tc>
          <w:tcPr>
            <w:tcW w:w="4713" w:type="dxa"/>
            <w:gridSpan w:val="4"/>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161" w:hRule="atLeast"/>
        </w:trPr>
        <w:tc>
          <w:tcPr>
            <w:tcW w:w="535"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i w:val="0"/>
                <w:color w:val="auto"/>
                <w:sz w:val="22"/>
                <w:szCs w:val="22"/>
                <w:u w:val="none"/>
              </w:rPr>
            </w:pPr>
          </w:p>
        </w:tc>
        <w:tc>
          <w:tcPr>
            <w:tcW w:w="3083" w:type="dxa"/>
            <w:gridSpan w:val="3"/>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根据《深圳市福田区机构编制委员会印发深圳市福田区机关事务管理局职能配置内设机构和人员编制方案的通知》（福编【2006】19号）及《2019年福田区机关事业单位内设机构调整情况备案表》职能划分，“管理更精细、服务更优质、保障更有力、改革更深化、队伍更坚强”。（一）进一步抓好党风廉政建设，树立党风廉政意识；（二）进一步抓好党建工作。认真贯彻学习落实习近平新时代中国特色社会主义思想和党的十九大精神，以党建统领全局各项工作；（三）进一步抓好服务保障提升。持续贯彻落实区领导“为干部职工后勤服务做加法”的指示精神，提升机改造机关大楼、区委大院环境，抓好机关大院绿化景观的日常养护，打造优美、整洁的办公环境；（四）进一步抓好安全生产工作。高度重视工程施工安全，针对机关大院施工在建工程多、耗时长的现状，重点抓好施工安全现场监管，推进文明施工、科学施工；高度重视办公区门窗、水电气安全，督促物业公司加强对办公场所安全隐患排查，确保安全万无一失；（五）进一步抓好节能工作。牢固树立绿色低碳环保的理念，加强区级公共机构节约能源资源管理水平；（六）协助药监局分中心完成筹备工作。</w:t>
            </w:r>
          </w:p>
        </w:tc>
        <w:tc>
          <w:tcPr>
            <w:tcW w:w="4713" w:type="dxa"/>
            <w:gridSpan w:val="4"/>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2021年以来，机关事务局在区委区政府的坚强领导下，聚焦双区建设，立足福田新三十年再出发大局，转变理念，提升效能，以“首善”服务助力福田区全方位高质量发展。完成以下几项具体工作：（一）强根铸魂，基层战斗堡垒坚强有力。着力加强党的建设；全面强化队伍建设；扎实推进廉政建设；深入践行“我为群众办实事”</w:t>
            </w:r>
            <w:r>
              <w:rPr>
                <w:rFonts w:hint="eastAsia" w:ascii="宋体" w:hAnsi="宋体" w:cs="宋体"/>
                <w:i w:val="0"/>
                <w:color w:val="auto"/>
                <w:kern w:val="0"/>
                <w:sz w:val="22"/>
                <w:szCs w:val="22"/>
                <w:u w:val="none"/>
                <w:lang w:val="en-US" w:eastAsia="zh-CN" w:bidi="ar"/>
              </w:rPr>
              <w:t>实践</w:t>
            </w:r>
            <w:r>
              <w:rPr>
                <w:rFonts w:hint="eastAsia" w:ascii="宋体" w:hAnsi="宋体" w:eastAsia="宋体" w:cs="宋体"/>
                <w:i w:val="0"/>
                <w:color w:val="auto"/>
                <w:kern w:val="0"/>
                <w:sz w:val="22"/>
                <w:szCs w:val="22"/>
                <w:u w:val="none"/>
                <w:lang w:val="en-US" w:eastAsia="zh-CN" w:bidi="ar"/>
              </w:rPr>
              <w:t>活动。（二）力行不辍，机关大院品质提档升级。统筹推进大院综合整治；用心打造花园式美丽机关；持续推进节约型机关创建。（三）勇于实践，后勤管理质效稳步增进。强化大院管理；保障食品安全；规范公车管理。（四）用心用情，服务保障水平全面提升。品质为先打造幸福食堂；安全为本锻造安心车队；精细专业提供周到会务；靠前服务保障优质接待。（五）担当作为，急难险重任务落实有力。重大活动保障勇挑重担；疫情防控战斗冲锋在前；换届办公用房妥善解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40" w:hRule="atLeast"/>
        </w:trPr>
        <w:tc>
          <w:tcPr>
            <w:tcW w:w="535"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年度绩效指标完成情况</w:t>
            </w:r>
          </w:p>
        </w:tc>
        <w:tc>
          <w:tcPr>
            <w:tcW w:w="999"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一级指标</w:t>
            </w:r>
          </w:p>
        </w:tc>
        <w:tc>
          <w:tcPr>
            <w:tcW w:w="1100"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二级指标</w:t>
            </w:r>
          </w:p>
        </w:tc>
        <w:tc>
          <w:tcPr>
            <w:tcW w:w="984"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三级指标</w:t>
            </w:r>
          </w:p>
        </w:tc>
        <w:tc>
          <w:tcPr>
            <w:tcW w:w="2350"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预期指标值</w:t>
            </w:r>
          </w:p>
        </w:tc>
        <w:tc>
          <w:tcPr>
            <w:tcW w:w="2363"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实际完成指标值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535"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pageBreakBefore w:val="0"/>
              <w:jc w:val="left"/>
              <w:textAlignment w:val="center"/>
              <w:rPr>
                <w:color w:val="auto"/>
                <w:u w:val="none"/>
              </w:rPr>
            </w:pPr>
            <w:r>
              <w:rPr>
                <w:rFonts w:ascii="Times New Roman" w:hAnsi="Times New Roman" w:eastAsia="Times New Roman" w:cs="Times New Roman"/>
                <w:b w:val="0"/>
                <w:i w:val="0"/>
                <w:strike w:val="0"/>
                <w:color w:val="auto"/>
                <w:position w:val="-1"/>
                <w:sz w:val="22"/>
                <w:u w:val="none"/>
              </w:rPr>
              <w:t>年度绩效指标完成情况</w:t>
            </w:r>
          </w:p>
        </w:tc>
        <w:tc>
          <w:tcPr>
            <w:tcW w:w="999"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pageBreakBefore w:val="0"/>
              <w:jc w:val="center"/>
              <w:textAlignment w:val="center"/>
              <w:rPr>
                <w:color w:val="auto"/>
                <w:u w:val="none"/>
              </w:rPr>
            </w:pPr>
            <w:r>
              <w:rPr>
                <w:rFonts w:ascii="Times New Roman" w:hAnsi="Times New Roman" w:eastAsia="Times New Roman" w:cs="Times New Roman"/>
                <w:b w:val="0"/>
                <w:i w:val="0"/>
                <w:strike w:val="0"/>
                <w:color w:val="auto"/>
                <w:position w:val="-1"/>
                <w:sz w:val="22"/>
                <w:u w:val="none"/>
              </w:rPr>
              <w:t>产出</w:t>
            </w:r>
          </w:p>
        </w:tc>
        <w:tc>
          <w:tcPr>
            <w:tcW w:w="1100" w:type="dxa"/>
            <w:tcBorders>
              <w:top w:val="single" w:color="000000" w:sz="8" w:space="0"/>
              <w:left w:val="single" w:color="000000" w:sz="8" w:space="0"/>
              <w:bottom w:val="single" w:color="000000" w:sz="8" w:space="0"/>
              <w:right w:val="single" w:color="000000" w:sz="8" w:space="0"/>
            </w:tcBorders>
            <w:shd w:val="clear" w:color="auto" w:fill="FFFFFF"/>
            <w:vAlign w:val="center"/>
          </w:tcPr>
          <w:p>
            <w:pPr>
              <w:pageBreakBefore w:val="0"/>
              <w:jc w:val="center"/>
              <w:textAlignment w:val="center"/>
              <w:rPr>
                <w:color w:val="auto"/>
                <w:u w:val="none"/>
              </w:rPr>
            </w:pPr>
            <w:r>
              <w:rPr>
                <w:rFonts w:ascii="Times New Roman" w:hAnsi="Times New Roman" w:eastAsia="Times New Roman" w:cs="Times New Roman"/>
                <w:b w:val="0"/>
                <w:i w:val="0"/>
                <w:strike w:val="0"/>
                <w:color w:val="auto"/>
                <w:position w:val="-1"/>
                <w:sz w:val="22"/>
                <w:u w:val="none"/>
              </w:rPr>
              <w:t>数量</w:t>
            </w:r>
          </w:p>
        </w:tc>
        <w:tc>
          <w:tcPr>
            <w:tcW w:w="984" w:type="dxa"/>
            <w:tcBorders>
              <w:top w:val="single" w:color="000000" w:sz="8" w:space="0"/>
              <w:left w:val="single" w:color="000000" w:sz="8" w:space="0"/>
              <w:bottom w:val="single" w:color="000000" w:sz="8" w:space="0"/>
              <w:right w:val="single" w:color="000000" w:sz="8" w:space="0"/>
            </w:tcBorders>
            <w:shd w:val="clear" w:color="auto" w:fill="FFFFFF"/>
            <w:vAlign w:val="center"/>
          </w:tcPr>
          <w:p>
            <w:pPr>
              <w:pageBreakBefore w:val="0"/>
              <w:jc w:val="center"/>
              <w:textAlignment w:val="center"/>
              <w:rPr>
                <w:color w:val="auto"/>
                <w:u w:val="none"/>
              </w:rPr>
            </w:pPr>
            <w:r>
              <w:rPr>
                <w:rFonts w:ascii="Times New Roman" w:hAnsi="Times New Roman" w:eastAsia="Times New Roman" w:cs="Times New Roman"/>
                <w:b w:val="0"/>
                <w:i w:val="0"/>
                <w:strike w:val="0"/>
                <w:color w:val="auto"/>
                <w:position w:val="-1"/>
                <w:sz w:val="22"/>
                <w:u w:val="none"/>
              </w:rPr>
              <w:t>机关大楼办公及公共区域维修及改造工程</w:t>
            </w:r>
          </w:p>
        </w:tc>
        <w:tc>
          <w:tcPr>
            <w:tcW w:w="1150"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ageBreakBefore w:val="0"/>
              <w:jc w:val="center"/>
              <w:textAlignment w:val="center"/>
              <w:rPr>
                <w:color w:val="auto"/>
                <w:u w:val="none"/>
              </w:rPr>
            </w:pPr>
            <w:r>
              <w:rPr>
                <w:rFonts w:ascii="Times New Roman" w:hAnsi="Times New Roman" w:eastAsia="Times New Roman" w:cs="Times New Roman"/>
                <w:b w:val="0"/>
                <w:i w:val="0"/>
                <w:strike w:val="0"/>
                <w:color w:val="auto"/>
                <w:position w:val="-1"/>
                <w:sz w:val="22"/>
                <w:u w:val="none"/>
              </w:rPr>
              <w:t>大于5项</w:t>
            </w:r>
          </w:p>
        </w:tc>
        <w:tc>
          <w:tcPr>
            <w:tcW w:w="1100"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ageBreakBefore w:val="0"/>
              <w:jc w:val="center"/>
              <w:textAlignment w:val="center"/>
              <w:rPr>
                <w:color w:val="auto"/>
                <w:u w:val="none"/>
              </w:rPr>
            </w:pPr>
            <w:r>
              <w:rPr>
                <w:rFonts w:ascii="Times New Roman" w:hAnsi="Times New Roman" w:eastAsia="Times New Roman" w:cs="Times New Roman"/>
                <w:b w:val="0"/>
                <w:i w:val="0"/>
                <w:strike w:val="0"/>
                <w:color w:val="auto"/>
                <w:position w:val="-1"/>
                <w:sz w:val="22"/>
                <w:u w:val="none"/>
              </w:rPr>
              <w:t>26项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535"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pageBreakBefore w:val="0"/>
              <w:jc w:val="left"/>
              <w:textAlignment w:val="center"/>
              <w:rPr>
                <w:color w:val="auto"/>
                <w:u w:val="none"/>
              </w:rPr>
            </w:pPr>
            <w:r>
              <w:rPr>
                <w:rFonts w:ascii="Times New Roman" w:hAnsi="Times New Roman" w:eastAsia="Times New Roman" w:cs="Times New Roman"/>
                <w:b w:val="0"/>
                <w:i w:val="0"/>
                <w:strike w:val="0"/>
                <w:color w:val="auto"/>
                <w:position w:val="-1"/>
                <w:sz w:val="22"/>
                <w:u w:val="none"/>
              </w:rPr>
              <w:t>年度绩效指标完成情况</w:t>
            </w:r>
          </w:p>
        </w:tc>
        <w:tc>
          <w:tcPr>
            <w:tcW w:w="999"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pageBreakBefore w:val="0"/>
              <w:jc w:val="center"/>
              <w:textAlignment w:val="center"/>
              <w:rPr>
                <w:color w:val="auto"/>
                <w:u w:val="none"/>
              </w:rPr>
            </w:pPr>
            <w:r>
              <w:rPr>
                <w:rFonts w:ascii="Times New Roman" w:hAnsi="Times New Roman" w:eastAsia="Times New Roman" w:cs="Times New Roman"/>
                <w:b w:val="0"/>
                <w:i w:val="0"/>
                <w:strike w:val="0"/>
                <w:color w:val="auto"/>
                <w:position w:val="-1"/>
                <w:sz w:val="22"/>
                <w:u w:val="none"/>
              </w:rPr>
              <w:t>产出</w:t>
            </w:r>
          </w:p>
        </w:tc>
        <w:tc>
          <w:tcPr>
            <w:tcW w:w="1100"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pageBreakBefore w:val="0"/>
              <w:jc w:val="center"/>
              <w:textAlignment w:val="center"/>
              <w:rPr>
                <w:color w:val="auto"/>
                <w:u w:val="none"/>
              </w:rPr>
            </w:pPr>
            <w:r>
              <w:rPr>
                <w:rFonts w:ascii="Times New Roman" w:hAnsi="Times New Roman" w:eastAsia="Times New Roman" w:cs="Times New Roman"/>
                <w:b w:val="0"/>
                <w:i w:val="0"/>
                <w:strike w:val="0"/>
                <w:color w:val="auto"/>
                <w:position w:val="-1"/>
                <w:sz w:val="22"/>
                <w:u w:val="none"/>
              </w:rPr>
              <w:t>质量</w:t>
            </w:r>
          </w:p>
        </w:tc>
        <w:tc>
          <w:tcPr>
            <w:tcW w:w="984" w:type="dxa"/>
            <w:tcBorders>
              <w:top w:val="single" w:color="000000" w:sz="8" w:space="0"/>
              <w:left w:val="single" w:color="000000" w:sz="8" w:space="0"/>
              <w:bottom w:val="single" w:color="000000" w:sz="8" w:space="0"/>
              <w:right w:val="single" w:color="000000" w:sz="8" w:space="0"/>
            </w:tcBorders>
            <w:shd w:val="clear" w:color="auto" w:fill="FFFFFF"/>
            <w:vAlign w:val="center"/>
          </w:tcPr>
          <w:p>
            <w:pPr>
              <w:pageBreakBefore w:val="0"/>
              <w:jc w:val="center"/>
              <w:textAlignment w:val="center"/>
              <w:rPr>
                <w:color w:val="auto"/>
                <w:u w:val="none"/>
              </w:rPr>
            </w:pPr>
            <w:r>
              <w:rPr>
                <w:rFonts w:ascii="Times New Roman" w:hAnsi="Times New Roman" w:eastAsia="Times New Roman" w:cs="Times New Roman"/>
                <w:b w:val="0"/>
                <w:i w:val="0"/>
                <w:strike w:val="0"/>
                <w:color w:val="auto"/>
                <w:position w:val="-1"/>
                <w:sz w:val="22"/>
                <w:u w:val="none"/>
              </w:rPr>
              <w:t>机关大楼办公及公共区域维修及改造工程验收合格</w:t>
            </w:r>
          </w:p>
        </w:tc>
        <w:tc>
          <w:tcPr>
            <w:tcW w:w="1150"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ageBreakBefore w:val="0"/>
              <w:jc w:val="center"/>
              <w:textAlignment w:val="center"/>
              <w:rPr>
                <w:color w:val="auto"/>
                <w:u w:val="none"/>
              </w:rPr>
            </w:pPr>
            <w:r>
              <w:rPr>
                <w:rFonts w:ascii="Times New Roman" w:hAnsi="Times New Roman" w:eastAsia="Times New Roman" w:cs="Times New Roman"/>
                <w:b w:val="0"/>
                <w:i w:val="0"/>
                <w:strike w:val="0"/>
                <w:color w:val="auto"/>
                <w:position w:val="-1"/>
                <w:sz w:val="22"/>
                <w:u w:val="none"/>
              </w:rPr>
              <w:t>合格率100%</w:t>
            </w:r>
          </w:p>
        </w:tc>
        <w:tc>
          <w:tcPr>
            <w:tcW w:w="1100"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ageBreakBefore w:val="0"/>
              <w:jc w:val="center"/>
              <w:textAlignment w:val="center"/>
              <w:rPr>
                <w:color w:val="auto"/>
                <w:u w:val="none"/>
              </w:rPr>
            </w:pPr>
            <w:r>
              <w:rPr>
                <w:rFonts w:ascii="Times New Roman" w:hAnsi="Times New Roman" w:eastAsia="Times New Roman" w:cs="Times New Roman"/>
                <w:b w:val="0"/>
                <w:i w:val="0"/>
                <w:strike w:val="0"/>
                <w:color w:val="auto"/>
                <w:position w:val="-1"/>
                <w:sz w:val="22"/>
                <w:u w:val="none"/>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535"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pageBreakBefore w:val="0"/>
              <w:jc w:val="left"/>
              <w:textAlignment w:val="center"/>
              <w:rPr>
                <w:color w:val="auto"/>
                <w:u w:val="none"/>
              </w:rPr>
            </w:pPr>
            <w:r>
              <w:rPr>
                <w:rFonts w:ascii="Times New Roman" w:hAnsi="Times New Roman" w:eastAsia="Times New Roman" w:cs="Times New Roman"/>
                <w:b w:val="0"/>
                <w:i w:val="0"/>
                <w:strike w:val="0"/>
                <w:color w:val="auto"/>
                <w:position w:val="-1"/>
                <w:sz w:val="22"/>
                <w:u w:val="none"/>
              </w:rPr>
              <w:t>年度绩效指标完成情况</w:t>
            </w:r>
          </w:p>
        </w:tc>
        <w:tc>
          <w:tcPr>
            <w:tcW w:w="999"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pageBreakBefore w:val="0"/>
              <w:jc w:val="center"/>
              <w:textAlignment w:val="center"/>
              <w:rPr>
                <w:color w:val="auto"/>
                <w:u w:val="none"/>
              </w:rPr>
            </w:pPr>
            <w:r>
              <w:rPr>
                <w:rFonts w:ascii="Times New Roman" w:hAnsi="Times New Roman" w:eastAsia="Times New Roman" w:cs="Times New Roman"/>
                <w:b w:val="0"/>
                <w:i w:val="0"/>
                <w:strike w:val="0"/>
                <w:color w:val="auto"/>
                <w:position w:val="-1"/>
                <w:sz w:val="22"/>
                <w:u w:val="none"/>
              </w:rPr>
              <w:t>产出</w:t>
            </w:r>
          </w:p>
        </w:tc>
        <w:tc>
          <w:tcPr>
            <w:tcW w:w="110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pageBreakBefore w:val="0"/>
              <w:jc w:val="center"/>
              <w:textAlignment w:val="center"/>
              <w:rPr>
                <w:color w:val="auto"/>
                <w:u w:val="none"/>
              </w:rPr>
            </w:pPr>
            <w:r>
              <w:rPr>
                <w:rFonts w:ascii="Times New Roman" w:hAnsi="Times New Roman" w:eastAsia="Times New Roman" w:cs="Times New Roman"/>
                <w:b w:val="0"/>
                <w:i w:val="0"/>
                <w:strike w:val="0"/>
                <w:color w:val="auto"/>
                <w:position w:val="-1"/>
                <w:sz w:val="22"/>
                <w:u w:val="none"/>
              </w:rPr>
              <w:t>质量</w:t>
            </w:r>
          </w:p>
        </w:tc>
        <w:tc>
          <w:tcPr>
            <w:tcW w:w="984" w:type="dxa"/>
            <w:tcBorders>
              <w:top w:val="single" w:color="000000" w:sz="8" w:space="0"/>
              <w:left w:val="single" w:color="000000" w:sz="8" w:space="0"/>
              <w:bottom w:val="single" w:color="000000" w:sz="8" w:space="0"/>
              <w:right w:val="single" w:color="000000" w:sz="8" w:space="0"/>
            </w:tcBorders>
            <w:shd w:val="clear" w:color="auto" w:fill="FFFFFF"/>
            <w:vAlign w:val="center"/>
          </w:tcPr>
          <w:p>
            <w:pPr>
              <w:pageBreakBefore w:val="0"/>
              <w:jc w:val="center"/>
              <w:textAlignment w:val="center"/>
              <w:rPr>
                <w:color w:val="auto"/>
                <w:u w:val="none"/>
              </w:rPr>
            </w:pPr>
            <w:r>
              <w:rPr>
                <w:rFonts w:ascii="Times New Roman" w:hAnsi="Times New Roman" w:eastAsia="Times New Roman" w:cs="Times New Roman"/>
                <w:b w:val="0"/>
                <w:i w:val="0"/>
                <w:strike w:val="0"/>
                <w:color w:val="auto"/>
                <w:position w:val="-1"/>
                <w:sz w:val="22"/>
                <w:u w:val="none"/>
              </w:rPr>
              <w:t>物业管理费</w:t>
            </w:r>
          </w:p>
        </w:tc>
        <w:tc>
          <w:tcPr>
            <w:tcW w:w="1150"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ageBreakBefore w:val="0"/>
              <w:jc w:val="center"/>
              <w:textAlignment w:val="center"/>
              <w:rPr>
                <w:color w:val="auto"/>
                <w:u w:val="none"/>
              </w:rPr>
            </w:pPr>
            <w:r>
              <w:rPr>
                <w:rFonts w:ascii="Times New Roman" w:hAnsi="Times New Roman" w:eastAsia="Times New Roman" w:cs="Times New Roman"/>
                <w:b w:val="0"/>
                <w:i w:val="0"/>
                <w:strike w:val="0"/>
                <w:color w:val="auto"/>
                <w:position w:val="-1"/>
                <w:sz w:val="22"/>
                <w:u w:val="none"/>
              </w:rPr>
              <w:t>按合同支付</w:t>
            </w:r>
          </w:p>
        </w:tc>
        <w:tc>
          <w:tcPr>
            <w:tcW w:w="1100"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ageBreakBefore w:val="0"/>
              <w:jc w:val="center"/>
              <w:textAlignment w:val="center"/>
              <w:rPr>
                <w:color w:val="auto"/>
                <w:u w:val="none"/>
              </w:rPr>
            </w:pPr>
            <w:r>
              <w:rPr>
                <w:rFonts w:ascii="Times New Roman" w:hAnsi="Times New Roman" w:eastAsia="Times New Roman" w:cs="Times New Roman"/>
                <w:b w:val="0"/>
                <w:i w:val="0"/>
                <w:strike w:val="0"/>
                <w:color w:val="auto"/>
                <w:position w:val="-1"/>
                <w:sz w:val="22"/>
                <w:u w:val="none"/>
              </w:rPr>
              <w:t>8412309.54元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535"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pageBreakBefore w:val="0"/>
              <w:jc w:val="left"/>
              <w:textAlignment w:val="center"/>
              <w:rPr>
                <w:color w:val="auto"/>
                <w:u w:val="none"/>
              </w:rPr>
            </w:pPr>
            <w:r>
              <w:rPr>
                <w:rFonts w:ascii="Times New Roman" w:hAnsi="Times New Roman" w:eastAsia="Times New Roman" w:cs="Times New Roman"/>
                <w:b w:val="0"/>
                <w:i w:val="0"/>
                <w:strike w:val="0"/>
                <w:color w:val="auto"/>
                <w:position w:val="-1"/>
                <w:sz w:val="22"/>
                <w:u w:val="none"/>
              </w:rPr>
              <w:t>年度绩效指标完成情况</w:t>
            </w:r>
          </w:p>
        </w:tc>
        <w:tc>
          <w:tcPr>
            <w:tcW w:w="999"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pageBreakBefore w:val="0"/>
              <w:jc w:val="center"/>
              <w:textAlignment w:val="center"/>
              <w:rPr>
                <w:color w:val="auto"/>
                <w:u w:val="none"/>
              </w:rPr>
            </w:pPr>
            <w:r>
              <w:rPr>
                <w:rFonts w:ascii="Times New Roman" w:hAnsi="Times New Roman" w:eastAsia="Times New Roman" w:cs="Times New Roman"/>
                <w:b w:val="0"/>
                <w:i w:val="0"/>
                <w:strike w:val="0"/>
                <w:color w:val="auto"/>
                <w:position w:val="-1"/>
                <w:sz w:val="22"/>
                <w:u w:val="none"/>
              </w:rPr>
              <w:t>产出</w:t>
            </w:r>
          </w:p>
        </w:tc>
        <w:tc>
          <w:tcPr>
            <w:tcW w:w="1100" w:type="dxa"/>
            <w:tcBorders>
              <w:top w:val="single" w:color="000000" w:sz="8" w:space="0"/>
              <w:left w:val="single" w:color="000000" w:sz="8" w:space="0"/>
              <w:bottom w:val="single" w:color="000000" w:sz="8" w:space="0"/>
              <w:right w:val="single" w:color="000000" w:sz="8" w:space="0"/>
            </w:tcBorders>
            <w:shd w:val="clear" w:color="auto" w:fill="FFFFFF"/>
            <w:vAlign w:val="center"/>
          </w:tcPr>
          <w:p>
            <w:pPr>
              <w:pageBreakBefore w:val="0"/>
              <w:jc w:val="center"/>
              <w:textAlignment w:val="center"/>
              <w:rPr>
                <w:color w:val="auto"/>
                <w:u w:val="none"/>
              </w:rPr>
            </w:pPr>
            <w:r>
              <w:rPr>
                <w:rFonts w:ascii="Times New Roman" w:hAnsi="Times New Roman" w:eastAsia="Times New Roman" w:cs="Times New Roman"/>
                <w:b w:val="0"/>
                <w:i w:val="0"/>
                <w:strike w:val="0"/>
                <w:color w:val="auto"/>
                <w:position w:val="-1"/>
                <w:sz w:val="22"/>
                <w:u w:val="none"/>
              </w:rPr>
              <w:t>时效</w:t>
            </w:r>
          </w:p>
        </w:tc>
        <w:tc>
          <w:tcPr>
            <w:tcW w:w="984" w:type="dxa"/>
            <w:tcBorders>
              <w:top w:val="single" w:color="000000" w:sz="8" w:space="0"/>
              <w:left w:val="single" w:color="000000" w:sz="8" w:space="0"/>
              <w:bottom w:val="single" w:color="000000" w:sz="8" w:space="0"/>
              <w:right w:val="single" w:color="000000" w:sz="8" w:space="0"/>
            </w:tcBorders>
            <w:shd w:val="clear" w:color="auto" w:fill="FFFFFF"/>
            <w:vAlign w:val="center"/>
          </w:tcPr>
          <w:p>
            <w:pPr>
              <w:pageBreakBefore w:val="0"/>
              <w:jc w:val="center"/>
              <w:textAlignment w:val="center"/>
              <w:rPr>
                <w:color w:val="auto"/>
                <w:u w:val="none"/>
              </w:rPr>
            </w:pPr>
            <w:r>
              <w:rPr>
                <w:rFonts w:ascii="Times New Roman" w:hAnsi="Times New Roman" w:eastAsia="Times New Roman" w:cs="Times New Roman"/>
                <w:b w:val="0"/>
                <w:i w:val="0"/>
                <w:strike w:val="0"/>
                <w:color w:val="auto"/>
                <w:position w:val="-1"/>
                <w:sz w:val="22"/>
                <w:u w:val="none"/>
              </w:rPr>
              <w:t>全年</w:t>
            </w:r>
          </w:p>
        </w:tc>
        <w:tc>
          <w:tcPr>
            <w:tcW w:w="1150"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ageBreakBefore w:val="0"/>
              <w:jc w:val="center"/>
              <w:textAlignment w:val="center"/>
              <w:rPr>
                <w:color w:val="auto"/>
                <w:u w:val="none"/>
              </w:rPr>
            </w:pPr>
            <w:r>
              <w:rPr>
                <w:rFonts w:ascii="Times New Roman" w:hAnsi="Times New Roman" w:eastAsia="Times New Roman" w:cs="Times New Roman"/>
                <w:b w:val="0"/>
                <w:i w:val="0"/>
                <w:strike w:val="0"/>
                <w:color w:val="auto"/>
                <w:position w:val="-1"/>
                <w:sz w:val="22"/>
                <w:u w:val="none"/>
              </w:rPr>
              <w:t>全年</w:t>
            </w:r>
          </w:p>
        </w:tc>
        <w:tc>
          <w:tcPr>
            <w:tcW w:w="1100"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ageBreakBefore w:val="0"/>
              <w:jc w:val="center"/>
              <w:textAlignment w:val="center"/>
              <w:rPr>
                <w:color w:val="auto"/>
                <w:u w:val="none"/>
              </w:rPr>
            </w:pPr>
            <w:r>
              <w:rPr>
                <w:rFonts w:ascii="Times New Roman" w:hAnsi="Times New Roman" w:eastAsia="Times New Roman" w:cs="Times New Roman"/>
                <w:b w:val="0"/>
                <w:i w:val="0"/>
                <w:strike w:val="0"/>
                <w:color w:val="auto"/>
                <w:position w:val="-1"/>
                <w:sz w:val="22"/>
                <w:u w:val="none"/>
              </w:rPr>
              <w:t>2021年1月至12月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535"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pageBreakBefore w:val="0"/>
              <w:jc w:val="left"/>
              <w:textAlignment w:val="center"/>
              <w:rPr>
                <w:color w:val="auto"/>
                <w:u w:val="none"/>
              </w:rPr>
            </w:pPr>
            <w:r>
              <w:rPr>
                <w:rFonts w:ascii="Times New Roman" w:hAnsi="Times New Roman" w:eastAsia="Times New Roman" w:cs="Times New Roman"/>
                <w:b w:val="0"/>
                <w:i w:val="0"/>
                <w:strike w:val="0"/>
                <w:color w:val="auto"/>
                <w:position w:val="-1"/>
                <w:sz w:val="22"/>
                <w:u w:val="none"/>
              </w:rPr>
              <w:t>年度绩效指标完成情况</w:t>
            </w:r>
          </w:p>
        </w:tc>
        <w:tc>
          <w:tcPr>
            <w:tcW w:w="999"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pageBreakBefore w:val="0"/>
              <w:jc w:val="center"/>
              <w:textAlignment w:val="center"/>
              <w:rPr>
                <w:color w:val="auto"/>
                <w:u w:val="none"/>
              </w:rPr>
            </w:pPr>
            <w:r>
              <w:rPr>
                <w:rFonts w:ascii="Times New Roman" w:hAnsi="Times New Roman" w:eastAsia="Times New Roman" w:cs="Times New Roman"/>
                <w:b w:val="0"/>
                <w:i w:val="0"/>
                <w:strike w:val="0"/>
                <w:color w:val="auto"/>
                <w:position w:val="-1"/>
                <w:sz w:val="22"/>
                <w:u w:val="none"/>
              </w:rPr>
              <w:t>产出</w:t>
            </w:r>
          </w:p>
        </w:tc>
        <w:tc>
          <w:tcPr>
            <w:tcW w:w="1100" w:type="dxa"/>
            <w:tcBorders>
              <w:top w:val="single" w:color="000000" w:sz="8" w:space="0"/>
              <w:left w:val="single" w:color="000000" w:sz="8" w:space="0"/>
              <w:bottom w:val="single" w:color="000000" w:sz="8" w:space="0"/>
              <w:right w:val="single" w:color="000000" w:sz="8" w:space="0"/>
            </w:tcBorders>
            <w:shd w:val="clear" w:color="auto" w:fill="FFFFFF"/>
            <w:vAlign w:val="center"/>
          </w:tcPr>
          <w:p>
            <w:pPr>
              <w:pageBreakBefore w:val="0"/>
              <w:jc w:val="center"/>
              <w:textAlignment w:val="center"/>
              <w:rPr>
                <w:color w:val="auto"/>
                <w:u w:val="none"/>
              </w:rPr>
            </w:pPr>
            <w:r>
              <w:rPr>
                <w:rFonts w:ascii="Times New Roman" w:hAnsi="Times New Roman" w:eastAsia="Times New Roman" w:cs="Times New Roman"/>
                <w:b w:val="0"/>
                <w:i w:val="0"/>
                <w:strike w:val="0"/>
                <w:color w:val="auto"/>
                <w:position w:val="-1"/>
                <w:sz w:val="22"/>
                <w:u w:val="none"/>
              </w:rPr>
              <w:t>成本</w:t>
            </w:r>
          </w:p>
        </w:tc>
        <w:tc>
          <w:tcPr>
            <w:tcW w:w="984" w:type="dxa"/>
            <w:tcBorders>
              <w:top w:val="single" w:color="000000" w:sz="8" w:space="0"/>
              <w:left w:val="single" w:color="000000" w:sz="8" w:space="0"/>
              <w:bottom w:val="single" w:color="000000" w:sz="8" w:space="0"/>
              <w:right w:val="single" w:color="000000" w:sz="8" w:space="0"/>
            </w:tcBorders>
            <w:shd w:val="clear" w:color="auto" w:fill="FFFFFF"/>
            <w:vAlign w:val="center"/>
          </w:tcPr>
          <w:p>
            <w:pPr>
              <w:pageBreakBefore w:val="0"/>
              <w:jc w:val="center"/>
              <w:textAlignment w:val="center"/>
              <w:rPr>
                <w:color w:val="auto"/>
                <w:u w:val="none"/>
              </w:rPr>
            </w:pPr>
            <w:r>
              <w:rPr>
                <w:rFonts w:ascii="Times New Roman" w:hAnsi="Times New Roman" w:eastAsia="Times New Roman" w:cs="Times New Roman"/>
                <w:b w:val="0"/>
                <w:i w:val="0"/>
                <w:strike w:val="0"/>
                <w:color w:val="auto"/>
                <w:position w:val="-1"/>
                <w:sz w:val="22"/>
                <w:u w:val="none"/>
              </w:rPr>
              <w:t>不适用</w:t>
            </w:r>
          </w:p>
        </w:tc>
        <w:tc>
          <w:tcPr>
            <w:tcW w:w="1150"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ageBreakBefore w:val="0"/>
              <w:jc w:val="center"/>
              <w:textAlignment w:val="center"/>
              <w:rPr>
                <w:color w:val="auto"/>
                <w:u w:val="none"/>
              </w:rPr>
            </w:pPr>
            <w:r>
              <w:rPr>
                <w:rFonts w:ascii="Times New Roman" w:hAnsi="Times New Roman" w:eastAsia="Times New Roman" w:cs="Times New Roman"/>
                <w:b w:val="0"/>
                <w:i w:val="0"/>
                <w:strike w:val="0"/>
                <w:color w:val="auto"/>
                <w:position w:val="-1"/>
                <w:sz w:val="22"/>
                <w:u w:val="none"/>
              </w:rPr>
              <w:t>不适用</w:t>
            </w:r>
          </w:p>
        </w:tc>
        <w:tc>
          <w:tcPr>
            <w:tcW w:w="1100"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ageBreakBefore w:val="0"/>
              <w:jc w:val="center"/>
              <w:textAlignment w:val="center"/>
              <w:rPr>
                <w:color w:val="auto"/>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535"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pageBreakBefore w:val="0"/>
              <w:jc w:val="left"/>
              <w:textAlignment w:val="center"/>
              <w:rPr>
                <w:color w:val="auto"/>
                <w:u w:val="none"/>
              </w:rPr>
            </w:pPr>
            <w:r>
              <w:rPr>
                <w:rFonts w:ascii="Times New Roman" w:hAnsi="Times New Roman" w:eastAsia="Times New Roman" w:cs="Times New Roman"/>
                <w:b w:val="0"/>
                <w:i w:val="0"/>
                <w:strike w:val="0"/>
                <w:color w:val="auto"/>
                <w:position w:val="-1"/>
                <w:sz w:val="22"/>
                <w:u w:val="none"/>
              </w:rPr>
              <w:t>年度绩效指标完成情况</w:t>
            </w:r>
          </w:p>
        </w:tc>
        <w:tc>
          <w:tcPr>
            <w:tcW w:w="999"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pageBreakBefore w:val="0"/>
              <w:jc w:val="center"/>
              <w:textAlignment w:val="center"/>
              <w:rPr>
                <w:color w:val="auto"/>
                <w:u w:val="none"/>
              </w:rPr>
            </w:pPr>
            <w:r>
              <w:rPr>
                <w:rFonts w:ascii="Times New Roman" w:hAnsi="Times New Roman" w:eastAsia="Times New Roman" w:cs="Times New Roman"/>
                <w:b w:val="0"/>
                <w:i w:val="0"/>
                <w:strike w:val="0"/>
                <w:color w:val="auto"/>
                <w:position w:val="-1"/>
                <w:sz w:val="22"/>
                <w:u w:val="none"/>
              </w:rPr>
              <w:t>效益</w:t>
            </w:r>
          </w:p>
        </w:tc>
        <w:tc>
          <w:tcPr>
            <w:tcW w:w="1100" w:type="dxa"/>
            <w:tcBorders>
              <w:top w:val="single" w:color="000000" w:sz="8" w:space="0"/>
              <w:left w:val="single" w:color="000000" w:sz="8" w:space="0"/>
              <w:bottom w:val="single" w:color="000000" w:sz="8" w:space="0"/>
              <w:right w:val="single" w:color="000000" w:sz="8" w:space="0"/>
            </w:tcBorders>
            <w:shd w:val="clear" w:color="auto" w:fill="FFFFFF"/>
            <w:vAlign w:val="center"/>
          </w:tcPr>
          <w:p>
            <w:pPr>
              <w:pageBreakBefore w:val="0"/>
              <w:jc w:val="center"/>
              <w:textAlignment w:val="center"/>
              <w:rPr>
                <w:color w:val="auto"/>
                <w:u w:val="none"/>
              </w:rPr>
            </w:pPr>
            <w:r>
              <w:rPr>
                <w:rFonts w:ascii="Times New Roman" w:hAnsi="Times New Roman" w:eastAsia="Times New Roman" w:cs="Times New Roman"/>
                <w:b w:val="0"/>
                <w:i w:val="0"/>
                <w:strike w:val="0"/>
                <w:color w:val="auto"/>
                <w:position w:val="-1"/>
                <w:sz w:val="22"/>
                <w:u w:val="none"/>
              </w:rPr>
              <w:t>经济效益</w:t>
            </w:r>
          </w:p>
        </w:tc>
        <w:tc>
          <w:tcPr>
            <w:tcW w:w="984" w:type="dxa"/>
            <w:tcBorders>
              <w:top w:val="single" w:color="000000" w:sz="8" w:space="0"/>
              <w:left w:val="single" w:color="000000" w:sz="8" w:space="0"/>
              <w:bottom w:val="single" w:color="000000" w:sz="8" w:space="0"/>
              <w:right w:val="single" w:color="000000" w:sz="8" w:space="0"/>
            </w:tcBorders>
            <w:shd w:val="clear" w:color="auto" w:fill="FFFFFF"/>
            <w:vAlign w:val="center"/>
          </w:tcPr>
          <w:p>
            <w:pPr>
              <w:pageBreakBefore w:val="0"/>
              <w:jc w:val="center"/>
              <w:textAlignment w:val="center"/>
              <w:rPr>
                <w:color w:val="auto"/>
                <w:u w:val="none"/>
              </w:rPr>
            </w:pPr>
            <w:r>
              <w:rPr>
                <w:rFonts w:ascii="Times New Roman" w:hAnsi="Times New Roman" w:eastAsia="Times New Roman" w:cs="Times New Roman"/>
                <w:b w:val="0"/>
                <w:i w:val="0"/>
                <w:strike w:val="0"/>
                <w:color w:val="auto"/>
                <w:position w:val="-1"/>
                <w:sz w:val="22"/>
                <w:u w:val="none"/>
              </w:rPr>
              <w:t>各工程及项目的预算、决算审计</w:t>
            </w:r>
          </w:p>
        </w:tc>
        <w:tc>
          <w:tcPr>
            <w:tcW w:w="1150"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ageBreakBefore w:val="0"/>
              <w:jc w:val="center"/>
              <w:textAlignment w:val="center"/>
              <w:rPr>
                <w:color w:val="auto"/>
                <w:u w:val="none"/>
              </w:rPr>
            </w:pPr>
            <w:r>
              <w:rPr>
                <w:rFonts w:ascii="Times New Roman" w:hAnsi="Times New Roman" w:eastAsia="Times New Roman" w:cs="Times New Roman"/>
                <w:b w:val="0"/>
                <w:i w:val="0"/>
                <w:strike w:val="0"/>
                <w:color w:val="auto"/>
                <w:position w:val="-1"/>
                <w:sz w:val="22"/>
                <w:u w:val="none"/>
              </w:rPr>
              <w:t>节约财政资金</w:t>
            </w:r>
          </w:p>
        </w:tc>
        <w:tc>
          <w:tcPr>
            <w:tcW w:w="1100"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ageBreakBefore w:val="0"/>
              <w:jc w:val="center"/>
              <w:textAlignment w:val="center"/>
              <w:rPr>
                <w:color w:val="auto"/>
                <w:u w:val="none"/>
              </w:rPr>
            </w:pPr>
            <w:r>
              <w:rPr>
                <w:rFonts w:ascii="Times New Roman" w:hAnsi="Times New Roman" w:eastAsia="Times New Roman" w:cs="Times New Roman"/>
                <w:b w:val="0"/>
                <w:i w:val="0"/>
                <w:strike w:val="0"/>
                <w:color w:val="auto"/>
                <w:position w:val="-1"/>
                <w:sz w:val="22"/>
                <w:u w:val="none"/>
              </w:rPr>
              <w:t>80634.72元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535"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pageBreakBefore w:val="0"/>
              <w:jc w:val="left"/>
              <w:textAlignment w:val="center"/>
              <w:rPr>
                <w:color w:val="auto"/>
                <w:u w:val="none"/>
              </w:rPr>
            </w:pPr>
            <w:r>
              <w:rPr>
                <w:rFonts w:ascii="Times New Roman" w:hAnsi="Times New Roman" w:eastAsia="Times New Roman" w:cs="Times New Roman"/>
                <w:b w:val="0"/>
                <w:i w:val="0"/>
                <w:strike w:val="0"/>
                <w:color w:val="auto"/>
                <w:position w:val="-1"/>
                <w:sz w:val="22"/>
                <w:u w:val="none"/>
              </w:rPr>
              <w:t>年度绩效指标完成情况</w:t>
            </w:r>
          </w:p>
        </w:tc>
        <w:tc>
          <w:tcPr>
            <w:tcW w:w="999"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pageBreakBefore w:val="0"/>
              <w:jc w:val="center"/>
              <w:textAlignment w:val="center"/>
              <w:rPr>
                <w:color w:val="auto"/>
                <w:u w:val="none"/>
              </w:rPr>
            </w:pPr>
            <w:r>
              <w:rPr>
                <w:rFonts w:ascii="Times New Roman" w:hAnsi="Times New Roman" w:eastAsia="Times New Roman" w:cs="Times New Roman"/>
                <w:b w:val="0"/>
                <w:i w:val="0"/>
                <w:strike w:val="0"/>
                <w:color w:val="auto"/>
                <w:position w:val="-1"/>
                <w:sz w:val="22"/>
                <w:u w:val="none"/>
              </w:rPr>
              <w:t>效益</w:t>
            </w:r>
          </w:p>
        </w:tc>
        <w:tc>
          <w:tcPr>
            <w:tcW w:w="1100" w:type="dxa"/>
            <w:tcBorders>
              <w:top w:val="single" w:color="000000" w:sz="8" w:space="0"/>
              <w:left w:val="single" w:color="000000" w:sz="8" w:space="0"/>
              <w:bottom w:val="single" w:color="000000" w:sz="8" w:space="0"/>
              <w:right w:val="single" w:color="000000" w:sz="8" w:space="0"/>
            </w:tcBorders>
            <w:shd w:val="clear" w:color="auto" w:fill="FFFFFF"/>
            <w:vAlign w:val="center"/>
          </w:tcPr>
          <w:p>
            <w:pPr>
              <w:pageBreakBefore w:val="0"/>
              <w:jc w:val="center"/>
              <w:textAlignment w:val="center"/>
              <w:rPr>
                <w:color w:val="auto"/>
                <w:u w:val="none"/>
              </w:rPr>
            </w:pPr>
            <w:r>
              <w:rPr>
                <w:rFonts w:ascii="Times New Roman" w:hAnsi="Times New Roman" w:eastAsia="Times New Roman" w:cs="Times New Roman"/>
                <w:b w:val="0"/>
                <w:i w:val="0"/>
                <w:strike w:val="0"/>
                <w:color w:val="auto"/>
                <w:position w:val="-1"/>
                <w:sz w:val="22"/>
                <w:u w:val="none"/>
              </w:rPr>
              <w:t>社会效益</w:t>
            </w:r>
          </w:p>
        </w:tc>
        <w:tc>
          <w:tcPr>
            <w:tcW w:w="984" w:type="dxa"/>
            <w:tcBorders>
              <w:top w:val="single" w:color="000000" w:sz="8" w:space="0"/>
              <w:left w:val="single" w:color="000000" w:sz="8" w:space="0"/>
              <w:bottom w:val="single" w:color="000000" w:sz="8" w:space="0"/>
              <w:right w:val="single" w:color="000000" w:sz="8" w:space="0"/>
            </w:tcBorders>
            <w:shd w:val="clear" w:color="auto" w:fill="FFFFFF"/>
            <w:vAlign w:val="center"/>
          </w:tcPr>
          <w:p>
            <w:pPr>
              <w:pageBreakBefore w:val="0"/>
              <w:jc w:val="center"/>
              <w:textAlignment w:val="center"/>
              <w:rPr>
                <w:color w:val="auto"/>
                <w:u w:val="none"/>
              </w:rPr>
            </w:pPr>
            <w:r>
              <w:rPr>
                <w:rFonts w:ascii="Times New Roman" w:hAnsi="Times New Roman" w:eastAsia="Times New Roman" w:cs="Times New Roman"/>
                <w:b w:val="0"/>
                <w:i w:val="0"/>
                <w:strike w:val="0"/>
                <w:color w:val="auto"/>
                <w:position w:val="-1"/>
                <w:sz w:val="22"/>
                <w:u w:val="none"/>
              </w:rPr>
              <w:t>区委大院办公、治安有序进行</w:t>
            </w:r>
          </w:p>
        </w:tc>
        <w:tc>
          <w:tcPr>
            <w:tcW w:w="1150"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ageBreakBefore w:val="0"/>
              <w:jc w:val="center"/>
              <w:textAlignment w:val="center"/>
              <w:rPr>
                <w:color w:val="auto"/>
                <w:u w:val="none"/>
              </w:rPr>
            </w:pPr>
            <w:r>
              <w:rPr>
                <w:rFonts w:ascii="Times New Roman" w:hAnsi="Times New Roman" w:eastAsia="Times New Roman" w:cs="Times New Roman"/>
                <w:b w:val="0"/>
                <w:i w:val="0"/>
                <w:strike w:val="0"/>
                <w:color w:val="auto"/>
                <w:position w:val="-1"/>
                <w:sz w:val="22"/>
                <w:u w:val="none"/>
              </w:rPr>
              <w:t>无安全事故</w:t>
            </w:r>
          </w:p>
        </w:tc>
        <w:tc>
          <w:tcPr>
            <w:tcW w:w="1100"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ageBreakBefore w:val="0"/>
              <w:jc w:val="center"/>
              <w:textAlignment w:val="center"/>
              <w:rPr>
                <w:color w:val="auto"/>
                <w:u w:val="none"/>
              </w:rPr>
            </w:pPr>
            <w:r>
              <w:rPr>
                <w:rFonts w:ascii="Times New Roman" w:hAnsi="Times New Roman" w:eastAsia="Times New Roman" w:cs="Times New Roman"/>
                <w:b w:val="0"/>
                <w:i w:val="0"/>
                <w:strike w:val="0"/>
                <w:color w:val="auto"/>
                <w:position w:val="-1"/>
                <w:sz w:val="22"/>
                <w:u w:val="none"/>
              </w:rPr>
              <w:t>0安全事故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535"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pageBreakBefore w:val="0"/>
              <w:jc w:val="left"/>
              <w:textAlignment w:val="center"/>
              <w:rPr>
                <w:color w:val="auto"/>
                <w:u w:val="none"/>
              </w:rPr>
            </w:pPr>
            <w:r>
              <w:rPr>
                <w:rFonts w:ascii="Times New Roman" w:hAnsi="Times New Roman" w:eastAsia="Times New Roman" w:cs="Times New Roman"/>
                <w:b w:val="0"/>
                <w:i w:val="0"/>
                <w:strike w:val="0"/>
                <w:color w:val="auto"/>
                <w:position w:val="-1"/>
                <w:sz w:val="22"/>
                <w:u w:val="none"/>
              </w:rPr>
              <w:t>年度绩效指标完成情况</w:t>
            </w:r>
          </w:p>
        </w:tc>
        <w:tc>
          <w:tcPr>
            <w:tcW w:w="999"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pageBreakBefore w:val="0"/>
              <w:jc w:val="center"/>
              <w:textAlignment w:val="center"/>
              <w:rPr>
                <w:color w:val="auto"/>
                <w:u w:val="none"/>
              </w:rPr>
            </w:pPr>
            <w:r>
              <w:rPr>
                <w:rFonts w:ascii="Times New Roman" w:hAnsi="Times New Roman" w:eastAsia="Times New Roman" w:cs="Times New Roman"/>
                <w:b w:val="0"/>
                <w:i w:val="0"/>
                <w:strike w:val="0"/>
                <w:color w:val="auto"/>
                <w:position w:val="-1"/>
                <w:sz w:val="22"/>
                <w:u w:val="none"/>
              </w:rPr>
              <w:t>效益</w:t>
            </w:r>
          </w:p>
        </w:tc>
        <w:tc>
          <w:tcPr>
            <w:tcW w:w="1100" w:type="dxa"/>
            <w:tcBorders>
              <w:top w:val="single" w:color="000000" w:sz="8" w:space="0"/>
              <w:left w:val="single" w:color="000000" w:sz="8" w:space="0"/>
              <w:bottom w:val="single" w:color="000000" w:sz="8" w:space="0"/>
              <w:right w:val="single" w:color="000000" w:sz="8" w:space="0"/>
            </w:tcBorders>
            <w:shd w:val="clear" w:color="auto" w:fill="FFFFFF"/>
            <w:vAlign w:val="center"/>
          </w:tcPr>
          <w:p>
            <w:pPr>
              <w:pageBreakBefore w:val="0"/>
              <w:jc w:val="center"/>
              <w:textAlignment w:val="center"/>
              <w:rPr>
                <w:color w:val="auto"/>
                <w:u w:val="none"/>
              </w:rPr>
            </w:pPr>
            <w:r>
              <w:rPr>
                <w:rFonts w:ascii="Times New Roman" w:hAnsi="Times New Roman" w:eastAsia="Times New Roman" w:cs="Times New Roman"/>
                <w:b w:val="0"/>
                <w:i w:val="0"/>
                <w:strike w:val="0"/>
                <w:color w:val="auto"/>
                <w:position w:val="-1"/>
                <w:sz w:val="22"/>
                <w:u w:val="none"/>
              </w:rPr>
              <w:t>可持续影响</w:t>
            </w:r>
          </w:p>
        </w:tc>
        <w:tc>
          <w:tcPr>
            <w:tcW w:w="984" w:type="dxa"/>
            <w:tcBorders>
              <w:top w:val="single" w:color="000000" w:sz="8" w:space="0"/>
              <w:left w:val="single" w:color="000000" w:sz="8" w:space="0"/>
              <w:bottom w:val="single" w:color="000000" w:sz="8" w:space="0"/>
              <w:right w:val="single" w:color="000000" w:sz="8" w:space="0"/>
            </w:tcBorders>
            <w:shd w:val="clear" w:color="auto" w:fill="FFFFFF"/>
            <w:vAlign w:val="center"/>
          </w:tcPr>
          <w:p>
            <w:pPr>
              <w:pageBreakBefore w:val="0"/>
              <w:jc w:val="center"/>
              <w:textAlignment w:val="center"/>
              <w:rPr>
                <w:color w:val="auto"/>
                <w:u w:val="none"/>
              </w:rPr>
            </w:pPr>
            <w:r>
              <w:rPr>
                <w:rFonts w:ascii="Times New Roman" w:hAnsi="Times New Roman" w:eastAsia="Times New Roman" w:cs="Times New Roman"/>
                <w:b w:val="0"/>
                <w:i w:val="0"/>
                <w:strike w:val="0"/>
                <w:color w:val="auto"/>
                <w:position w:val="-1"/>
                <w:sz w:val="22"/>
                <w:u w:val="none"/>
              </w:rPr>
              <w:t>不适用</w:t>
            </w:r>
          </w:p>
        </w:tc>
        <w:tc>
          <w:tcPr>
            <w:tcW w:w="1150"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ageBreakBefore w:val="0"/>
              <w:jc w:val="center"/>
              <w:textAlignment w:val="center"/>
              <w:rPr>
                <w:color w:val="auto"/>
                <w:u w:val="none"/>
              </w:rPr>
            </w:pPr>
            <w:r>
              <w:rPr>
                <w:rFonts w:ascii="Times New Roman" w:hAnsi="Times New Roman" w:eastAsia="Times New Roman" w:cs="Times New Roman"/>
                <w:b w:val="0"/>
                <w:i w:val="0"/>
                <w:strike w:val="0"/>
                <w:color w:val="auto"/>
                <w:position w:val="-1"/>
                <w:sz w:val="22"/>
                <w:u w:val="none"/>
              </w:rPr>
              <w:t>不适用</w:t>
            </w:r>
          </w:p>
        </w:tc>
        <w:tc>
          <w:tcPr>
            <w:tcW w:w="1100"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ageBreakBefore w:val="0"/>
              <w:jc w:val="center"/>
              <w:textAlignment w:val="center"/>
              <w:rPr>
                <w:color w:val="auto"/>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535"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pageBreakBefore w:val="0"/>
              <w:jc w:val="left"/>
              <w:textAlignment w:val="center"/>
              <w:rPr>
                <w:color w:val="auto"/>
                <w:u w:val="none"/>
              </w:rPr>
            </w:pPr>
            <w:r>
              <w:rPr>
                <w:rFonts w:ascii="Times New Roman" w:hAnsi="Times New Roman" w:eastAsia="Times New Roman" w:cs="Times New Roman"/>
                <w:b w:val="0"/>
                <w:i w:val="0"/>
                <w:strike w:val="0"/>
                <w:color w:val="auto"/>
                <w:position w:val="-1"/>
                <w:sz w:val="22"/>
                <w:u w:val="none"/>
              </w:rPr>
              <w:t>年度绩效指标完成情况</w:t>
            </w:r>
          </w:p>
        </w:tc>
        <w:tc>
          <w:tcPr>
            <w:tcW w:w="999"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pageBreakBefore w:val="0"/>
              <w:jc w:val="center"/>
              <w:textAlignment w:val="center"/>
              <w:rPr>
                <w:color w:val="auto"/>
                <w:u w:val="none"/>
              </w:rPr>
            </w:pPr>
            <w:r>
              <w:rPr>
                <w:rFonts w:ascii="Times New Roman" w:hAnsi="Times New Roman" w:eastAsia="Times New Roman" w:cs="Times New Roman"/>
                <w:b w:val="0"/>
                <w:i w:val="0"/>
                <w:strike w:val="0"/>
                <w:color w:val="auto"/>
                <w:position w:val="-1"/>
                <w:sz w:val="22"/>
                <w:u w:val="none"/>
              </w:rPr>
              <w:t>效益</w:t>
            </w:r>
          </w:p>
        </w:tc>
        <w:tc>
          <w:tcPr>
            <w:tcW w:w="1100" w:type="dxa"/>
            <w:tcBorders>
              <w:top w:val="single" w:color="000000" w:sz="8" w:space="0"/>
              <w:left w:val="single" w:color="000000" w:sz="8" w:space="0"/>
              <w:bottom w:val="single" w:color="000000" w:sz="8" w:space="0"/>
              <w:right w:val="single" w:color="000000" w:sz="8" w:space="0"/>
            </w:tcBorders>
            <w:shd w:val="clear" w:color="auto" w:fill="FFFFFF"/>
            <w:vAlign w:val="center"/>
          </w:tcPr>
          <w:p>
            <w:pPr>
              <w:pageBreakBefore w:val="0"/>
              <w:jc w:val="center"/>
              <w:textAlignment w:val="center"/>
              <w:rPr>
                <w:color w:val="auto"/>
                <w:u w:val="none"/>
              </w:rPr>
            </w:pPr>
            <w:r>
              <w:rPr>
                <w:rFonts w:ascii="Times New Roman" w:hAnsi="Times New Roman" w:eastAsia="Times New Roman" w:cs="Times New Roman"/>
                <w:b w:val="0"/>
                <w:i w:val="0"/>
                <w:strike w:val="0"/>
                <w:color w:val="auto"/>
                <w:position w:val="-1"/>
                <w:sz w:val="22"/>
                <w:u w:val="none"/>
              </w:rPr>
              <w:t>生态效益</w:t>
            </w:r>
          </w:p>
        </w:tc>
        <w:tc>
          <w:tcPr>
            <w:tcW w:w="984" w:type="dxa"/>
            <w:tcBorders>
              <w:top w:val="single" w:color="000000" w:sz="8" w:space="0"/>
              <w:left w:val="single" w:color="000000" w:sz="8" w:space="0"/>
              <w:bottom w:val="single" w:color="000000" w:sz="8" w:space="0"/>
              <w:right w:val="single" w:color="000000" w:sz="8" w:space="0"/>
            </w:tcBorders>
            <w:shd w:val="clear" w:color="auto" w:fill="FFFFFF"/>
            <w:vAlign w:val="center"/>
          </w:tcPr>
          <w:p>
            <w:pPr>
              <w:pageBreakBefore w:val="0"/>
              <w:jc w:val="center"/>
              <w:textAlignment w:val="center"/>
              <w:rPr>
                <w:color w:val="auto"/>
                <w:u w:val="none"/>
              </w:rPr>
            </w:pPr>
            <w:r>
              <w:rPr>
                <w:rFonts w:ascii="Times New Roman" w:hAnsi="Times New Roman" w:eastAsia="Times New Roman" w:cs="Times New Roman"/>
                <w:b w:val="0"/>
                <w:i w:val="0"/>
                <w:strike w:val="0"/>
                <w:color w:val="auto"/>
                <w:position w:val="-1"/>
                <w:sz w:val="22"/>
                <w:u w:val="none"/>
              </w:rPr>
              <w:t>区委大院环境升级（绿化、节能）</w:t>
            </w:r>
          </w:p>
        </w:tc>
        <w:tc>
          <w:tcPr>
            <w:tcW w:w="1150"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ageBreakBefore w:val="0"/>
              <w:jc w:val="center"/>
              <w:textAlignment w:val="center"/>
              <w:rPr>
                <w:color w:val="auto"/>
                <w:u w:val="none"/>
              </w:rPr>
            </w:pPr>
            <w:r>
              <w:rPr>
                <w:rFonts w:ascii="Times New Roman" w:hAnsi="Times New Roman" w:eastAsia="Times New Roman" w:cs="Times New Roman"/>
                <w:b w:val="0"/>
                <w:i w:val="0"/>
                <w:strike w:val="0"/>
                <w:color w:val="auto"/>
                <w:position w:val="-1"/>
                <w:sz w:val="22"/>
                <w:u w:val="none"/>
              </w:rPr>
              <w:t>绿化率、水电节约量</w:t>
            </w:r>
          </w:p>
        </w:tc>
        <w:tc>
          <w:tcPr>
            <w:tcW w:w="1100"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ageBreakBefore w:val="0"/>
              <w:jc w:val="center"/>
              <w:textAlignment w:val="center"/>
              <w:rPr>
                <w:color w:val="auto"/>
                <w:u w:val="none"/>
              </w:rPr>
            </w:pPr>
            <w:r>
              <w:rPr>
                <w:rFonts w:ascii="Times New Roman" w:hAnsi="Times New Roman" w:eastAsia="Times New Roman" w:cs="Times New Roman"/>
                <w:b w:val="0"/>
                <w:i w:val="0"/>
                <w:strike w:val="0"/>
                <w:color w:val="auto"/>
                <w:position w:val="-1"/>
                <w:sz w:val="22"/>
                <w:u w:val="none"/>
              </w:rPr>
              <w:t>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535"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pageBreakBefore w:val="0"/>
              <w:jc w:val="left"/>
              <w:textAlignment w:val="center"/>
              <w:rPr>
                <w:color w:val="auto"/>
                <w:u w:val="none"/>
              </w:rPr>
            </w:pPr>
            <w:r>
              <w:rPr>
                <w:rFonts w:ascii="Times New Roman" w:hAnsi="Times New Roman" w:eastAsia="Times New Roman" w:cs="Times New Roman"/>
                <w:b w:val="0"/>
                <w:i w:val="0"/>
                <w:strike w:val="0"/>
                <w:color w:val="auto"/>
                <w:position w:val="-1"/>
                <w:sz w:val="22"/>
                <w:u w:val="none"/>
              </w:rPr>
              <w:t>年度绩效指标完成情况</w:t>
            </w:r>
          </w:p>
        </w:tc>
        <w:tc>
          <w:tcPr>
            <w:tcW w:w="999"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pageBreakBefore w:val="0"/>
              <w:jc w:val="center"/>
              <w:textAlignment w:val="center"/>
              <w:rPr>
                <w:color w:val="auto"/>
                <w:u w:val="none"/>
              </w:rPr>
            </w:pPr>
            <w:r>
              <w:rPr>
                <w:rFonts w:ascii="Times New Roman" w:hAnsi="Times New Roman" w:eastAsia="Times New Roman" w:cs="Times New Roman"/>
                <w:b w:val="0"/>
                <w:i w:val="0"/>
                <w:strike w:val="0"/>
                <w:color w:val="auto"/>
                <w:position w:val="-1"/>
                <w:sz w:val="22"/>
                <w:u w:val="none"/>
              </w:rPr>
              <w:t>满意度</w:t>
            </w:r>
          </w:p>
        </w:tc>
        <w:tc>
          <w:tcPr>
            <w:tcW w:w="1100" w:type="dxa"/>
            <w:tcBorders>
              <w:top w:val="single" w:color="000000" w:sz="8" w:space="0"/>
              <w:left w:val="single" w:color="000000" w:sz="8" w:space="0"/>
              <w:bottom w:val="single" w:color="000000" w:sz="8" w:space="0"/>
              <w:right w:val="single" w:color="000000" w:sz="8" w:space="0"/>
            </w:tcBorders>
            <w:shd w:val="clear" w:color="auto" w:fill="FFFFFF"/>
            <w:vAlign w:val="center"/>
          </w:tcPr>
          <w:p>
            <w:pPr>
              <w:pageBreakBefore w:val="0"/>
              <w:jc w:val="center"/>
              <w:textAlignment w:val="center"/>
              <w:rPr>
                <w:color w:val="auto"/>
                <w:u w:val="none"/>
              </w:rPr>
            </w:pPr>
            <w:r>
              <w:rPr>
                <w:rFonts w:ascii="Times New Roman" w:hAnsi="Times New Roman" w:eastAsia="Times New Roman" w:cs="Times New Roman"/>
                <w:b w:val="0"/>
                <w:i w:val="0"/>
                <w:strike w:val="0"/>
                <w:color w:val="auto"/>
                <w:position w:val="-1"/>
                <w:sz w:val="22"/>
                <w:u w:val="none"/>
              </w:rPr>
              <w:t>服务对象满意度</w:t>
            </w:r>
          </w:p>
        </w:tc>
        <w:tc>
          <w:tcPr>
            <w:tcW w:w="984" w:type="dxa"/>
            <w:tcBorders>
              <w:top w:val="single" w:color="000000" w:sz="8" w:space="0"/>
              <w:left w:val="single" w:color="000000" w:sz="8" w:space="0"/>
              <w:bottom w:val="single" w:color="000000" w:sz="8" w:space="0"/>
              <w:right w:val="single" w:color="000000" w:sz="8" w:space="0"/>
            </w:tcBorders>
            <w:shd w:val="clear" w:color="auto" w:fill="FFFFFF"/>
            <w:vAlign w:val="center"/>
          </w:tcPr>
          <w:p>
            <w:pPr>
              <w:pageBreakBefore w:val="0"/>
              <w:jc w:val="center"/>
              <w:textAlignment w:val="center"/>
              <w:rPr>
                <w:color w:val="auto"/>
                <w:u w:val="none"/>
              </w:rPr>
            </w:pPr>
            <w:r>
              <w:rPr>
                <w:rFonts w:ascii="Times New Roman" w:hAnsi="Times New Roman" w:eastAsia="Times New Roman" w:cs="Times New Roman"/>
                <w:b w:val="0"/>
                <w:i w:val="0"/>
                <w:strike w:val="0"/>
                <w:color w:val="auto"/>
                <w:position w:val="-1"/>
                <w:sz w:val="22"/>
                <w:u w:val="none"/>
              </w:rPr>
              <w:t>服务对象满意度</w:t>
            </w:r>
          </w:p>
        </w:tc>
        <w:tc>
          <w:tcPr>
            <w:tcW w:w="1150"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ageBreakBefore w:val="0"/>
              <w:jc w:val="center"/>
              <w:textAlignment w:val="center"/>
              <w:rPr>
                <w:color w:val="auto"/>
                <w:u w:val="none"/>
              </w:rPr>
            </w:pPr>
            <w:r>
              <w:rPr>
                <w:rFonts w:ascii="Times New Roman" w:hAnsi="Times New Roman" w:eastAsia="Times New Roman" w:cs="Times New Roman"/>
                <w:b w:val="0"/>
                <w:i w:val="0"/>
                <w:strike w:val="0"/>
                <w:color w:val="auto"/>
                <w:position w:val="-1"/>
                <w:sz w:val="22"/>
                <w:u w:val="none"/>
              </w:rPr>
              <w:t>大于95%</w:t>
            </w:r>
          </w:p>
        </w:tc>
        <w:tc>
          <w:tcPr>
            <w:tcW w:w="1100"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ageBreakBefore w:val="0"/>
              <w:jc w:val="center"/>
              <w:textAlignment w:val="center"/>
              <w:rPr>
                <w:color w:val="auto"/>
                <w:u w:val="none"/>
              </w:rPr>
            </w:pPr>
            <w:r>
              <w:rPr>
                <w:rFonts w:ascii="Times New Roman" w:hAnsi="Times New Roman" w:eastAsia="Times New Roman" w:cs="Times New Roman"/>
                <w:b w:val="0"/>
                <w:i w:val="0"/>
                <w:strike w:val="0"/>
                <w:color w:val="auto"/>
                <w:position w:val="-1"/>
                <w:sz w:val="22"/>
                <w:u w:val="none"/>
              </w:rPr>
              <w:t>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535"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pageBreakBefore w:val="0"/>
              <w:jc w:val="left"/>
              <w:textAlignment w:val="center"/>
              <w:rPr>
                <w:color w:val="auto"/>
                <w:u w:val="none"/>
              </w:rPr>
            </w:pPr>
            <w:r>
              <w:rPr>
                <w:rFonts w:ascii="Times New Roman" w:hAnsi="Times New Roman" w:eastAsia="Times New Roman" w:cs="Times New Roman"/>
                <w:b w:val="0"/>
                <w:i w:val="0"/>
                <w:strike w:val="0"/>
                <w:color w:val="auto"/>
                <w:position w:val="-1"/>
                <w:sz w:val="22"/>
                <w:u w:val="none"/>
              </w:rPr>
              <w:t>年度绩效指标完成情况</w:t>
            </w:r>
          </w:p>
        </w:tc>
        <w:tc>
          <w:tcPr>
            <w:tcW w:w="999"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pageBreakBefore w:val="0"/>
              <w:jc w:val="center"/>
              <w:textAlignment w:val="center"/>
              <w:rPr>
                <w:color w:val="auto"/>
                <w:u w:val="none"/>
              </w:rPr>
            </w:pPr>
            <w:r>
              <w:rPr>
                <w:rFonts w:ascii="Times New Roman" w:hAnsi="Times New Roman" w:eastAsia="Times New Roman" w:cs="Times New Roman"/>
                <w:b w:val="0"/>
                <w:i w:val="0"/>
                <w:strike w:val="0"/>
                <w:color w:val="auto"/>
                <w:position w:val="-1"/>
                <w:sz w:val="22"/>
                <w:u w:val="none"/>
              </w:rPr>
              <w:t>满意度</w:t>
            </w:r>
          </w:p>
        </w:tc>
        <w:tc>
          <w:tcPr>
            <w:tcW w:w="1100" w:type="dxa"/>
            <w:tcBorders>
              <w:top w:val="single" w:color="000000" w:sz="8" w:space="0"/>
              <w:left w:val="single" w:color="000000" w:sz="8" w:space="0"/>
              <w:bottom w:val="single" w:color="000000" w:sz="8" w:space="0"/>
              <w:right w:val="single" w:color="000000" w:sz="8" w:space="0"/>
            </w:tcBorders>
            <w:shd w:val="clear" w:color="auto" w:fill="FFFFFF"/>
            <w:vAlign w:val="center"/>
          </w:tcPr>
          <w:p>
            <w:pPr>
              <w:pageBreakBefore w:val="0"/>
              <w:jc w:val="center"/>
              <w:textAlignment w:val="center"/>
              <w:rPr>
                <w:color w:val="auto"/>
                <w:u w:val="none"/>
              </w:rPr>
            </w:pPr>
            <w:r>
              <w:rPr>
                <w:rFonts w:ascii="Times New Roman" w:hAnsi="Times New Roman" w:eastAsia="Times New Roman" w:cs="Times New Roman"/>
                <w:b w:val="0"/>
                <w:i w:val="0"/>
                <w:strike w:val="0"/>
                <w:color w:val="auto"/>
                <w:position w:val="-1"/>
                <w:sz w:val="22"/>
                <w:u w:val="none"/>
              </w:rPr>
              <w:t>其他满意度</w:t>
            </w:r>
          </w:p>
        </w:tc>
        <w:tc>
          <w:tcPr>
            <w:tcW w:w="984" w:type="dxa"/>
            <w:tcBorders>
              <w:top w:val="single" w:color="000000" w:sz="8" w:space="0"/>
              <w:left w:val="single" w:color="000000" w:sz="8" w:space="0"/>
              <w:bottom w:val="single" w:color="000000" w:sz="8" w:space="0"/>
              <w:right w:val="single" w:color="000000" w:sz="8" w:space="0"/>
            </w:tcBorders>
            <w:shd w:val="clear" w:color="auto" w:fill="FFFFFF"/>
            <w:vAlign w:val="center"/>
          </w:tcPr>
          <w:p>
            <w:pPr>
              <w:pageBreakBefore w:val="0"/>
              <w:jc w:val="center"/>
              <w:textAlignment w:val="center"/>
              <w:rPr>
                <w:color w:val="auto"/>
                <w:u w:val="none"/>
              </w:rPr>
            </w:pPr>
            <w:r>
              <w:rPr>
                <w:rFonts w:ascii="Times New Roman" w:hAnsi="Times New Roman" w:eastAsia="Times New Roman" w:cs="Times New Roman"/>
                <w:b w:val="0"/>
                <w:i w:val="0"/>
                <w:strike w:val="0"/>
                <w:color w:val="auto"/>
                <w:position w:val="-1"/>
                <w:sz w:val="22"/>
                <w:u w:val="none"/>
              </w:rPr>
              <w:t>不适用</w:t>
            </w:r>
          </w:p>
        </w:tc>
        <w:tc>
          <w:tcPr>
            <w:tcW w:w="1150"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ageBreakBefore w:val="0"/>
              <w:jc w:val="center"/>
              <w:textAlignment w:val="center"/>
              <w:rPr>
                <w:color w:val="auto"/>
                <w:u w:val="none"/>
              </w:rPr>
            </w:pPr>
            <w:r>
              <w:rPr>
                <w:rFonts w:ascii="Times New Roman" w:hAnsi="Times New Roman" w:eastAsia="Times New Roman" w:cs="Times New Roman"/>
                <w:b w:val="0"/>
                <w:i w:val="0"/>
                <w:strike w:val="0"/>
                <w:color w:val="auto"/>
                <w:position w:val="-1"/>
                <w:sz w:val="22"/>
                <w:u w:val="none"/>
              </w:rPr>
              <w:t>不适用</w:t>
            </w:r>
          </w:p>
        </w:tc>
        <w:tc>
          <w:tcPr>
            <w:tcW w:w="1100"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ageBreakBefore w:val="0"/>
              <w:jc w:val="center"/>
              <w:textAlignment w:val="center"/>
              <w:rPr>
                <w:color w:val="auto"/>
                <w:u w:val="none"/>
              </w:rPr>
            </w:pPr>
          </w:p>
        </w:tc>
      </w:tr>
    </w:tbl>
    <w:p>
      <w:pPr>
        <w:snapToGrid w:val="0"/>
        <w:spacing w:line="580" w:lineRule="exact"/>
        <w:rPr>
          <w:rFonts w:hint="eastAsia" w:ascii="仿宋_GB2312" w:eastAsia="仿宋_GB2312"/>
          <w:color w:val="auto"/>
          <w:sz w:val="32"/>
          <w:szCs w:val="32"/>
          <w:u w:val="none"/>
          <w:lang w:val="en-US" w:eastAsia="zh-CN"/>
        </w:rPr>
        <w:sectPr>
          <w:footerReference r:id="rId3" w:type="default"/>
          <w:pgSz w:w="11906" w:h="16838"/>
          <w:pgMar w:top="1440" w:right="1800" w:bottom="1440" w:left="1800" w:header="851" w:footer="992" w:gutter="0"/>
          <w:cols w:space="425" w:num="1"/>
          <w:docGrid w:type="lines" w:linePitch="312" w:charSpace="0"/>
        </w:sectPr>
      </w:pPr>
    </w:p>
    <w:p>
      <w:pPr>
        <w:tabs>
          <w:tab w:val="center" w:pos="6979"/>
        </w:tabs>
        <w:spacing w:line="620" w:lineRule="exact"/>
        <w:jc w:val="center"/>
        <w:rPr>
          <w:rFonts w:hint="eastAsia" w:ascii="方正小标宋简体" w:eastAsia="方正小标宋简体" w:cs="方正小标宋简体"/>
          <w:color w:val="auto"/>
          <w:sz w:val="30"/>
          <w:szCs w:val="30"/>
          <w:u w:val="none"/>
        </w:rPr>
      </w:pPr>
      <w:r>
        <w:rPr>
          <w:rFonts w:hint="eastAsia" w:ascii="方正小标宋简体" w:eastAsia="方正小标宋简体" w:cs="方正小标宋简体"/>
          <w:color w:val="auto"/>
          <w:sz w:val="30"/>
          <w:szCs w:val="30"/>
          <w:u w:val="none"/>
        </w:rPr>
        <w:t>部门整体支出绩效评分表</w:t>
      </w:r>
    </w:p>
    <w:tbl>
      <w:tblPr>
        <w:tblStyle w:val="6"/>
        <w:tblW w:w="1445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93"/>
        <w:gridCol w:w="377"/>
        <w:gridCol w:w="1067"/>
        <w:gridCol w:w="333"/>
        <w:gridCol w:w="1050"/>
        <w:gridCol w:w="1533"/>
        <w:gridCol w:w="950"/>
        <w:gridCol w:w="1682"/>
        <w:gridCol w:w="1268"/>
        <w:gridCol w:w="4667"/>
        <w:gridCol w:w="1061"/>
        <w:gridCol w:w="37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Before w:val="1"/>
          <w:gridAfter w:val="1"/>
          <w:wBefore w:w="93" w:type="dxa"/>
          <w:wAfter w:w="378" w:type="dxa"/>
          <w:trHeight w:val="467" w:hRule="atLeast"/>
        </w:trPr>
        <w:tc>
          <w:tcPr>
            <w:tcW w:w="5310" w:type="dxa"/>
            <w:gridSpan w:val="6"/>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ascii="黑体" w:hAnsi="宋体" w:eastAsia="黑体" w:cs="黑体"/>
                <w:i w:val="0"/>
                <w:color w:val="auto"/>
                <w:sz w:val="21"/>
                <w:szCs w:val="21"/>
                <w:u w:val="none"/>
              </w:rPr>
            </w:pPr>
            <w:r>
              <w:rPr>
                <w:rFonts w:hint="eastAsia" w:ascii="黑体" w:hAnsi="宋体" w:eastAsia="黑体" w:cs="黑体"/>
                <w:i w:val="0"/>
                <w:color w:val="auto"/>
                <w:kern w:val="0"/>
                <w:sz w:val="21"/>
                <w:szCs w:val="21"/>
                <w:u w:val="none"/>
                <w:lang w:val="en-US" w:eastAsia="zh-CN" w:bidi="ar"/>
              </w:rPr>
              <w:t>评价指标</w:t>
            </w:r>
          </w:p>
        </w:tc>
        <w:tc>
          <w:tcPr>
            <w:tcW w:w="2950" w:type="dxa"/>
            <w:gridSpan w:val="2"/>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color w:val="auto"/>
                <w:sz w:val="21"/>
                <w:szCs w:val="21"/>
                <w:u w:val="none"/>
              </w:rPr>
            </w:pPr>
            <w:r>
              <w:rPr>
                <w:rFonts w:hint="eastAsia" w:ascii="黑体" w:hAnsi="宋体" w:eastAsia="黑体" w:cs="黑体"/>
                <w:i w:val="0"/>
                <w:color w:val="auto"/>
                <w:kern w:val="0"/>
                <w:sz w:val="21"/>
                <w:szCs w:val="21"/>
                <w:u w:val="none"/>
                <w:lang w:val="en-US" w:eastAsia="zh-CN" w:bidi="ar"/>
              </w:rPr>
              <w:t>指标说明</w:t>
            </w:r>
          </w:p>
        </w:tc>
        <w:tc>
          <w:tcPr>
            <w:tcW w:w="4667"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color w:val="auto"/>
                <w:sz w:val="21"/>
                <w:szCs w:val="21"/>
                <w:u w:val="none"/>
              </w:rPr>
            </w:pPr>
            <w:r>
              <w:rPr>
                <w:rFonts w:hint="eastAsia" w:ascii="黑体" w:hAnsi="宋体" w:eastAsia="黑体" w:cs="黑体"/>
                <w:i w:val="0"/>
                <w:color w:val="auto"/>
                <w:kern w:val="0"/>
                <w:sz w:val="21"/>
                <w:szCs w:val="21"/>
                <w:u w:val="none"/>
                <w:lang w:val="en-US" w:eastAsia="zh-CN" w:bidi="ar"/>
              </w:rPr>
              <w:t>参考评分标准</w:t>
            </w:r>
          </w:p>
        </w:tc>
        <w:tc>
          <w:tcPr>
            <w:tcW w:w="1061"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color w:val="auto"/>
                <w:sz w:val="21"/>
                <w:szCs w:val="21"/>
                <w:u w:val="none"/>
              </w:rPr>
            </w:pPr>
            <w:r>
              <w:rPr>
                <w:rFonts w:hint="eastAsia" w:ascii="黑体" w:hAnsi="宋体" w:eastAsia="黑体" w:cs="黑体"/>
                <w:i w:val="0"/>
                <w:color w:val="auto"/>
                <w:kern w:val="0"/>
                <w:sz w:val="21"/>
                <w:szCs w:val="21"/>
                <w:u w:val="none"/>
                <w:lang w:val="en-US" w:eastAsia="zh-CN" w:bidi="ar"/>
              </w:rPr>
              <w:t>分数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Before w:val="1"/>
          <w:gridAfter w:val="1"/>
          <w:wBefore w:w="93" w:type="dxa"/>
          <w:wAfter w:w="378" w:type="dxa"/>
          <w:trHeight w:val="500" w:hRule="atLeast"/>
        </w:trPr>
        <w:tc>
          <w:tcPr>
            <w:tcW w:w="1444"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color w:val="auto"/>
                <w:sz w:val="21"/>
                <w:szCs w:val="21"/>
                <w:u w:val="none"/>
              </w:rPr>
            </w:pPr>
            <w:r>
              <w:rPr>
                <w:rFonts w:hint="eastAsia" w:ascii="黑体" w:hAnsi="宋体" w:eastAsia="黑体" w:cs="黑体"/>
                <w:i w:val="0"/>
                <w:color w:val="auto"/>
                <w:kern w:val="0"/>
                <w:sz w:val="21"/>
                <w:szCs w:val="21"/>
                <w:u w:val="none"/>
                <w:lang w:val="en-US" w:eastAsia="zh-CN" w:bidi="ar"/>
              </w:rPr>
              <w:t>一级指标</w:t>
            </w:r>
          </w:p>
        </w:tc>
        <w:tc>
          <w:tcPr>
            <w:tcW w:w="1383"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color w:val="auto"/>
                <w:sz w:val="21"/>
                <w:szCs w:val="21"/>
                <w:u w:val="none"/>
              </w:rPr>
            </w:pPr>
            <w:r>
              <w:rPr>
                <w:rFonts w:hint="eastAsia" w:ascii="黑体" w:hAnsi="宋体" w:eastAsia="黑体" w:cs="黑体"/>
                <w:i w:val="0"/>
                <w:color w:val="auto"/>
                <w:kern w:val="0"/>
                <w:sz w:val="21"/>
                <w:szCs w:val="21"/>
                <w:u w:val="none"/>
                <w:lang w:val="en-US" w:eastAsia="zh-CN" w:bidi="ar"/>
              </w:rPr>
              <w:t>二级指标</w:t>
            </w:r>
          </w:p>
        </w:tc>
        <w:tc>
          <w:tcPr>
            <w:tcW w:w="2483"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color w:val="auto"/>
                <w:sz w:val="21"/>
                <w:szCs w:val="21"/>
                <w:u w:val="none"/>
              </w:rPr>
            </w:pPr>
            <w:r>
              <w:rPr>
                <w:rFonts w:hint="eastAsia" w:ascii="黑体" w:hAnsi="宋体" w:eastAsia="黑体" w:cs="黑体"/>
                <w:i w:val="0"/>
                <w:color w:val="auto"/>
                <w:kern w:val="0"/>
                <w:sz w:val="21"/>
                <w:szCs w:val="21"/>
                <w:u w:val="none"/>
                <w:lang w:val="en-US" w:eastAsia="zh-CN" w:bidi="ar"/>
              </w:rPr>
              <w:t>三级指标</w:t>
            </w:r>
          </w:p>
        </w:tc>
        <w:tc>
          <w:tcPr>
            <w:tcW w:w="2950" w:type="dxa"/>
            <w:gridSpan w:val="2"/>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黑体" w:hAnsi="宋体" w:eastAsia="黑体" w:cs="黑体"/>
                <w:i w:val="0"/>
                <w:color w:val="auto"/>
                <w:sz w:val="21"/>
                <w:szCs w:val="21"/>
                <w:u w:val="none"/>
              </w:rPr>
            </w:pPr>
          </w:p>
        </w:tc>
        <w:tc>
          <w:tcPr>
            <w:tcW w:w="4667"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黑体" w:hAnsi="宋体" w:eastAsia="黑体" w:cs="黑体"/>
                <w:i w:val="0"/>
                <w:color w:val="auto"/>
                <w:sz w:val="21"/>
                <w:szCs w:val="21"/>
                <w:u w:val="none"/>
              </w:rPr>
            </w:pPr>
          </w:p>
        </w:tc>
        <w:tc>
          <w:tcPr>
            <w:tcW w:w="1061"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黑体" w:hAnsi="宋体" w:eastAsia="黑体" w:cs="黑体"/>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Before w:val="1"/>
          <w:gridAfter w:val="1"/>
          <w:wBefore w:w="93" w:type="dxa"/>
          <w:wAfter w:w="378" w:type="dxa"/>
          <w:trHeight w:val="584" w:hRule="atLeast"/>
        </w:trPr>
        <w:tc>
          <w:tcPr>
            <w:tcW w:w="377"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color w:val="auto"/>
                <w:sz w:val="21"/>
                <w:szCs w:val="21"/>
                <w:u w:val="none"/>
              </w:rPr>
            </w:pPr>
            <w:r>
              <w:rPr>
                <w:rFonts w:hint="eastAsia" w:ascii="黑体" w:hAnsi="宋体" w:eastAsia="黑体" w:cs="黑体"/>
                <w:i w:val="0"/>
                <w:color w:val="auto"/>
                <w:kern w:val="0"/>
                <w:sz w:val="21"/>
                <w:szCs w:val="21"/>
                <w:u w:val="none"/>
                <w:lang w:val="en-US" w:eastAsia="zh-CN" w:bidi="ar"/>
              </w:rPr>
              <w:t>名称</w:t>
            </w:r>
          </w:p>
        </w:tc>
        <w:tc>
          <w:tcPr>
            <w:tcW w:w="1067"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color w:val="auto"/>
                <w:sz w:val="21"/>
                <w:szCs w:val="21"/>
                <w:u w:val="none"/>
              </w:rPr>
            </w:pPr>
            <w:r>
              <w:rPr>
                <w:rFonts w:hint="eastAsia" w:ascii="黑体" w:hAnsi="宋体" w:eastAsia="黑体" w:cs="黑体"/>
                <w:i w:val="0"/>
                <w:color w:val="auto"/>
                <w:kern w:val="0"/>
                <w:sz w:val="21"/>
                <w:szCs w:val="21"/>
                <w:u w:val="none"/>
                <w:lang w:val="en-US" w:eastAsia="zh-CN" w:bidi="ar"/>
              </w:rPr>
              <w:t>参考分值</w:t>
            </w:r>
          </w:p>
        </w:tc>
        <w:tc>
          <w:tcPr>
            <w:tcW w:w="333"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color w:val="auto"/>
                <w:sz w:val="21"/>
                <w:szCs w:val="21"/>
                <w:u w:val="none"/>
              </w:rPr>
            </w:pPr>
            <w:r>
              <w:rPr>
                <w:rFonts w:hint="eastAsia" w:ascii="黑体" w:hAnsi="宋体" w:eastAsia="黑体" w:cs="黑体"/>
                <w:i w:val="0"/>
                <w:color w:val="auto"/>
                <w:kern w:val="0"/>
                <w:sz w:val="21"/>
                <w:szCs w:val="21"/>
                <w:u w:val="none"/>
                <w:lang w:val="en-US" w:eastAsia="zh-CN" w:bidi="ar"/>
              </w:rPr>
              <w:t>名称</w:t>
            </w:r>
          </w:p>
        </w:tc>
        <w:tc>
          <w:tcPr>
            <w:tcW w:w="1050"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color w:val="auto"/>
                <w:sz w:val="21"/>
                <w:szCs w:val="21"/>
                <w:u w:val="none"/>
              </w:rPr>
            </w:pPr>
            <w:r>
              <w:rPr>
                <w:rFonts w:hint="eastAsia" w:ascii="黑体" w:hAnsi="宋体" w:eastAsia="黑体" w:cs="黑体"/>
                <w:i w:val="0"/>
                <w:color w:val="auto"/>
                <w:kern w:val="0"/>
                <w:sz w:val="21"/>
                <w:szCs w:val="21"/>
                <w:u w:val="none"/>
                <w:lang w:val="en-US" w:eastAsia="zh-CN" w:bidi="ar"/>
              </w:rPr>
              <w:t>参考分值</w:t>
            </w:r>
          </w:p>
        </w:tc>
        <w:tc>
          <w:tcPr>
            <w:tcW w:w="1533"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color w:val="auto"/>
                <w:sz w:val="21"/>
                <w:szCs w:val="21"/>
                <w:u w:val="none"/>
              </w:rPr>
            </w:pPr>
            <w:r>
              <w:rPr>
                <w:rFonts w:hint="eastAsia" w:ascii="黑体" w:hAnsi="宋体" w:eastAsia="黑体" w:cs="黑体"/>
                <w:i w:val="0"/>
                <w:color w:val="auto"/>
                <w:kern w:val="0"/>
                <w:sz w:val="21"/>
                <w:szCs w:val="21"/>
                <w:u w:val="none"/>
                <w:lang w:val="en-US" w:eastAsia="zh-CN" w:bidi="ar"/>
              </w:rPr>
              <w:t>名称</w:t>
            </w:r>
          </w:p>
        </w:tc>
        <w:tc>
          <w:tcPr>
            <w:tcW w:w="950"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color w:val="auto"/>
                <w:sz w:val="21"/>
                <w:szCs w:val="21"/>
                <w:u w:val="none"/>
              </w:rPr>
            </w:pPr>
            <w:r>
              <w:rPr>
                <w:rFonts w:hint="eastAsia" w:ascii="黑体" w:hAnsi="宋体" w:eastAsia="黑体" w:cs="黑体"/>
                <w:i w:val="0"/>
                <w:color w:val="auto"/>
                <w:kern w:val="0"/>
                <w:sz w:val="21"/>
                <w:szCs w:val="21"/>
                <w:u w:val="none"/>
                <w:lang w:val="en-US" w:eastAsia="zh-CN" w:bidi="ar"/>
              </w:rPr>
              <w:t>参考分值</w:t>
            </w:r>
          </w:p>
        </w:tc>
        <w:tc>
          <w:tcPr>
            <w:tcW w:w="2950" w:type="dxa"/>
            <w:gridSpan w:val="2"/>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黑体" w:hAnsi="宋体" w:eastAsia="黑体" w:cs="黑体"/>
                <w:i w:val="0"/>
                <w:color w:val="auto"/>
                <w:sz w:val="21"/>
                <w:szCs w:val="21"/>
                <w:u w:val="none"/>
              </w:rPr>
            </w:pPr>
          </w:p>
        </w:tc>
        <w:tc>
          <w:tcPr>
            <w:tcW w:w="4667"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黑体" w:hAnsi="宋体" w:eastAsia="黑体" w:cs="黑体"/>
                <w:i w:val="0"/>
                <w:color w:val="auto"/>
                <w:sz w:val="21"/>
                <w:szCs w:val="21"/>
                <w:u w:val="none"/>
              </w:rPr>
            </w:pPr>
          </w:p>
        </w:tc>
        <w:tc>
          <w:tcPr>
            <w:tcW w:w="1061"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黑体" w:hAnsi="宋体" w:eastAsia="黑体" w:cs="黑体"/>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Before w:val="1"/>
          <w:gridAfter w:val="1"/>
          <w:wBefore w:w="93" w:type="dxa"/>
          <w:wAfter w:w="378" w:type="dxa"/>
          <w:trHeight w:val="1020" w:hRule="atLeast"/>
        </w:trPr>
        <w:tc>
          <w:tcPr>
            <w:tcW w:w="377"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部门决策</w:t>
            </w:r>
          </w:p>
        </w:tc>
        <w:tc>
          <w:tcPr>
            <w:tcW w:w="1067"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20</w:t>
            </w:r>
          </w:p>
        </w:tc>
        <w:tc>
          <w:tcPr>
            <w:tcW w:w="333"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预算编制</w:t>
            </w:r>
          </w:p>
        </w:tc>
        <w:tc>
          <w:tcPr>
            <w:tcW w:w="1050"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10</w:t>
            </w:r>
          </w:p>
        </w:tc>
        <w:tc>
          <w:tcPr>
            <w:tcW w:w="1533"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预算编制合理性</w:t>
            </w:r>
          </w:p>
        </w:tc>
        <w:tc>
          <w:tcPr>
            <w:tcW w:w="950"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5</w:t>
            </w:r>
          </w:p>
        </w:tc>
        <w:tc>
          <w:tcPr>
            <w:tcW w:w="2950"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部门（单位）预算的合理性，即是否符合本部门职责、是否符合市委市政府的方针政策和工作要求，资金有无根据项目的轻重缓急进行分配。</w:t>
            </w:r>
          </w:p>
        </w:tc>
        <w:tc>
          <w:tcPr>
            <w:tcW w:w="4667" w:type="dxa"/>
            <w:tcBorders>
              <w:top w:val="single" w:color="000000" w:sz="8" w:space="0"/>
              <w:left w:val="single" w:color="000000" w:sz="8" w:space="0"/>
              <w:bottom w:val="single" w:color="000000" w:sz="8" w:space="0"/>
              <w:right w:val="single" w:color="000000" w:sz="8" w:space="0"/>
            </w:tcBorders>
            <w:shd w:val="clear" w:color="auto" w:fill="FFFFFF"/>
            <w:vAlign w:val="top"/>
          </w:tcPr>
          <w:p>
            <w:pPr>
              <w:keepNext w:val="0"/>
              <w:keepLines w:val="0"/>
              <w:widowControl/>
              <w:suppressLineNumbers w:val="0"/>
              <w:jc w:val="left"/>
              <w:textAlignment w:val="top"/>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 xml:space="preserve">1.部门预算编制、分配符合本部门职责、符合市委市政府方针政策和工作要求（1分）； </w:t>
            </w:r>
          </w:p>
          <w:p>
            <w:pPr>
              <w:keepNext w:val="0"/>
              <w:keepLines w:val="0"/>
              <w:widowControl/>
              <w:suppressLineNumbers w:val="0"/>
              <w:jc w:val="left"/>
              <w:textAlignment w:val="top"/>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2.部门预算资金能根据年度工作重点，在不同项目、不同用途之间合理分配（1分）；</w:t>
            </w:r>
          </w:p>
          <w:p>
            <w:pPr>
              <w:keepNext w:val="0"/>
              <w:keepLines w:val="0"/>
              <w:widowControl/>
              <w:suppressLineNumbers w:val="0"/>
              <w:jc w:val="left"/>
              <w:textAlignment w:val="top"/>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3.专项资金预算编制细化程度合理，未出现因年中调剂导致部门预决算差异过大问题（1分）；</w:t>
            </w:r>
          </w:p>
          <w:p>
            <w:pPr>
              <w:keepNext w:val="0"/>
              <w:keepLines w:val="0"/>
              <w:widowControl/>
              <w:suppressLineNumbers w:val="0"/>
              <w:jc w:val="left"/>
              <w:textAlignment w:val="top"/>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 xml:space="preserve">4.功能分类和经济分类编制准确，年度中间无大量调剂，未发生项目之间频繁调剂（1分）； </w:t>
            </w:r>
          </w:p>
          <w:p>
            <w:pPr>
              <w:keepNext w:val="0"/>
              <w:keepLines w:val="0"/>
              <w:widowControl/>
              <w:suppressLineNumbers w:val="0"/>
              <w:jc w:val="left"/>
              <w:textAlignment w:val="top"/>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5.部门预算分配不固化，能根据实际情况合理调整，不存在项目支出进度慢、完成率低、绩效较差，但连年持续安排预算等不合理的情况（1分）。  </w:t>
            </w:r>
          </w:p>
        </w:tc>
        <w:tc>
          <w:tcPr>
            <w:tcW w:w="1061"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Before w:val="1"/>
          <w:gridAfter w:val="1"/>
          <w:wBefore w:w="93" w:type="dxa"/>
          <w:wAfter w:w="378" w:type="dxa"/>
          <w:trHeight w:val="1020" w:hRule="atLeast"/>
        </w:trPr>
        <w:tc>
          <w:tcPr>
            <w:tcW w:w="377"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i w:val="0"/>
                <w:color w:val="auto"/>
                <w:sz w:val="21"/>
                <w:szCs w:val="21"/>
                <w:u w:val="none"/>
              </w:rPr>
            </w:pPr>
          </w:p>
        </w:tc>
        <w:tc>
          <w:tcPr>
            <w:tcW w:w="1067"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i w:val="0"/>
                <w:color w:val="auto"/>
                <w:sz w:val="21"/>
                <w:szCs w:val="21"/>
                <w:u w:val="none"/>
              </w:rPr>
            </w:pPr>
          </w:p>
        </w:tc>
        <w:tc>
          <w:tcPr>
            <w:tcW w:w="333"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i w:val="0"/>
                <w:color w:val="auto"/>
                <w:sz w:val="21"/>
                <w:szCs w:val="21"/>
                <w:u w:val="none"/>
              </w:rPr>
            </w:pPr>
          </w:p>
        </w:tc>
        <w:tc>
          <w:tcPr>
            <w:tcW w:w="105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i w:val="0"/>
                <w:color w:val="auto"/>
                <w:sz w:val="21"/>
                <w:szCs w:val="21"/>
                <w:u w:val="none"/>
              </w:rPr>
            </w:pPr>
          </w:p>
        </w:tc>
        <w:tc>
          <w:tcPr>
            <w:tcW w:w="1533"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预算编制规范性</w:t>
            </w:r>
          </w:p>
        </w:tc>
        <w:tc>
          <w:tcPr>
            <w:tcW w:w="950"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5</w:t>
            </w:r>
          </w:p>
        </w:tc>
        <w:tc>
          <w:tcPr>
            <w:tcW w:w="2950"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部门（单位）预算编制是否符合财政部门当年度关于预算编制在规范性、完整性、细化程度等方面的原则和要求。</w:t>
            </w:r>
          </w:p>
        </w:tc>
        <w:tc>
          <w:tcPr>
            <w:tcW w:w="4667" w:type="dxa"/>
            <w:tcBorders>
              <w:top w:val="single" w:color="000000" w:sz="8" w:space="0"/>
              <w:left w:val="single" w:color="000000" w:sz="8" w:space="0"/>
              <w:bottom w:val="single" w:color="000000" w:sz="8" w:space="0"/>
              <w:right w:val="single" w:color="000000" w:sz="8" w:space="0"/>
            </w:tcBorders>
            <w:shd w:val="clear" w:color="auto" w:fill="FFFFFF"/>
            <w:vAlign w:val="top"/>
          </w:tcPr>
          <w:p>
            <w:pPr>
              <w:keepNext w:val="0"/>
              <w:keepLines w:val="0"/>
              <w:widowControl/>
              <w:suppressLineNumbers w:val="0"/>
              <w:jc w:val="left"/>
              <w:textAlignment w:val="top"/>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1.部门（单位）预算编制符合财政部门当年度关于预算编制的各项原则和要求，符合专项资金预算编制、项目库管理、新增项目事前绩效评估等要求（5分）；</w:t>
            </w:r>
          </w:p>
          <w:p>
            <w:pPr>
              <w:keepNext w:val="0"/>
              <w:keepLines w:val="0"/>
              <w:widowControl/>
              <w:suppressLineNumbers w:val="0"/>
              <w:jc w:val="left"/>
              <w:textAlignment w:val="top"/>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2.发现一项不符合的扣1分，扣完为止。本指标需对照相应年度由财政部门印发的部门预算编制工作方案、通知和有关制度文件，根据实际情况评分。</w:t>
            </w:r>
          </w:p>
        </w:tc>
        <w:tc>
          <w:tcPr>
            <w:tcW w:w="1061"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Before w:val="1"/>
          <w:gridAfter w:val="1"/>
          <w:wBefore w:w="93" w:type="dxa"/>
          <w:wAfter w:w="378" w:type="dxa"/>
          <w:trHeight w:val="1020" w:hRule="atLeast"/>
        </w:trPr>
        <w:tc>
          <w:tcPr>
            <w:tcW w:w="377"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i w:val="0"/>
                <w:color w:val="auto"/>
                <w:sz w:val="21"/>
                <w:szCs w:val="21"/>
                <w:u w:val="none"/>
              </w:rPr>
            </w:pPr>
          </w:p>
        </w:tc>
        <w:tc>
          <w:tcPr>
            <w:tcW w:w="1067"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i w:val="0"/>
                <w:color w:val="auto"/>
                <w:sz w:val="21"/>
                <w:szCs w:val="21"/>
                <w:u w:val="none"/>
              </w:rPr>
            </w:pPr>
          </w:p>
        </w:tc>
        <w:tc>
          <w:tcPr>
            <w:tcW w:w="333"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目标设置</w:t>
            </w:r>
          </w:p>
        </w:tc>
        <w:tc>
          <w:tcPr>
            <w:tcW w:w="1050"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10</w:t>
            </w:r>
          </w:p>
        </w:tc>
        <w:tc>
          <w:tcPr>
            <w:tcW w:w="1533"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绩效目标完整性</w:t>
            </w:r>
          </w:p>
        </w:tc>
        <w:tc>
          <w:tcPr>
            <w:tcW w:w="950"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3</w:t>
            </w:r>
          </w:p>
        </w:tc>
        <w:tc>
          <w:tcPr>
            <w:tcW w:w="2950"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部门（单位）是否按要求编报项目绩效目标，是否依据充分、内容完整、覆盖全面、符合实际。</w:t>
            </w:r>
          </w:p>
        </w:tc>
        <w:tc>
          <w:tcPr>
            <w:tcW w:w="4667"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both"/>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1.部门（单位）按要求编报部门整体和项目的绩效目标，实现绩效目标全覆盖（3分）；</w:t>
            </w:r>
          </w:p>
          <w:p>
            <w:pPr>
              <w:keepNext w:val="0"/>
              <w:keepLines w:val="0"/>
              <w:widowControl/>
              <w:suppressLineNumbers w:val="0"/>
              <w:jc w:val="both"/>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2.没按要求编报绩效目标或绩效目标不符合要求的，一项扣1分，扣完为止。</w:t>
            </w:r>
          </w:p>
        </w:tc>
        <w:tc>
          <w:tcPr>
            <w:tcW w:w="1061"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Before w:val="1"/>
          <w:gridAfter w:val="1"/>
          <w:wBefore w:w="93" w:type="dxa"/>
          <w:wAfter w:w="378" w:type="dxa"/>
          <w:trHeight w:val="1020" w:hRule="atLeast"/>
        </w:trPr>
        <w:tc>
          <w:tcPr>
            <w:tcW w:w="377"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i w:val="0"/>
                <w:color w:val="auto"/>
                <w:sz w:val="21"/>
                <w:szCs w:val="21"/>
                <w:u w:val="none"/>
              </w:rPr>
            </w:pPr>
          </w:p>
        </w:tc>
        <w:tc>
          <w:tcPr>
            <w:tcW w:w="1067"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i w:val="0"/>
                <w:color w:val="auto"/>
                <w:sz w:val="21"/>
                <w:szCs w:val="21"/>
                <w:u w:val="none"/>
              </w:rPr>
            </w:pPr>
          </w:p>
        </w:tc>
        <w:tc>
          <w:tcPr>
            <w:tcW w:w="333"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i w:val="0"/>
                <w:color w:val="auto"/>
                <w:sz w:val="21"/>
                <w:szCs w:val="21"/>
                <w:u w:val="none"/>
              </w:rPr>
            </w:pPr>
          </w:p>
        </w:tc>
        <w:tc>
          <w:tcPr>
            <w:tcW w:w="105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i w:val="0"/>
                <w:color w:val="auto"/>
                <w:sz w:val="21"/>
                <w:szCs w:val="21"/>
                <w:u w:val="none"/>
              </w:rPr>
            </w:pPr>
          </w:p>
        </w:tc>
        <w:tc>
          <w:tcPr>
            <w:tcW w:w="1533"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绩效指标明确性</w:t>
            </w:r>
          </w:p>
        </w:tc>
        <w:tc>
          <w:tcPr>
            <w:tcW w:w="950"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7</w:t>
            </w:r>
          </w:p>
        </w:tc>
        <w:tc>
          <w:tcPr>
            <w:tcW w:w="2950"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部门（单位）设定的绩效指标是否清晰、细化、可量化，用以反映和考核部门（单位）整体绩效目标的明细化情况。</w:t>
            </w:r>
          </w:p>
        </w:tc>
        <w:tc>
          <w:tcPr>
            <w:tcW w:w="4667"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ind w:firstLineChars="200"/>
              <w:jc w:val="both"/>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1.绩效指标将部门整体绩效目标细化分解为具体工作任务，与部门年度任务数或计划数相对应（2分）；2.绩效指标中包含能够明确体现部门（单位）履职效果的社会、经济、生态效益指标（2分）； 3.绩效指标具有清晰、可衡量的指标值（1分）； 4.绩效指标包含可量化的指标（1分）；5.绩效目标的目标值测算能提供相关依据或符合客观实际情况（1分）。</w:t>
            </w:r>
          </w:p>
        </w:tc>
        <w:tc>
          <w:tcPr>
            <w:tcW w:w="1061"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Before w:val="1"/>
          <w:gridAfter w:val="1"/>
          <w:wBefore w:w="93" w:type="dxa"/>
          <w:wAfter w:w="378" w:type="dxa"/>
          <w:trHeight w:val="1020" w:hRule="atLeast"/>
        </w:trPr>
        <w:tc>
          <w:tcPr>
            <w:tcW w:w="377"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部门管理</w:t>
            </w:r>
          </w:p>
        </w:tc>
        <w:tc>
          <w:tcPr>
            <w:tcW w:w="1067"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20</w:t>
            </w:r>
          </w:p>
        </w:tc>
        <w:tc>
          <w:tcPr>
            <w:tcW w:w="333"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资金管理</w:t>
            </w:r>
          </w:p>
        </w:tc>
        <w:tc>
          <w:tcPr>
            <w:tcW w:w="1050"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8</w:t>
            </w:r>
          </w:p>
        </w:tc>
        <w:tc>
          <w:tcPr>
            <w:tcW w:w="1533"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政府采购执行情况</w:t>
            </w:r>
          </w:p>
        </w:tc>
        <w:tc>
          <w:tcPr>
            <w:tcW w:w="950"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2</w:t>
            </w:r>
          </w:p>
        </w:tc>
        <w:tc>
          <w:tcPr>
            <w:tcW w:w="2950"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部门（单位）本年度实际政府采购金额与年度政府采购预算的比率，用以反映和考核部门（单位）政府采购预算执行情况；政府采购政策功能的执行和落实情况。</w:t>
            </w:r>
          </w:p>
        </w:tc>
        <w:tc>
          <w:tcPr>
            <w:tcW w:w="4667"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1.政府采购执行率得分=政府采购执行率×1分</w:t>
            </w:r>
          </w:p>
          <w:p>
            <w:pPr>
              <w:keepNext w:val="0"/>
              <w:keepLines w:val="0"/>
              <w:widowControl/>
              <w:suppressLineNumbers w:val="0"/>
              <w:jc w:val="left"/>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政府采购执行率=（实际采购金额合计数/采购计划金额合计数）×100%</w:t>
            </w:r>
          </w:p>
          <w:p>
            <w:pPr>
              <w:keepNext w:val="0"/>
              <w:keepLines w:val="0"/>
              <w:widowControl/>
              <w:suppressLineNumbers w:val="0"/>
              <w:jc w:val="left"/>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 xml:space="preserve">   如实际采购金额大于采购计划金额，本项得0分。</w:t>
            </w:r>
          </w:p>
          <w:p>
            <w:pPr>
              <w:keepNext w:val="0"/>
              <w:keepLines w:val="0"/>
              <w:widowControl/>
              <w:suppressLineNumbers w:val="0"/>
              <w:jc w:val="left"/>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 xml:space="preserve">   政府采购预算是指采购机关根据事业发展计划和行政任务编制的</w:t>
            </w:r>
            <w:r>
              <w:rPr>
                <w:rFonts w:hint="eastAsia" w:ascii="宋体" w:hAnsi="宋体" w:cs="宋体"/>
                <w:i w:val="0"/>
                <w:color w:val="auto"/>
                <w:kern w:val="0"/>
                <w:sz w:val="21"/>
                <w:szCs w:val="21"/>
                <w:u w:val="none"/>
                <w:lang w:val="en-US" w:eastAsia="zh-CN" w:bidi="ar"/>
              </w:rPr>
              <w:t>，</w:t>
            </w:r>
            <w:r>
              <w:rPr>
                <w:rFonts w:hint="eastAsia" w:ascii="宋体" w:hAnsi="宋体" w:eastAsia="宋体" w:cs="宋体"/>
                <w:i w:val="0"/>
                <w:color w:val="auto"/>
                <w:kern w:val="0"/>
                <w:sz w:val="21"/>
                <w:szCs w:val="21"/>
                <w:u w:val="none"/>
                <w:lang w:val="en-US" w:eastAsia="zh-CN" w:bidi="ar"/>
              </w:rPr>
              <w:t>并经过规定程序批准的年度政府采购计划。</w:t>
            </w:r>
          </w:p>
          <w:p>
            <w:pPr>
              <w:keepNext w:val="0"/>
              <w:keepLines w:val="0"/>
              <w:widowControl/>
              <w:suppressLineNumbers w:val="0"/>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2.政府采购政策功能的执行和落实情况（1分），落实不到位的酌情扣分。</w:t>
            </w:r>
          </w:p>
        </w:tc>
        <w:tc>
          <w:tcPr>
            <w:tcW w:w="1061"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Before w:val="1"/>
          <w:gridAfter w:val="1"/>
          <w:wBefore w:w="93" w:type="dxa"/>
          <w:wAfter w:w="378" w:type="dxa"/>
          <w:trHeight w:val="1020" w:hRule="atLeast"/>
        </w:trPr>
        <w:tc>
          <w:tcPr>
            <w:tcW w:w="377"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i w:val="0"/>
                <w:color w:val="auto"/>
                <w:sz w:val="21"/>
                <w:szCs w:val="21"/>
                <w:u w:val="none"/>
              </w:rPr>
            </w:pPr>
          </w:p>
        </w:tc>
        <w:tc>
          <w:tcPr>
            <w:tcW w:w="1067"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i w:val="0"/>
                <w:color w:val="auto"/>
                <w:sz w:val="21"/>
                <w:szCs w:val="21"/>
                <w:u w:val="none"/>
              </w:rPr>
            </w:pPr>
          </w:p>
        </w:tc>
        <w:tc>
          <w:tcPr>
            <w:tcW w:w="333"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i w:val="0"/>
                <w:color w:val="auto"/>
                <w:sz w:val="21"/>
                <w:szCs w:val="21"/>
                <w:u w:val="none"/>
              </w:rPr>
            </w:pPr>
          </w:p>
        </w:tc>
        <w:tc>
          <w:tcPr>
            <w:tcW w:w="105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i w:val="0"/>
                <w:color w:val="auto"/>
                <w:sz w:val="21"/>
                <w:szCs w:val="21"/>
                <w:u w:val="none"/>
              </w:rPr>
            </w:pPr>
          </w:p>
        </w:tc>
        <w:tc>
          <w:tcPr>
            <w:tcW w:w="1533"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财务合规性</w:t>
            </w:r>
          </w:p>
        </w:tc>
        <w:tc>
          <w:tcPr>
            <w:tcW w:w="950"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3</w:t>
            </w:r>
          </w:p>
        </w:tc>
        <w:tc>
          <w:tcPr>
            <w:tcW w:w="2950"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部门（单位）资金支出规范性，包括资金管理、费用支出等制度是否严格执行；资金调整、调剂是否规范；会计核算是否规范、是否存在支出依据不合规、虚列项目支出的情况；是否存在截留、挤占、挪用项目资金情况。</w:t>
            </w:r>
          </w:p>
        </w:tc>
        <w:tc>
          <w:tcPr>
            <w:tcW w:w="4667"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both"/>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1.资金支出规范性（1分）。资金管理、费用标准、支付符合有关制度规定，按事项完成进度支付资金的，得1分，否则酌情扣分。</w:t>
            </w:r>
          </w:p>
          <w:p>
            <w:pPr>
              <w:keepNext w:val="0"/>
              <w:keepLines w:val="0"/>
              <w:widowControl/>
              <w:suppressLineNumbers w:val="0"/>
              <w:jc w:val="both"/>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2.资金调整、调剂规范性（1分）。调整、调剂资金累计在本单位部门预算总规模10%以内的，得1分；超出10%的，超出一个百分点扣0.1分，直至1分扣完为止。</w:t>
            </w:r>
          </w:p>
          <w:p>
            <w:pPr>
              <w:keepNext w:val="0"/>
              <w:keepLines w:val="0"/>
              <w:widowControl/>
              <w:suppressLineNumbers w:val="0"/>
              <w:jc w:val="both"/>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3.会计核算规范性（1分）。规范执行会计核算制度得1分，未按规定设专账核算、支出凭证不符合规定或其他核算不规范，酌情扣分。</w:t>
            </w:r>
          </w:p>
          <w:p>
            <w:pPr>
              <w:keepNext w:val="0"/>
              <w:keepLines w:val="0"/>
              <w:widowControl/>
              <w:suppressLineNumbers w:val="0"/>
              <w:jc w:val="both"/>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4.发生超范围、超标准支出，虚列支出，截留、挤占、挪用资金的，以及其他不符合制度规定支出，本项指标得0分。</w:t>
            </w:r>
          </w:p>
        </w:tc>
        <w:tc>
          <w:tcPr>
            <w:tcW w:w="1061"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Before w:val="1"/>
          <w:gridAfter w:val="1"/>
          <w:wBefore w:w="93" w:type="dxa"/>
          <w:wAfter w:w="378" w:type="dxa"/>
          <w:trHeight w:val="1020" w:hRule="atLeast"/>
        </w:trPr>
        <w:tc>
          <w:tcPr>
            <w:tcW w:w="377"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i w:val="0"/>
                <w:color w:val="auto"/>
                <w:sz w:val="21"/>
                <w:szCs w:val="21"/>
                <w:u w:val="none"/>
              </w:rPr>
            </w:pPr>
          </w:p>
        </w:tc>
        <w:tc>
          <w:tcPr>
            <w:tcW w:w="1067"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i w:val="0"/>
                <w:color w:val="auto"/>
                <w:sz w:val="21"/>
                <w:szCs w:val="21"/>
                <w:u w:val="none"/>
              </w:rPr>
            </w:pPr>
          </w:p>
        </w:tc>
        <w:tc>
          <w:tcPr>
            <w:tcW w:w="333"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i w:val="0"/>
                <w:color w:val="auto"/>
                <w:sz w:val="21"/>
                <w:szCs w:val="21"/>
                <w:u w:val="none"/>
              </w:rPr>
            </w:pPr>
          </w:p>
        </w:tc>
        <w:tc>
          <w:tcPr>
            <w:tcW w:w="105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i w:val="0"/>
                <w:color w:val="auto"/>
                <w:sz w:val="21"/>
                <w:szCs w:val="21"/>
                <w:u w:val="none"/>
              </w:rPr>
            </w:pPr>
          </w:p>
        </w:tc>
        <w:tc>
          <w:tcPr>
            <w:tcW w:w="1533"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预决算信息公开</w:t>
            </w:r>
          </w:p>
        </w:tc>
        <w:tc>
          <w:tcPr>
            <w:tcW w:w="950"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3</w:t>
            </w:r>
          </w:p>
        </w:tc>
        <w:tc>
          <w:tcPr>
            <w:tcW w:w="2950"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部门（单位）在被评价年度是否按照政府信息公开有关规定公开相关预决算信息，用以反映部门（单位）预决算管理的公开透明情况。</w:t>
            </w:r>
          </w:p>
        </w:tc>
        <w:tc>
          <w:tcPr>
            <w:tcW w:w="4667"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both"/>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1.部门预算公开（1.5分），按以下标准分档计分：</w:t>
            </w:r>
          </w:p>
          <w:p>
            <w:pPr>
              <w:keepNext w:val="0"/>
              <w:keepLines w:val="0"/>
              <w:widowControl/>
              <w:suppressLineNumbers w:val="0"/>
              <w:jc w:val="both"/>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 xml:space="preserve">  （1）按规定内容、时限、范围等各项要求进行公开的，得1.5分。</w:t>
            </w:r>
          </w:p>
          <w:p>
            <w:pPr>
              <w:keepNext w:val="0"/>
              <w:keepLines w:val="0"/>
              <w:widowControl/>
              <w:suppressLineNumbers w:val="0"/>
              <w:jc w:val="both"/>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 xml:space="preserve">  （2）进行了公开，存在不符合时限、内容、范围等要求的，得1分。</w:t>
            </w:r>
          </w:p>
          <w:p>
            <w:pPr>
              <w:keepNext w:val="0"/>
              <w:keepLines w:val="0"/>
              <w:widowControl/>
              <w:suppressLineNumbers w:val="0"/>
              <w:jc w:val="both"/>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 xml:space="preserve">  （3）没有进行公开的，得0分。</w:t>
            </w:r>
          </w:p>
          <w:p>
            <w:pPr>
              <w:keepNext w:val="0"/>
              <w:keepLines w:val="0"/>
              <w:widowControl/>
              <w:suppressLineNumbers w:val="0"/>
              <w:jc w:val="both"/>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2.部门决算公开（1.5分），按以下标准分档计分：</w:t>
            </w:r>
          </w:p>
          <w:p>
            <w:pPr>
              <w:keepNext w:val="0"/>
              <w:keepLines w:val="0"/>
              <w:widowControl/>
              <w:suppressLineNumbers w:val="0"/>
              <w:jc w:val="both"/>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 xml:space="preserve">  （1）按规定内容、时限、范围等各项要求进行公开的，得1.5分。</w:t>
            </w:r>
          </w:p>
          <w:p>
            <w:pPr>
              <w:keepNext w:val="0"/>
              <w:keepLines w:val="0"/>
              <w:widowControl/>
              <w:suppressLineNumbers w:val="0"/>
              <w:jc w:val="both"/>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 xml:space="preserve">  （2）进行了公开，存在不符合时限、内容、范围等要求的，得1分。</w:t>
            </w:r>
          </w:p>
          <w:p>
            <w:pPr>
              <w:keepNext w:val="0"/>
              <w:keepLines w:val="0"/>
              <w:widowControl/>
              <w:suppressLineNumbers w:val="0"/>
              <w:jc w:val="both"/>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 xml:space="preserve">  （3）没有进行公开的，得0分。</w:t>
            </w:r>
          </w:p>
          <w:p>
            <w:pPr>
              <w:keepNext w:val="0"/>
              <w:keepLines w:val="0"/>
              <w:widowControl/>
              <w:suppressLineNumbers w:val="0"/>
              <w:jc w:val="both"/>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3.涉密部门（单位）按规定不需要公开相关预决算信息的直接得分。</w:t>
            </w:r>
          </w:p>
        </w:tc>
        <w:tc>
          <w:tcPr>
            <w:tcW w:w="1061"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Before w:val="1"/>
          <w:gridAfter w:val="1"/>
          <w:wBefore w:w="93" w:type="dxa"/>
          <w:wAfter w:w="378" w:type="dxa"/>
          <w:trHeight w:val="1020" w:hRule="atLeast"/>
        </w:trPr>
        <w:tc>
          <w:tcPr>
            <w:tcW w:w="377"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i w:val="0"/>
                <w:color w:val="auto"/>
                <w:sz w:val="21"/>
                <w:szCs w:val="21"/>
                <w:u w:val="none"/>
              </w:rPr>
            </w:pPr>
          </w:p>
        </w:tc>
        <w:tc>
          <w:tcPr>
            <w:tcW w:w="1067"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i w:val="0"/>
                <w:color w:val="auto"/>
                <w:sz w:val="21"/>
                <w:szCs w:val="21"/>
                <w:u w:val="none"/>
              </w:rPr>
            </w:pPr>
          </w:p>
        </w:tc>
        <w:tc>
          <w:tcPr>
            <w:tcW w:w="333"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项目管理</w:t>
            </w:r>
          </w:p>
        </w:tc>
        <w:tc>
          <w:tcPr>
            <w:tcW w:w="1050"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4</w:t>
            </w:r>
          </w:p>
        </w:tc>
        <w:tc>
          <w:tcPr>
            <w:tcW w:w="1533"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项目实施程序</w:t>
            </w:r>
          </w:p>
        </w:tc>
        <w:tc>
          <w:tcPr>
            <w:tcW w:w="950"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2</w:t>
            </w:r>
          </w:p>
        </w:tc>
        <w:tc>
          <w:tcPr>
            <w:tcW w:w="2950"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部门（单位）所有项目支出实施过程是否规范,包括是否符合申报条件；申报、批复程序是否符合相关管理办法；项目招投标、调整、完成验收等是否履行相应手续等。</w:t>
            </w:r>
          </w:p>
        </w:tc>
        <w:tc>
          <w:tcPr>
            <w:tcW w:w="4667"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both"/>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1.项目的设立、调整按规定履行报批程序（1分）；</w:t>
            </w:r>
          </w:p>
          <w:p>
            <w:pPr>
              <w:keepNext w:val="0"/>
              <w:keepLines w:val="0"/>
              <w:widowControl/>
              <w:suppressLineNumbers w:val="0"/>
              <w:jc w:val="both"/>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2.项目招投标、建设、验收以及方案实施均严格执行相关制度规定（1分）。</w:t>
            </w:r>
          </w:p>
        </w:tc>
        <w:tc>
          <w:tcPr>
            <w:tcW w:w="1061"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Before w:val="1"/>
          <w:gridAfter w:val="1"/>
          <w:wBefore w:w="93" w:type="dxa"/>
          <w:wAfter w:w="378" w:type="dxa"/>
          <w:trHeight w:val="1020" w:hRule="atLeast"/>
        </w:trPr>
        <w:tc>
          <w:tcPr>
            <w:tcW w:w="377"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i w:val="0"/>
                <w:color w:val="auto"/>
                <w:sz w:val="21"/>
                <w:szCs w:val="21"/>
                <w:u w:val="none"/>
              </w:rPr>
            </w:pPr>
          </w:p>
        </w:tc>
        <w:tc>
          <w:tcPr>
            <w:tcW w:w="1067"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i w:val="0"/>
                <w:color w:val="auto"/>
                <w:sz w:val="21"/>
                <w:szCs w:val="21"/>
                <w:u w:val="none"/>
              </w:rPr>
            </w:pPr>
          </w:p>
        </w:tc>
        <w:tc>
          <w:tcPr>
            <w:tcW w:w="333"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i w:val="0"/>
                <w:color w:val="auto"/>
                <w:sz w:val="21"/>
                <w:szCs w:val="21"/>
                <w:u w:val="none"/>
              </w:rPr>
            </w:pPr>
          </w:p>
        </w:tc>
        <w:tc>
          <w:tcPr>
            <w:tcW w:w="105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i w:val="0"/>
                <w:color w:val="auto"/>
                <w:sz w:val="21"/>
                <w:szCs w:val="21"/>
                <w:u w:val="none"/>
              </w:rPr>
            </w:pPr>
          </w:p>
        </w:tc>
        <w:tc>
          <w:tcPr>
            <w:tcW w:w="1533"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项目监管</w:t>
            </w:r>
          </w:p>
        </w:tc>
        <w:tc>
          <w:tcPr>
            <w:tcW w:w="950"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2</w:t>
            </w:r>
          </w:p>
        </w:tc>
        <w:tc>
          <w:tcPr>
            <w:tcW w:w="2950"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部门（单位）对所实施项目（包括部门主管的专项资金和专项经费分配给市、区实施的项目）的检查、监控、督促整改等管理情况。</w:t>
            </w:r>
          </w:p>
        </w:tc>
        <w:tc>
          <w:tcPr>
            <w:tcW w:w="4667"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both"/>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1.资金使用单位、基层资金管理单位建立有效资金管理和绩效运行监控机制，且执行情况良好（1分）；</w:t>
            </w:r>
          </w:p>
          <w:p>
            <w:pPr>
              <w:keepNext w:val="0"/>
              <w:keepLines w:val="0"/>
              <w:widowControl/>
              <w:suppressLineNumbers w:val="0"/>
              <w:jc w:val="both"/>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2.各主管部门按规定对主管的财政资金（含专项资金和专项经费）开展有效的检查、监控、督促整改（1分），如无法提供开展检查监督相关证明材料，或被评价年度部门主管的专项资金绩效评价结果为差的，得0分。</w:t>
            </w:r>
          </w:p>
        </w:tc>
        <w:tc>
          <w:tcPr>
            <w:tcW w:w="1061"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Before w:val="1"/>
          <w:gridAfter w:val="1"/>
          <w:wBefore w:w="93" w:type="dxa"/>
          <w:wAfter w:w="378" w:type="dxa"/>
          <w:trHeight w:val="1020" w:hRule="atLeast"/>
        </w:trPr>
        <w:tc>
          <w:tcPr>
            <w:tcW w:w="377"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i w:val="0"/>
                <w:color w:val="auto"/>
                <w:sz w:val="21"/>
                <w:szCs w:val="21"/>
                <w:u w:val="none"/>
              </w:rPr>
            </w:pPr>
          </w:p>
        </w:tc>
        <w:tc>
          <w:tcPr>
            <w:tcW w:w="1067"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i w:val="0"/>
                <w:color w:val="auto"/>
                <w:sz w:val="21"/>
                <w:szCs w:val="21"/>
                <w:u w:val="none"/>
              </w:rPr>
            </w:pPr>
          </w:p>
        </w:tc>
        <w:tc>
          <w:tcPr>
            <w:tcW w:w="333"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资产管理</w:t>
            </w:r>
          </w:p>
        </w:tc>
        <w:tc>
          <w:tcPr>
            <w:tcW w:w="1050"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3</w:t>
            </w:r>
          </w:p>
        </w:tc>
        <w:tc>
          <w:tcPr>
            <w:tcW w:w="1533"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资产管理安全性</w:t>
            </w:r>
          </w:p>
        </w:tc>
        <w:tc>
          <w:tcPr>
            <w:tcW w:w="950"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2</w:t>
            </w:r>
          </w:p>
        </w:tc>
        <w:tc>
          <w:tcPr>
            <w:tcW w:w="2950"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部门（单位）的资产是否保存完整、使用合规、配置合理、处置规范、收入及时足额上缴，用于反映和考核部门（单位）资产安全运行情况。</w:t>
            </w:r>
          </w:p>
        </w:tc>
        <w:tc>
          <w:tcPr>
            <w:tcW w:w="4667"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both"/>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1.资产配置合理、保管完整，账实相符（1分）；</w:t>
            </w:r>
          </w:p>
          <w:p>
            <w:pPr>
              <w:keepNext w:val="0"/>
              <w:keepLines w:val="0"/>
              <w:widowControl/>
              <w:suppressLineNumbers w:val="0"/>
              <w:jc w:val="both"/>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2.资产处置规范，有偿使用及处置收入及时足额上缴（1分）。</w:t>
            </w:r>
          </w:p>
        </w:tc>
        <w:tc>
          <w:tcPr>
            <w:tcW w:w="1061"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Before w:val="1"/>
          <w:gridAfter w:val="1"/>
          <w:wBefore w:w="93" w:type="dxa"/>
          <w:wAfter w:w="378" w:type="dxa"/>
          <w:trHeight w:val="1020" w:hRule="atLeast"/>
        </w:trPr>
        <w:tc>
          <w:tcPr>
            <w:tcW w:w="377"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i w:val="0"/>
                <w:color w:val="auto"/>
                <w:sz w:val="21"/>
                <w:szCs w:val="21"/>
                <w:u w:val="none"/>
              </w:rPr>
            </w:pPr>
          </w:p>
        </w:tc>
        <w:tc>
          <w:tcPr>
            <w:tcW w:w="1067"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i w:val="0"/>
                <w:color w:val="auto"/>
                <w:sz w:val="21"/>
                <w:szCs w:val="21"/>
                <w:u w:val="none"/>
              </w:rPr>
            </w:pPr>
          </w:p>
        </w:tc>
        <w:tc>
          <w:tcPr>
            <w:tcW w:w="333"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i w:val="0"/>
                <w:color w:val="auto"/>
                <w:sz w:val="21"/>
                <w:szCs w:val="21"/>
                <w:u w:val="none"/>
              </w:rPr>
            </w:pPr>
          </w:p>
        </w:tc>
        <w:tc>
          <w:tcPr>
            <w:tcW w:w="105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i w:val="0"/>
                <w:color w:val="auto"/>
                <w:sz w:val="21"/>
                <w:szCs w:val="21"/>
                <w:u w:val="none"/>
              </w:rPr>
            </w:pPr>
          </w:p>
        </w:tc>
        <w:tc>
          <w:tcPr>
            <w:tcW w:w="1533"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固定资产利用率</w:t>
            </w:r>
          </w:p>
        </w:tc>
        <w:tc>
          <w:tcPr>
            <w:tcW w:w="950"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w:t>
            </w:r>
          </w:p>
        </w:tc>
        <w:tc>
          <w:tcPr>
            <w:tcW w:w="2950"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部门（单位）实际在用固定资产总额与所有固定资产总额的比例，用以反映和考核部门（单位）固定资产使用效率程度。</w:t>
            </w:r>
          </w:p>
        </w:tc>
        <w:tc>
          <w:tcPr>
            <w:tcW w:w="4667"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ind w:firstLineChars="200"/>
              <w:jc w:val="both"/>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固定资产利用率=（实际在用固定资产总额/所有固定资产总额）×100%</w:t>
            </w:r>
          </w:p>
          <w:p>
            <w:pPr>
              <w:keepNext w:val="0"/>
              <w:keepLines w:val="0"/>
              <w:widowControl/>
              <w:suppressLineNumbers w:val="0"/>
              <w:ind w:firstLineChars="200"/>
              <w:jc w:val="both"/>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 xml:space="preserve">  1.固定资产利用率≥90%的，得1分； </w:t>
            </w:r>
          </w:p>
          <w:p>
            <w:pPr>
              <w:keepNext w:val="0"/>
              <w:keepLines w:val="0"/>
              <w:widowControl/>
              <w:suppressLineNumbers w:val="0"/>
              <w:ind w:firstLineChars="200"/>
              <w:jc w:val="both"/>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 xml:space="preserve">  2.90%＞固定资产利用率≥75%的，得0.7分；</w:t>
            </w:r>
          </w:p>
          <w:p>
            <w:pPr>
              <w:keepNext w:val="0"/>
              <w:keepLines w:val="0"/>
              <w:widowControl/>
              <w:suppressLineNumbers w:val="0"/>
              <w:ind w:firstLineChars="200"/>
              <w:jc w:val="both"/>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 xml:space="preserve">  3.75%＞固定资产利用率≥60%的，得0.4分；</w:t>
            </w:r>
          </w:p>
          <w:p>
            <w:pPr>
              <w:keepNext w:val="0"/>
              <w:keepLines w:val="0"/>
              <w:widowControl/>
              <w:suppressLineNumbers w:val="0"/>
              <w:ind w:firstLineChars="200"/>
              <w:jc w:val="both"/>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  4.固定资产利用率＜60%的，得0分。</w:t>
            </w:r>
          </w:p>
        </w:tc>
        <w:tc>
          <w:tcPr>
            <w:tcW w:w="1061"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Before w:val="1"/>
          <w:gridAfter w:val="1"/>
          <w:wBefore w:w="93" w:type="dxa"/>
          <w:wAfter w:w="378" w:type="dxa"/>
          <w:trHeight w:val="1020" w:hRule="atLeast"/>
        </w:trPr>
        <w:tc>
          <w:tcPr>
            <w:tcW w:w="377"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i w:val="0"/>
                <w:color w:val="auto"/>
                <w:sz w:val="21"/>
                <w:szCs w:val="21"/>
                <w:u w:val="none"/>
              </w:rPr>
            </w:pPr>
          </w:p>
        </w:tc>
        <w:tc>
          <w:tcPr>
            <w:tcW w:w="1067"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i w:val="0"/>
                <w:color w:val="auto"/>
                <w:sz w:val="21"/>
                <w:szCs w:val="21"/>
                <w:u w:val="none"/>
              </w:rPr>
            </w:pPr>
          </w:p>
        </w:tc>
        <w:tc>
          <w:tcPr>
            <w:tcW w:w="333"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人员管理</w:t>
            </w:r>
          </w:p>
        </w:tc>
        <w:tc>
          <w:tcPr>
            <w:tcW w:w="1050"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2</w:t>
            </w:r>
          </w:p>
        </w:tc>
        <w:tc>
          <w:tcPr>
            <w:tcW w:w="1533"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财政供养人员控制率</w:t>
            </w:r>
          </w:p>
        </w:tc>
        <w:tc>
          <w:tcPr>
            <w:tcW w:w="950"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w:t>
            </w:r>
          </w:p>
        </w:tc>
        <w:tc>
          <w:tcPr>
            <w:tcW w:w="2950"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部门（单位）本年度在编人数（含工勤人员）与核定编制数（含工勤人员）的比率。</w:t>
            </w:r>
          </w:p>
        </w:tc>
        <w:tc>
          <w:tcPr>
            <w:tcW w:w="4667"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ind w:firstLineChars="200"/>
              <w:jc w:val="both"/>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财政供养人员控制率=本年度在编人数（含工勤人员）/核定编制数（含工勤人员）</w:t>
            </w:r>
          </w:p>
          <w:p>
            <w:pPr>
              <w:keepNext w:val="0"/>
              <w:keepLines w:val="0"/>
              <w:widowControl/>
              <w:suppressLineNumbers w:val="0"/>
              <w:ind w:firstLineChars="200"/>
              <w:jc w:val="both"/>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 xml:space="preserve">   1.财政供养人员控制率≤100%的，得1分；</w:t>
            </w:r>
          </w:p>
          <w:p>
            <w:pPr>
              <w:keepNext w:val="0"/>
              <w:keepLines w:val="0"/>
              <w:widowControl/>
              <w:suppressLineNumbers w:val="0"/>
              <w:ind w:firstLineChars="200"/>
              <w:jc w:val="both"/>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   2.财政供养人员控制率＞100%的，得0分。</w:t>
            </w:r>
          </w:p>
        </w:tc>
        <w:tc>
          <w:tcPr>
            <w:tcW w:w="1061"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Before w:val="1"/>
          <w:gridAfter w:val="1"/>
          <w:wBefore w:w="93" w:type="dxa"/>
          <w:wAfter w:w="378" w:type="dxa"/>
          <w:trHeight w:val="1020" w:hRule="atLeast"/>
        </w:trPr>
        <w:tc>
          <w:tcPr>
            <w:tcW w:w="377"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i w:val="0"/>
                <w:color w:val="auto"/>
                <w:sz w:val="21"/>
                <w:szCs w:val="21"/>
                <w:u w:val="none"/>
              </w:rPr>
            </w:pPr>
          </w:p>
        </w:tc>
        <w:tc>
          <w:tcPr>
            <w:tcW w:w="1067"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i w:val="0"/>
                <w:color w:val="auto"/>
                <w:sz w:val="21"/>
                <w:szCs w:val="21"/>
                <w:u w:val="none"/>
              </w:rPr>
            </w:pPr>
          </w:p>
        </w:tc>
        <w:tc>
          <w:tcPr>
            <w:tcW w:w="333"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i w:val="0"/>
                <w:color w:val="auto"/>
                <w:sz w:val="21"/>
                <w:szCs w:val="21"/>
                <w:u w:val="none"/>
              </w:rPr>
            </w:pPr>
          </w:p>
        </w:tc>
        <w:tc>
          <w:tcPr>
            <w:tcW w:w="105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i w:val="0"/>
                <w:color w:val="auto"/>
                <w:sz w:val="21"/>
                <w:szCs w:val="21"/>
                <w:u w:val="none"/>
              </w:rPr>
            </w:pPr>
          </w:p>
        </w:tc>
        <w:tc>
          <w:tcPr>
            <w:tcW w:w="1533"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编外人员控制率</w:t>
            </w:r>
          </w:p>
        </w:tc>
        <w:tc>
          <w:tcPr>
            <w:tcW w:w="950"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w:t>
            </w:r>
          </w:p>
        </w:tc>
        <w:tc>
          <w:tcPr>
            <w:tcW w:w="2950"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部门（单位）本年度使用劳务派遣人员数量（含直接聘用的编外人员）与在职人员总数（在编+编外）的比率。</w:t>
            </w:r>
          </w:p>
        </w:tc>
        <w:tc>
          <w:tcPr>
            <w:tcW w:w="4667"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ind w:firstLineChars="200"/>
              <w:jc w:val="both"/>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1.比率＜5%的，得1分；</w:t>
            </w:r>
          </w:p>
          <w:p>
            <w:pPr>
              <w:keepNext w:val="0"/>
              <w:keepLines w:val="0"/>
              <w:widowControl/>
              <w:suppressLineNumbers w:val="0"/>
              <w:ind w:firstLineChars="200"/>
              <w:jc w:val="both"/>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2.5%≤比率≤10%的，得0.5分；</w:t>
            </w:r>
          </w:p>
          <w:p>
            <w:pPr>
              <w:keepNext w:val="0"/>
              <w:keepLines w:val="0"/>
              <w:widowControl/>
              <w:suppressLineNumbers w:val="0"/>
              <w:ind w:firstLineChars="200"/>
              <w:jc w:val="both"/>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3.比率＞10%的，得0分。</w:t>
            </w:r>
          </w:p>
        </w:tc>
        <w:tc>
          <w:tcPr>
            <w:tcW w:w="1061"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Before w:val="1"/>
          <w:gridAfter w:val="1"/>
          <w:wBefore w:w="93" w:type="dxa"/>
          <w:wAfter w:w="378" w:type="dxa"/>
          <w:trHeight w:val="1020" w:hRule="atLeast"/>
        </w:trPr>
        <w:tc>
          <w:tcPr>
            <w:tcW w:w="377"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i w:val="0"/>
                <w:color w:val="auto"/>
                <w:sz w:val="21"/>
                <w:szCs w:val="21"/>
                <w:u w:val="none"/>
              </w:rPr>
            </w:pPr>
          </w:p>
        </w:tc>
        <w:tc>
          <w:tcPr>
            <w:tcW w:w="1067"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i w:val="0"/>
                <w:color w:val="auto"/>
                <w:sz w:val="21"/>
                <w:szCs w:val="21"/>
                <w:u w:val="none"/>
              </w:rPr>
            </w:pPr>
          </w:p>
        </w:tc>
        <w:tc>
          <w:tcPr>
            <w:tcW w:w="333"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制度管理</w:t>
            </w:r>
          </w:p>
        </w:tc>
        <w:tc>
          <w:tcPr>
            <w:tcW w:w="1050"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3</w:t>
            </w:r>
          </w:p>
        </w:tc>
        <w:tc>
          <w:tcPr>
            <w:tcW w:w="1533"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管理制度健全性</w:t>
            </w:r>
          </w:p>
        </w:tc>
        <w:tc>
          <w:tcPr>
            <w:tcW w:w="950"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3</w:t>
            </w:r>
          </w:p>
        </w:tc>
        <w:tc>
          <w:tcPr>
            <w:tcW w:w="2950"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部门（单位）制定了相应的预算资金、财务管理和预算绩效管理等制度并严格执行，用以反映部门（单位）的管理制度对其完成主要职责和促进事业发展的保障情况。</w:t>
            </w:r>
          </w:p>
        </w:tc>
        <w:tc>
          <w:tcPr>
            <w:tcW w:w="4667" w:type="dxa"/>
            <w:tcBorders>
              <w:top w:val="single" w:color="000000" w:sz="8" w:space="0"/>
              <w:left w:val="single" w:color="000000" w:sz="8" w:space="0"/>
              <w:bottom w:val="single" w:color="000000" w:sz="8" w:space="0"/>
              <w:right w:val="single" w:color="000000" w:sz="8" w:space="0"/>
            </w:tcBorders>
            <w:shd w:val="clear" w:color="auto" w:fill="FFFFFF"/>
            <w:vAlign w:val="top"/>
          </w:tcPr>
          <w:p>
            <w:pPr>
              <w:keepNext w:val="0"/>
              <w:keepLines w:val="0"/>
              <w:widowControl/>
              <w:suppressLineNumbers w:val="0"/>
              <w:jc w:val="left"/>
              <w:textAlignment w:val="top"/>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1.部门制定了财政资金管理、财务管理、内部控制等制度（0.5分）；</w:t>
            </w:r>
          </w:p>
          <w:p>
            <w:pPr>
              <w:keepNext w:val="0"/>
              <w:keepLines w:val="0"/>
              <w:widowControl/>
              <w:suppressLineNumbers w:val="0"/>
              <w:jc w:val="left"/>
              <w:textAlignment w:val="top"/>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2.上述财政资金管理、财务管理、内部控制等制度得到有效执行（1.5分）；</w:t>
            </w:r>
          </w:p>
          <w:p>
            <w:pPr>
              <w:keepNext w:val="0"/>
              <w:keepLines w:val="0"/>
              <w:widowControl/>
              <w:suppressLineNumbers w:val="0"/>
              <w:jc w:val="left"/>
              <w:textAlignment w:val="top"/>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3.部门按照预算和绩效管理一体化的要求制定本部门全面实施预算绩效管理的制度或工作方案，组织指导本级及下属单位开展事前评估、绩效目标编报、绩效监控、绩效评价和评价结果应用等工作（1分）。</w:t>
            </w:r>
          </w:p>
        </w:tc>
        <w:tc>
          <w:tcPr>
            <w:tcW w:w="1061"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Before w:val="1"/>
          <w:gridAfter w:val="1"/>
          <w:wBefore w:w="93" w:type="dxa"/>
          <w:wAfter w:w="378" w:type="dxa"/>
          <w:trHeight w:val="1020" w:hRule="atLeast"/>
        </w:trPr>
        <w:tc>
          <w:tcPr>
            <w:tcW w:w="377"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部门绩效</w:t>
            </w:r>
          </w:p>
        </w:tc>
        <w:tc>
          <w:tcPr>
            <w:tcW w:w="1067"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60</w:t>
            </w:r>
          </w:p>
        </w:tc>
        <w:tc>
          <w:tcPr>
            <w:tcW w:w="333"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经济性</w:t>
            </w:r>
          </w:p>
        </w:tc>
        <w:tc>
          <w:tcPr>
            <w:tcW w:w="1050"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6</w:t>
            </w:r>
          </w:p>
        </w:tc>
        <w:tc>
          <w:tcPr>
            <w:tcW w:w="1533"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公用经费控制率</w:t>
            </w:r>
          </w:p>
        </w:tc>
        <w:tc>
          <w:tcPr>
            <w:tcW w:w="950"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6</w:t>
            </w:r>
          </w:p>
        </w:tc>
        <w:tc>
          <w:tcPr>
            <w:tcW w:w="2950"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部门（单位）本年度实际支出的公用经费总额与预算安排的公用经费总额的比率，用以反映和考核部门（单位）对机构运转成本的实际控制程度。</w:t>
            </w:r>
          </w:p>
        </w:tc>
        <w:tc>
          <w:tcPr>
            <w:tcW w:w="4667"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1.“三公”经费控制率=“三公”经费实际支出数/“三公”经费预算安排数×100%</w:t>
            </w:r>
          </w:p>
          <w:p>
            <w:pPr>
              <w:keepNext w:val="0"/>
              <w:keepLines w:val="0"/>
              <w:widowControl/>
              <w:suppressLineNumbers w:val="0"/>
              <w:jc w:val="left"/>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（1）“三公”经费控制率＜90%的，得3分；</w:t>
            </w:r>
          </w:p>
          <w:p>
            <w:pPr>
              <w:keepNext w:val="0"/>
              <w:keepLines w:val="0"/>
              <w:widowControl/>
              <w:suppressLineNumbers w:val="0"/>
              <w:jc w:val="left"/>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（2）90%≤“三公”经费控制率≤100%的，得2分；</w:t>
            </w:r>
          </w:p>
          <w:p>
            <w:pPr>
              <w:keepNext w:val="0"/>
              <w:keepLines w:val="0"/>
              <w:widowControl/>
              <w:suppressLineNumbers w:val="0"/>
              <w:jc w:val="left"/>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（3）“三公”经费控制率＞100%的，得0分。</w:t>
            </w:r>
          </w:p>
          <w:p>
            <w:pPr>
              <w:keepNext w:val="0"/>
              <w:keepLines w:val="0"/>
              <w:widowControl/>
              <w:suppressLineNumbers w:val="0"/>
              <w:jc w:val="left"/>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2. 日常公用经费控制率=日常公用经费决算数/日常公用经费调整预算数×100%</w:t>
            </w:r>
          </w:p>
          <w:p>
            <w:pPr>
              <w:keepNext w:val="0"/>
              <w:keepLines w:val="0"/>
              <w:widowControl/>
              <w:suppressLineNumbers w:val="0"/>
              <w:jc w:val="left"/>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（1）日常公用经费控制率＜90%的，得3分；</w:t>
            </w:r>
          </w:p>
          <w:p>
            <w:pPr>
              <w:keepNext w:val="0"/>
              <w:keepLines w:val="0"/>
              <w:widowControl/>
              <w:suppressLineNumbers w:val="0"/>
              <w:jc w:val="left"/>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（2）90%≤日常公用经费控制率≤100%的，得2分；</w:t>
            </w:r>
          </w:p>
          <w:p>
            <w:pPr>
              <w:keepNext w:val="0"/>
              <w:keepLines w:val="0"/>
              <w:widowControl/>
              <w:suppressLineNumbers w:val="0"/>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（3）日常公用经费控制率＞100%的，得0分。</w:t>
            </w:r>
          </w:p>
        </w:tc>
        <w:tc>
          <w:tcPr>
            <w:tcW w:w="1061"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Before w:val="1"/>
          <w:gridAfter w:val="1"/>
          <w:wBefore w:w="93" w:type="dxa"/>
          <w:wAfter w:w="378" w:type="dxa"/>
          <w:trHeight w:val="1020" w:hRule="atLeast"/>
        </w:trPr>
        <w:tc>
          <w:tcPr>
            <w:tcW w:w="377"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i w:val="0"/>
                <w:color w:val="auto"/>
                <w:sz w:val="21"/>
                <w:szCs w:val="21"/>
                <w:u w:val="none"/>
              </w:rPr>
            </w:pPr>
          </w:p>
        </w:tc>
        <w:tc>
          <w:tcPr>
            <w:tcW w:w="1067"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i w:val="0"/>
                <w:color w:val="auto"/>
                <w:sz w:val="21"/>
                <w:szCs w:val="21"/>
                <w:u w:val="none"/>
              </w:rPr>
            </w:pPr>
          </w:p>
        </w:tc>
        <w:tc>
          <w:tcPr>
            <w:tcW w:w="333"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效率性</w:t>
            </w:r>
          </w:p>
        </w:tc>
        <w:tc>
          <w:tcPr>
            <w:tcW w:w="1050"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20</w:t>
            </w:r>
          </w:p>
        </w:tc>
        <w:tc>
          <w:tcPr>
            <w:tcW w:w="1533"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预算执行率</w:t>
            </w:r>
          </w:p>
        </w:tc>
        <w:tc>
          <w:tcPr>
            <w:tcW w:w="950"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6</w:t>
            </w:r>
          </w:p>
        </w:tc>
        <w:tc>
          <w:tcPr>
            <w:tcW w:w="2950"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部门（单位）部门预算实际支付进度和既定支付进度的匹配情况，反映和考核部门（单位）预算执行的及时性和均衡性。</w:t>
            </w:r>
          </w:p>
        </w:tc>
        <w:tc>
          <w:tcPr>
            <w:tcW w:w="4667"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1.一季度预算执行率得分=（一季度部门预算支出进度/序时进度25%）×1分</w:t>
            </w:r>
          </w:p>
          <w:p>
            <w:pPr>
              <w:keepNext w:val="0"/>
              <w:keepLines w:val="0"/>
              <w:widowControl/>
              <w:suppressLineNumbers w:val="0"/>
              <w:jc w:val="left"/>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2.二季度预算执行率得分=（二季度部门预算支出进度/序时进度50%）×1分</w:t>
            </w:r>
          </w:p>
          <w:p>
            <w:pPr>
              <w:keepNext w:val="0"/>
              <w:keepLines w:val="0"/>
              <w:widowControl/>
              <w:suppressLineNumbers w:val="0"/>
              <w:jc w:val="left"/>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3.三季度预算执行率得分=（三季度部门预算支出进度/序时进度75%）×1分</w:t>
            </w:r>
          </w:p>
          <w:p>
            <w:pPr>
              <w:keepNext w:val="0"/>
              <w:keepLines w:val="0"/>
              <w:widowControl/>
              <w:suppressLineNumbers w:val="0"/>
              <w:jc w:val="left"/>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4.四季度预算执行率得分=（四季度部门预算支出进度/序时进度100%）×1分</w:t>
            </w:r>
          </w:p>
          <w:p>
            <w:pPr>
              <w:keepNext w:val="0"/>
              <w:keepLines w:val="0"/>
              <w:widowControl/>
              <w:suppressLineNumbers w:val="0"/>
              <w:jc w:val="left"/>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5.全年平均支出进度得分=全年平均执行率×2分</w:t>
            </w:r>
          </w:p>
          <w:p>
            <w:pPr>
              <w:keepNext w:val="0"/>
              <w:keepLines w:val="0"/>
              <w:widowControl/>
              <w:suppressLineNumbers w:val="0"/>
              <w:jc w:val="left"/>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 xml:space="preserve">  其中：全年平均执行率=∑（每个季度的执行率）÷4</w:t>
            </w:r>
          </w:p>
          <w:p>
            <w:pPr>
              <w:keepNext w:val="0"/>
              <w:keepLines w:val="0"/>
              <w:widowControl/>
              <w:suppressLineNumbers w:val="0"/>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季度支出进度=季度末月份累计支出进度（即3、6、9、12月月末支出进度）</w:t>
            </w:r>
          </w:p>
        </w:tc>
        <w:tc>
          <w:tcPr>
            <w:tcW w:w="1061"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5.95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Before w:val="1"/>
          <w:gridAfter w:val="1"/>
          <w:wBefore w:w="93" w:type="dxa"/>
          <w:wAfter w:w="378" w:type="dxa"/>
          <w:trHeight w:val="1020" w:hRule="atLeast"/>
        </w:trPr>
        <w:tc>
          <w:tcPr>
            <w:tcW w:w="377"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i w:val="0"/>
                <w:color w:val="auto"/>
                <w:sz w:val="21"/>
                <w:szCs w:val="21"/>
                <w:u w:val="none"/>
              </w:rPr>
            </w:pPr>
          </w:p>
        </w:tc>
        <w:tc>
          <w:tcPr>
            <w:tcW w:w="1067"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i w:val="0"/>
                <w:color w:val="auto"/>
                <w:sz w:val="21"/>
                <w:szCs w:val="21"/>
                <w:u w:val="none"/>
              </w:rPr>
            </w:pPr>
          </w:p>
        </w:tc>
        <w:tc>
          <w:tcPr>
            <w:tcW w:w="333"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i w:val="0"/>
                <w:color w:val="auto"/>
                <w:sz w:val="21"/>
                <w:szCs w:val="21"/>
                <w:u w:val="none"/>
              </w:rPr>
            </w:pPr>
          </w:p>
        </w:tc>
        <w:tc>
          <w:tcPr>
            <w:tcW w:w="105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i w:val="0"/>
                <w:color w:val="auto"/>
                <w:sz w:val="21"/>
                <w:szCs w:val="21"/>
                <w:u w:val="none"/>
              </w:rPr>
            </w:pPr>
          </w:p>
        </w:tc>
        <w:tc>
          <w:tcPr>
            <w:tcW w:w="1533"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重点工作完成情况</w:t>
            </w:r>
          </w:p>
        </w:tc>
        <w:tc>
          <w:tcPr>
            <w:tcW w:w="950"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8</w:t>
            </w:r>
          </w:p>
        </w:tc>
        <w:tc>
          <w:tcPr>
            <w:tcW w:w="2950"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部门（单位）完成党委、政府、人大和上级部门下达或交办的重要事项或工作的完成情况，反映部门对重点工作的办理落实程度。</w:t>
            </w:r>
          </w:p>
        </w:tc>
        <w:tc>
          <w:tcPr>
            <w:tcW w:w="4667"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重点工作是指中央和省相关部门、市委、市政府、市人大交办或下达的工作任务。全部按期保质保量完成得8分；一项重点工作没有完成扣4分，扣完为止。</w:t>
            </w:r>
          </w:p>
          <w:p>
            <w:pPr>
              <w:keepNext w:val="0"/>
              <w:keepLines w:val="0"/>
              <w:widowControl/>
              <w:suppressLineNumbers w:val="0"/>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注：重点工作完成情况可以参考市委市政府督查部门或其他权威部门的统计数据（如有）。</w:t>
            </w:r>
          </w:p>
        </w:tc>
        <w:tc>
          <w:tcPr>
            <w:tcW w:w="1061"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Before w:val="1"/>
          <w:gridAfter w:val="1"/>
          <w:wBefore w:w="93" w:type="dxa"/>
          <w:wAfter w:w="378" w:type="dxa"/>
          <w:trHeight w:val="1020" w:hRule="atLeast"/>
        </w:trPr>
        <w:tc>
          <w:tcPr>
            <w:tcW w:w="377"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i w:val="0"/>
                <w:color w:val="auto"/>
                <w:sz w:val="21"/>
                <w:szCs w:val="21"/>
                <w:u w:val="none"/>
              </w:rPr>
            </w:pPr>
          </w:p>
        </w:tc>
        <w:tc>
          <w:tcPr>
            <w:tcW w:w="1067"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i w:val="0"/>
                <w:color w:val="auto"/>
                <w:sz w:val="21"/>
                <w:szCs w:val="21"/>
                <w:u w:val="none"/>
              </w:rPr>
            </w:pPr>
          </w:p>
        </w:tc>
        <w:tc>
          <w:tcPr>
            <w:tcW w:w="333"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i w:val="0"/>
                <w:color w:val="auto"/>
                <w:sz w:val="21"/>
                <w:szCs w:val="21"/>
                <w:u w:val="none"/>
              </w:rPr>
            </w:pPr>
          </w:p>
        </w:tc>
        <w:tc>
          <w:tcPr>
            <w:tcW w:w="105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i w:val="0"/>
                <w:color w:val="auto"/>
                <w:sz w:val="21"/>
                <w:szCs w:val="21"/>
                <w:u w:val="none"/>
              </w:rPr>
            </w:pPr>
          </w:p>
        </w:tc>
        <w:tc>
          <w:tcPr>
            <w:tcW w:w="1533"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项目完成及时性</w:t>
            </w:r>
          </w:p>
        </w:tc>
        <w:tc>
          <w:tcPr>
            <w:tcW w:w="950"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6</w:t>
            </w:r>
          </w:p>
        </w:tc>
        <w:tc>
          <w:tcPr>
            <w:tcW w:w="2950"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部门（单位）项目完成情况与预期时间对比的情况。</w:t>
            </w:r>
          </w:p>
        </w:tc>
        <w:tc>
          <w:tcPr>
            <w:tcW w:w="4667"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1.所有部门预算安排的项目均按计划时间完成（6分）；</w:t>
            </w:r>
          </w:p>
          <w:p>
            <w:pPr>
              <w:keepNext w:val="0"/>
              <w:keepLines w:val="0"/>
              <w:widowControl/>
              <w:suppressLineNumbers w:val="0"/>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2.部分项目未按计划时间完成的，本指标得分=已完成项目数/计划完成项目总数×6分。</w:t>
            </w:r>
          </w:p>
        </w:tc>
        <w:tc>
          <w:tcPr>
            <w:tcW w:w="1061"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Before w:val="1"/>
          <w:gridAfter w:val="1"/>
          <w:wBefore w:w="93" w:type="dxa"/>
          <w:wAfter w:w="378" w:type="dxa"/>
          <w:trHeight w:val="1020" w:hRule="atLeast"/>
        </w:trPr>
        <w:tc>
          <w:tcPr>
            <w:tcW w:w="377"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i w:val="0"/>
                <w:color w:val="auto"/>
                <w:sz w:val="21"/>
                <w:szCs w:val="21"/>
                <w:u w:val="none"/>
              </w:rPr>
            </w:pPr>
          </w:p>
        </w:tc>
        <w:tc>
          <w:tcPr>
            <w:tcW w:w="1067"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i w:val="0"/>
                <w:color w:val="auto"/>
                <w:sz w:val="21"/>
                <w:szCs w:val="21"/>
                <w:u w:val="none"/>
              </w:rPr>
            </w:pPr>
          </w:p>
        </w:tc>
        <w:tc>
          <w:tcPr>
            <w:tcW w:w="333"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效果性</w:t>
            </w:r>
          </w:p>
        </w:tc>
        <w:tc>
          <w:tcPr>
            <w:tcW w:w="1050"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25</w:t>
            </w:r>
          </w:p>
        </w:tc>
        <w:tc>
          <w:tcPr>
            <w:tcW w:w="1533"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社会效益、经济效益、生态效益等</w:t>
            </w:r>
          </w:p>
        </w:tc>
        <w:tc>
          <w:tcPr>
            <w:tcW w:w="950"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25</w:t>
            </w:r>
          </w:p>
        </w:tc>
        <w:tc>
          <w:tcPr>
            <w:tcW w:w="2950"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部门（单位）履行职责、完成各项重大政策和项目的效果，以及对经济发展、社会发展、生态环境所带来的直接或间接影响。</w:t>
            </w:r>
          </w:p>
        </w:tc>
        <w:tc>
          <w:tcPr>
            <w:tcW w:w="4667"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根据部门（单位）职责，结合部门整体支出绩效目标，合理设置个性化绩效指标，通过绩效指标完成情况与目标值对比分析进行评分，未实现绩效目标的酌情扣分。  根据部门（部门）履职内容和性质，从社会效益、经济效益、生态效益三个方面对工作实效和效益进行评价。</w:t>
            </w:r>
          </w:p>
        </w:tc>
        <w:tc>
          <w:tcPr>
            <w:tcW w:w="1061"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Before w:val="1"/>
          <w:gridAfter w:val="1"/>
          <w:wBefore w:w="93" w:type="dxa"/>
          <w:wAfter w:w="378" w:type="dxa"/>
          <w:trHeight w:val="1020" w:hRule="atLeast"/>
        </w:trPr>
        <w:tc>
          <w:tcPr>
            <w:tcW w:w="377"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i w:val="0"/>
                <w:color w:val="auto"/>
                <w:sz w:val="21"/>
                <w:szCs w:val="21"/>
                <w:u w:val="none"/>
              </w:rPr>
            </w:pPr>
          </w:p>
        </w:tc>
        <w:tc>
          <w:tcPr>
            <w:tcW w:w="1067"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i w:val="0"/>
                <w:color w:val="auto"/>
                <w:sz w:val="21"/>
                <w:szCs w:val="21"/>
                <w:u w:val="none"/>
              </w:rPr>
            </w:pPr>
          </w:p>
        </w:tc>
        <w:tc>
          <w:tcPr>
            <w:tcW w:w="333"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公平性</w:t>
            </w:r>
          </w:p>
        </w:tc>
        <w:tc>
          <w:tcPr>
            <w:tcW w:w="1050"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9</w:t>
            </w:r>
          </w:p>
        </w:tc>
        <w:tc>
          <w:tcPr>
            <w:tcW w:w="1533"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群众信访办理情况</w:t>
            </w:r>
          </w:p>
        </w:tc>
        <w:tc>
          <w:tcPr>
            <w:tcW w:w="950"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3</w:t>
            </w:r>
          </w:p>
        </w:tc>
        <w:tc>
          <w:tcPr>
            <w:tcW w:w="2950"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部门（单位）对群众信访意见的完成情况及及时性，反映部门（单位）对服务群众的重视程度。</w:t>
            </w:r>
          </w:p>
        </w:tc>
        <w:tc>
          <w:tcPr>
            <w:tcW w:w="4667"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1.建立了便利的群众意见反映渠道和群众意见办理回复机制（1分）；</w:t>
            </w:r>
          </w:p>
          <w:p>
            <w:pPr>
              <w:keepNext w:val="0"/>
              <w:keepLines w:val="0"/>
              <w:widowControl/>
              <w:suppressLineNumbers w:val="0"/>
              <w:jc w:val="left"/>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2.当年度群众信访办理回复率达100%（1分）；</w:t>
            </w:r>
          </w:p>
          <w:p>
            <w:pPr>
              <w:keepNext w:val="0"/>
              <w:keepLines w:val="0"/>
              <w:widowControl/>
              <w:suppressLineNumbers w:val="0"/>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3.当年度群众信访及时办理回复率达100%，未发生超期（1分）。</w:t>
            </w:r>
          </w:p>
        </w:tc>
        <w:tc>
          <w:tcPr>
            <w:tcW w:w="1061"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Before w:val="1"/>
          <w:gridAfter w:val="1"/>
          <w:wBefore w:w="93" w:type="dxa"/>
          <w:wAfter w:w="378" w:type="dxa"/>
          <w:trHeight w:val="1020" w:hRule="atLeast"/>
        </w:trPr>
        <w:tc>
          <w:tcPr>
            <w:tcW w:w="377"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i w:val="0"/>
                <w:color w:val="auto"/>
                <w:sz w:val="21"/>
                <w:szCs w:val="21"/>
                <w:u w:val="none"/>
              </w:rPr>
            </w:pPr>
          </w:p>
        </w:tc>
        <w:tc>
          <w:tcPr>
            <w:tcW w:w="1067"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i w:val="0"/>
                <w:color w:val="auto"/>
                <w:sz w:val="21"/>
                <w:szCs w:val="21"/>
                <w:u w:val="none"/>
              </w:rPr>
            </w:pPr>
          </w:p>
        </w:tc>
        <w:tc>
          <w:tcPr>
            <w:tcW w:w="333"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i w:val="0"/>
                <w:color w:val="auto"/>
                <w:sz w:val="21"/>
                <w:szCs w:val="21"/>
                <w:u w:val="none"/>
              </w:rPr>
            </w:pPr>
          </w:p>
        </w:tc>
        <w:tc>
          <w:tcPr>
            <w:tcW w:w="105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i w:val="0"/>
                <w:color w:val="auto"/>
                <w:sz w:val="21"/>
                <w:szCs w:val="21"/>
                <w:u w:val="none"/>
              </w:rPr>
            </w:pPr>
          </w:p>
        </w:tc>
        <w:tc>
          <w:tcPr>
            <w:tcW w:w="1533"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公众或服务对象满意度</w:t>
            </w:r>
          </w:p>
        </w:tc>
        <w:tc>
          <w:tcPr>
            <w:tcW w:w="950"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6</w:t>
            </w:r>
          </w:p>
        </w:tc>
        <w:tc>
          <w:tcPr>
            <w:tcW w:w="2950"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反映社会公众或部门（单位）的服务对象对部门履职效果的满意度。</w:t>
            </w:r>
          </w:p>
        </w:tc>
        <w:tc>
          <w:tcPr>
            <w:tcW w:w="4667"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社会公众或服务对象是指部门（单位）履行职责而影响到的部门、群体或个人，一般采取社会调查的方式。如难以单独开展满意度调查的，可参考市统计部门的数据、年度市直民主评议政风行风评价结果等数据，或者参考群众信访反馈的普遍性问题、本部门或权威第三方机构的开展满意度调查等进行分档计分。</w:t>
            </w:r>
          </w:p>
          <w:p>
            <w:pPr>
              <w:keepNext w:val="0"/>
              <w:keepLines w:val="0"/>
              <w:widowControl/>
              <w:suppressLineNumbers w:val="0"/>
              <w:jc w:val="left"/>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 xml:space="preserve">  1.满意度≥95%的，得6分；</w:t>
            </w:r>
          </w:p>
          <w:p>
            <w:pPr>
              <w:keepNext w:val="0"/>
              <w:keepLines w:val="0"/>
              <w:widowControl/>
              <w:suppressLineNumbers w:val="0"/>
              <w:jc w:val="left"/>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 xml:space="preserve">  2. 90%≤满意度＜95%的，得4分；</w:t>
            </w:r>
          </w:p>
          <w:p>
            <w:pPr>
              <w:keepNext w:val="0"/>
              <w:keepLines w:val="0"/>
              <w:widowControl/>
              <w:suppressLineNumbers w:val="0"/>
              <w:jc w:val="left"/>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 xml:space="preserve">  3. 80%≤满意度＜90%的，得2分；</w:t>
            </w:r>
          </w:p>
          <w:p>
            <w:pPr>
              <w:keepNext w:val="0"/>
              <w:keepLines w:val="0"/>
              <w:widowControl/>
              <w:suppressLineNumbers w:val="0"/>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  4. 满意度＜80%的，得1分。</w:t>
            </w:r>
          </w:p>
        </w:tc>
        <w:tc>
          <w:tcPr>
            <w:tcW w:w="1061"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2</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108" w:type="dxa"/>
            <w:bottom w:w="0" w:type="dxa"/>
            <w:right w:w="108" w:type="dxa"/>
          </w:tblCellMar>
        </w:tblPrEx>
        <w:trPr>
          <w:trHeight w:val="441" w:hRule="atLeast"/>
        </w:trPr>
        <w:tc>
          <w:tcPr>
            <w:tcW w:w="7085" w:type="dxa"/>
            <w:gridSpan w:val="8"/>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ascii="宋体" w:hAnsi="宋体" w:cs="宋体"/>
                <w:color w:val="auto"/>
                <w:kern w:val="0"/>
                <w:u w:val="none"/>
              </w:rPr>
            </w:pPr>
            <w:r>
              <w:rPr>
                <w:rFonts w:hint="eastAsia" w:ascii="宋体" w:hAnsi="宋体" w:cs="宋体"/>
                <w:color w:val="auto"/>
                <w:kern w:val="0"/>
                <w:u w:val="none"/>
              </w:rPr>
              <w:t>综合评分</w:t>
            </w:r>
          </w:p>
        </w:tc>
        <w:tc>
          <w:tcPr>
            <w:tcW w:w="7374" w:type="dxa"/>
            <w:gridSpan w:val="4"/>
            <w:tcBorders>
              <w:top w:val="single" w:color="auto" w:sz="4" w:space="0"/>
              <w:left w:val="nil"/>
              <w:bottom w:val="single" w:color="auto" w:sz="4" w:space="0"/>
              <w:right w:val="single" w:color="auto" w:sz="4" w:space="0"/>
            </w:tcBorders>
            <w:shd w:val="clear" w:color="auto" w:fill="auto"/>
            <w:vAlign w:val="center"/>
          </w:tcPr>
          <w:p>
            <w:pPr>
              <w:widowControl/>
              <w:spacing w:line="320" w:lineRule="exact"/>
              <w:ind w:firstLine="420"/>
              <w:jc w:val="center"/>
              <w:rPr>
                <w:rFonts w:hint="eastAsia" w:ascii="宋体" w:hAnsi="宋体" w:eastAsia="宋体" w:cs="宋体"/>
                <w:color w:val="auto"/>
                <w:kern w:val="0"/>
                <w:u w:val="none"/>
                <w:lang w:val="en-US" w:eastAsia="zh-CN"/>
              </w:rPr>
            </w:pPr>
            <w:r>
              <w:rPr>
                <w:rFonts w:hint="eastAsia" w:ascii="宋体" w:hAnsi="宋体" w:cs="宋体"/>
                <w:color w:val="auto"/>
                <w:kern w:val="0"/>
                <w:u w:val="none"/>
                <w:lang w:val="en-US" w:eastAsia="zh-CN"/>
              </w:rPr>
              <w:t>93.82</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41" w:hRule="atLeast"/>
        </w:trPr>
        <w:tc>
          <w:tcPr>
            <w:tcW w:w="7085" w:type="dxa"/>
            <w:gridSpan w:val="8"/>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ascii="宋体" w:hAnsi="宋体" w:cs="宋体"/>
                <w:color w:val="auto"/>
                <w:kern w:val="0"/>
                <w:u w:val="none"/>
              </w:rPr>
            </w:pPr>
            <w:r>
              <w:rPr>
                <w:rFonts w:hint="eastAsia" w:ascii="宋体" w:hAnsi="宋体" w:cs="宋体"/>
                <w:color w:val="auto"/>
                <w:kern w:val="0"/>
                <w:u w:val="none"/>
              </w:rPr>
              <w:t>评分等级</w:t>
            </w:r>
          </w:p>
        </w:tc>
        <w:tc>
          <w:tcPr>
            <w:tcW w:w="7374" w:type="dxa"/>
            <w:gridSpan w:val="4"/>
            <w:tcBorders>
              <w:top w:val="single" w:color="auto" w:sz="4" w:space="0"/>
              <w:left w:val="nil"/>
              <w:bottom w:val="single" w:color="auto" w:sz="4" w:space="0"/>
              <w:right w:val="single" w:color="auto" w:sz="4" w:space="0"/>
            </w:tcBorders>
            <w:shd w:val="clear" w:color="auto" w:fill="auto"/>
            <w:vAlign w:val="center"/>
          </w:tcPr>
          <w:p>
            <w:pPr>
              <w:widowControl/>
              <w:spacing w:line="320" w:lineRule="exact"/>
              <w:ind w:firstLine="420"/>
              <w:jc w:val="center"/>
              <w:rPr>
                <w:rFonts w:hint="eastAsia" w:ascii="宋体" w:hAnsi="宋体" w:eastAsia="宋体" w:cs="宋体"/>
                <w:color w:val="auto"/>
                <w:kern w:val="0"/>
                <w:u w:val="none"/>
                <w:lang w:val="en-US" w:eastAsia="zh-CN"/>
              </w:rPr>
            </w:pPr>
            <w:r>
              <w:rPr>
                <w:rFonts w:hint="eastAsia" w:ascii="宋体" w:hAnsi="宋体" w:cs="宋体"/>
                <w:color w:val="auto"/>
                <w:kern w:val="0"/>
                <w:u w:val="none"/>
                <w:lang w:val="en-US" w:eastAsia="zh-CN"/>
              </w:rPr>
              <w:t>优</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41" w:hRule="atLeast"/>
        </w:trPr>
        <w:tc>
          <w:tcPr>
            <w:tcW w:w="7085" w:type="dxa"/>
            <w:gridSpan w:val="8"/>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ascii="宋体" w:hAnsi="宋体" w:cs="宋体"/>
                <w:color w:val="auto"/>
                <w:kern w:val="0"/>
                <w:u w:val="none"/>
              </w:rPr>
            </w:pPr>
            <w:r>
              <w:rPr>
                <w:rFonts w:hint="eastAsia" w:ascii="宋体" w:hAnsi="宋体" w:cs="宋体"/>
                <w:color w:val="auto"/>
                <w:kern w:val="0"/>
                <w:u w:val="none"/>
              </w:rPr>
              <w:t>填表人</w:t>
            </w:r>
          </w:p>
        </w:tc>
        <w:tc>
          <w:tcPr>
            <w:tcW w:w="7374" w:type="dxa"/>
            <w:gridSpan w:val="4"/>
            <w:tcBorders>
              <w:top w:val="single" w:color="auto" w:sz="4" w:space="0"/>
              <w:left w:val="nil"/>
              <w:bottom w:val="single" w:color="auto" w:sz="4" w:space="0"/>
              <w:right w:val="single" w:color="auto" w:sz="4" w:space="0"/>
            </w:tcBorders>
            <w:shd w:val="clear" w:color="auto" w:fill="auto"/>
            <w:vAlign w:val="center"/>
          </w:tcPr>
          <w:p>
            <w:pPr>
              <w:widowControl/>
              <w:spacing w:line="320" w:lineRule="exact"/>
              <w:ind w:firstLine="420"/>
              <w:jc w:val="center"/>
              <w:rPr>
                <w:rFonts w:hint="eastAsia" w:ascii="宋体" w:hAnsi="宋体" w:eastAsia="宋体" w:cs="宋体"/>
                <w:color w:val="auto"/>
                <w:kern w:val="0"/>
                <w:u w:val="none"/>
                <w:lang w:val="en-US" w:eastAsia="zh-CN"/>
              </w:rPr>
            </w:pPr>
            <w:r>
              <w:rPr>
                <w:rFonts w:hint="eastAsia" w:ascii="宋体" w:hAnsi="宋体" w:cs="宋体"/>
                <w:color w:val="auto"/>
                <w:kern w:val="0"/>
                <w:u w:val="none"/>
                <w:lang w:val="en-US" w:eastAsia="zh-CN"/>
              </w:rPr>
              <w:t>许沥丹</w:t>
            </w:r>
          </w:p>
        </w:tc>
      </w:tr>
    </w:tbl>
    <w:p>
      <w:pPr>
        <w:tabs>
          <w:tab w:val="center" w:pos="6979"/>
        </w:tabs>
        <w:spacing w:line="620" w:lineRule="exact"/>
        <w:jc w:val="both"/>
        <w:rPr>
          <w:rFonts w:hint="eastAsia" w:ascii="方正小标宋简体" w:eastAsia="方正小标宋简体" w:cs="方正小标宋简体"/>
          <w:color w:val="auto"/>
          <w:sz w:val="30"/>
          <w:szCs w:val="30"/>
          <w:u w:val="none"/>
        </w:rPr>
      </w:pPr>
    </w:p>
    <w:p>
      <w:pPr>
        <w:spacing w:line="320" w:lineRule="exact"/>
        <w:rPr>
          <w:color w:val="auto"/>
          <w:u w:val="none"/>
        </w:rPr>
      </w:pPr>
      <w:r>
        <w:rPr>
          <w:rFonts w:hint="eastAsia"/>
          <w:color w:val="auto"/>
          <w:u w:val="none"/>
        </w:rPr>
        <w:t>附注：1.《部门整体支出绩效评价共性指标体系框架》的适用对象是部门和单位；</w:t>
      </w:r>
    </w:p>
    <w:p>
      <w:pPr>
        <w:spacing w:line="320" w:lineRule="exact"/>
        <w:rPr>
          <w:color w:val="auto"/>
          <w:u w:val="none"/>
        </w:rPr>
      </w:pPr>
      <w:r>
        <w:rPr>
          <w:rFonts w:hint="eastAsia"/>
          <w:color w:val="auto"/>
          <w:u w:val="none"/>
        </w:rPr>
        <w:t xml:space="preserve">      2.各项指标的分值是参考分值，各部门各单位在开展绩效评价时可结合不同评价对象的特点，赋予评价指标科学合理的权重分值，明确具体的评分标准。</w:t>
      </w:r>
    </w:p>
    <w:p>
      <w:pPr>
        <w:rPr>
          <w:color w:val="auto"/>
          <w:sz w:val="18"/>
          <w:szCs w:val="18"/>
          <w:u w:val="none"/>
        </w:rPr>
      </w:pPr>
    </w:p>
    <w:sectPr>
      <w:footerReference r:id="rId4" w:type="default"/>
      <w:pgSz w:w="16838" w:h="11906" w:orient="landscape"/>
      <w:pgMar w:top="1797" w:right="1440" w:bottom="1797" w:left="1440" w:header="851" w:footer="992" w:gutter="0"/>
      <w:pgNumType w:fmt="numberInDash"/>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2010600030101010101"/>
    <w:charset w:val="88"/>
    <w:family w:val="auto"/>
    <w:pitch w:val="default"/>
    <w:sig w:usb0="00000000" w:usb1="00000000" w:usb2="00000006" w:usb3="00000000" w:csb0="00040001"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modern"/>
    <w:pitch w:val="default"/>
    <w:sig w:usb0="00000000" w:usb1="00000000" w:usb2="00000000" w:usb3="00000000" w:csb0="00040000" w:csb1="00000000"/>
  </w:font>
  <w:font w:name="Adobe 楷体 Std R">
    <w:altName w:val="方正楷体_GBK"/>
    <w:panose1 w:val="00000000000000000000"/>
    <w:charset w:val="86"/>
    <w:family w:val="roman"/>
    <w:pitch w:val="default"/>
    <w:sig w:usb0="00000000" w:usb1="00000000" w:usb2="00000010" w:usb3="00000000" w:csb0="00060007" w:csb1="00000000"/>
  </w:font>
  <w:font w:name="楷体_GB2312">
    <w:altName w:val="方正楷体_GBK"/>
    <w:panose1 w:val="02010609030101010101"/>
    <w:charset w:val="86"/>
    <w:family w:val="modern"/>
    <w:pitch w:val="default"/>
    <w:sig w:usb0="00000000" w:usb1="00000000" w:usb2="00000000" w:usb3="00000000" w:csb0="00040000" w:csb1="00000000"/>
  </w:font>
  <w:font w:name="楷体">
    <w:altName w:val="方正楷体_GBK"/>
    <w:panose1 w:val="02010609060101010101"/>
    <w:charset w:val="86"/>
    <w:family w:val="auto"/>
    <w:pitch w:val="default"/>
    <w:sig w:usb0="00000000" w:usb1="00000000" w:usb2="00000016" w:usb3="00000000" w:csb0="00040001" w:csb1="00000000"/>
  </w:font>
  <w:font w:name="等线">
    <w:altName w:val="华文仿宋"/>
    <w:panose1 w:val="02010600030101010101"/>
    <w:charset w:val="86"/>
    <w:family w:val="auto"/>
    <w:pitch w:val="default"/>
    <w:sig w:usb0="00000000" w:usb1="00000000" w:usb2="00000016" w:usb3="00000000" w:csb0="0004000F" w:csb1="00000000"/>
  </w:font>
  <w:font w:name="方正小标宋简体">
    <w:panose1 w:val="02000000000000000000"/>
    <w:charset w:val="86"/>
    <w:family w:val="script"/>
    <w:pitch w:val="default"/>
    <w:sig w:usb0="A00002BF" w:usb1="184F6CFA" w:usb2="00000012" w:usb3="00000000" w:csb0="00040001"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 w:name="Noto Sans Symbols2">
    <w:panose1 w:val="020B0502040504020204"/>
    <w:charset w:val="00"/>
    <w:family w:val="auto"/>
    <w:pitch w:val="default"/>
    <w:sig w:usb0="80000003" w:usb1="0200E3E4" w:usb2="00040020" w:usb3="0580A048" w:csb0="00000001" w:csb1="00000000"/>
  </w:font>
  <w:font w:name="方正楷体_GBK">
    <w:panose1 w:val="02000000000000000000"/>
    <w:charset w:val="86"/>
    <w:family w:val="auto"/>
    <w:pitch w:val="default"/>
    <w:sig w:usb0="00000001" w:usb1="0800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8"/>
        <w:rFonts w:ascii="宋体" w:hAnsi="宋体"/>
        <w:sz w:val="28"/>
        <w:szCs w:val="28"/>
      </w:rPr>
    </w:pPr>
    <w:r>
      <w:rPr>
        <w:rStyle w:val="8"/>
        <w:rFonts w:ascii="宋体" w:hAnsi="宋体"/>
        <w:sz w:val="28"/>
        <w:szCs w:val="28"/>
      </w:rPr>
      <w:fldChar w:fldCharType="begin"/>
    </w:r>
    <w:r>
      <w:rPr>
        <w:rStyle w:val="8"/>
        <w:rFonts w:ascii="宋体" w:hAnsi="宋体"/>
        <w:sz w:val="28"/>
        <w:szCs w:val="28"/>
      </w:rPr>
      <w:instrText xml:space="preserve">PAGE  </w:instrText>
    </w:r>
    <w:r>
      <w:rPr>
        <w:rStyle w:val="8"/>
        <w:rFonts w:ascii="宋体" w:hAnsi="宋体"/>
        <w:sz w:val="28"/>
        <w:szCs w:val="28"/>
      </w:rPr>
      <w:fldChar w:fldCharType="separate"/>
    </w:r>
    <w:r>
      <w:rPr>
        <w:rStyle w:val="8"/>
        <w:rFonts w:ascii="宋体" w:hAnsi="宋体"/>
        <w:sz w:val="28"/>
        <w:szCs w:val="28"/>
      </w:rPr>
      <w:t>- 17 -</w:t>
    </w:r>
    <w:r>
      <w:rPr>
        <w:rStyle w:val="8"/>
        <w:rFonts w:ascii="宋体" w:hAnsi="宋体"/>
        <w:sz w:val="28"/>
        <w:szCs w:val="28"/>
      </w:rPr>
      <w:fldChar w:fldCharType="end"/>
    </w:r>
  </w:p>
  <w:p>
    <w:pPr>
      <w:pStyle w:val="3"/>
      <w:ind w:right="360" w:firstLine="360"/>
      <w:jc w:val="center"/>
    </w:pP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8"/>
        <w:rFonts w:ascii="宋体" w:hAnsi="宋体"/>
        <w:sz w:val="28"/>
        <w:szCs w:val="28"/>
      </w:rPr>
    </w:pPr>
    <w:r>
      <w:rPr>
        <w:rStyle w:val="8"/>
        <w:rFonts w:ascii="宋体" w:hAnsi="宋体"/>
        <w:sz w:val="28"/>
        <w:szCs w:val="28"/>
      </w:rPr>
      <w:fldChar w:fldCharType="begin"/>
    </w:r>
    <w:r>
      <w:rPr>
        <w:rStyle w:val="8"/>
        <w:rFonts w:ascii="宋体" w:hAnsi="宋体"/>
        <w:sz w:val="28"/>
        <w:szCs w:val="28"/>
      </w:rPr>
      <w:instrText xml:space="preserve">PAGE  </w:instrText>
    </w:r>
    <w:r>
      <w:rPr>
        <w:rStyle w:val="8"/>
        <w:rFonts w:ascii="宋体" w:hAnsi="宋体"/>
        <w:sz w:val="28"/>
        <w:szCs w:val="28"/>
      </w:rPr>
      <w:fldChar w:fldCharType="separate"/>
    </w:r>
    <w:r>
      <w:rPr>
        <w:rStyle w:val="8"/>
        <w:rFonts w:ascii="宋体" w:hAnsi="宋体"/>
        <w:sz w:val="28"/>
        <w:szCs w:val="28"/>
      </w:rPr>
      <w:t>- 17 -</w:t>
    </w:r>
    <w:r>
      <w:rPr>
        <w:rStyle w:val="8"/>
        <w:rFonts w:ascii="宋体" w:hAnsi="宋体"/>
        <w:sz w:val="28"/>
        <w:szCs w:val="28"/>
      </w:rPr>
      <w:fldChar w:fldCharType="end"/>
    </w:r>
  </w:p>
  <w:p>
    <w:pPr>
      <w:pStyle w:val="3"/>
      <w:ind w:right="360" w:firstLine="360"/>
      <w:jc w:val="center"/>
    </w:pPr>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F1C87E"/>
    <w:multiLevelType w:val="singleLevel"/>
    <w:tmpl w:val="85F1C87E"/>
    <w:lvl w:ilvl="0" w:tentative="0">
      <w:start w:val="1"/>
      <w:numFmt w:val="decimal"/>
      <w:lvlText w:val="%1."/>
      <w:lvlJc w:val="left"/>
      <w:pPr>
        <w:tabs>
          <w:tab w:val="left" w:pos="312"/>
        </w:tabs>
      </w:pPr>
    </w:lvl>
  </w:abstractNum>
  <w:abstractNum w:abstractNumId="1">
    <w:nsid w:val="DA5C467C"/>
    <w:multiLevelType w:val="singleLevel"/>
    <w:tmpl w:val="DA5C467C"/>
    <w:lvl w:ilvl="0" w:tentative="0">
      <w:start w:val="1"/>
      <w:numFmt w:val="decimal"/>
      <w:lvlText w:val="%1."/>
      <w:lvlJc w:val="left"/>
      <w:pPr>
        <w:tabs>
          <w:tab w:val="left" w:pos="312"/>
        </w:tabs>
        <w:ind w:left="-426"/>
      </w:pPr>
    </w:lvl>
  </w:abstractNum>
  <w:abstractNum w:abstractNumId="2">
    <w:nsid w:val="E7E8780F"/>
    <w:multiLevelType w:val="singleLevel"/>
    <w:tmpl w:val="E7E8780F"/>
    <w:lvl w:ilvl="0" w:tentative="0">
      <w:start w:val="1"/>
      <w:numFmt w:val="chineseCounting"/>
      <w:suff w:val="nothing"/>
      <w:lvlText w:val="（%1）"/>
      <w:lvlJc w:val="left"/>
      <w:pPr>
        <w:ind w:left="0" w:firstLine="420"/>
      </w:pPr>
      <w:rPr>
        <w:rFonts w:hint="eastAsia"/>
        <w:b/>
      </w:rPr>
    </w:lvl>
  </w:abstractNum>
  <w:abstractNum w:abstractNumId="3">
    <w:nsid w:val="01C9D15E"/>
    <w:multiLevelType w:val="singleLevel"/>
    <w:tmpl w:val="01C9D15E"/>
    <w:lvl w:ilvl="0" w:tentative="0">
      <w:start w:val="1"/>
      <w:numFmt w:val="decimal"/>
      <w:lvlText w:val="%1."/>
      <w:lvlJc w:val="left"/>
      <w:pPr>
        <w:tabs>
          <w:tab w:val="left" w:pos="312"/>
        </w:tabs>
      </w:pPr>
    </w:lvl>
  </w:abstractNum>
  <w:abstractNum w:abstractNumId="4">
    <w:nsid w:val="196D1E66"/>
    <w:multiLevelType w:val="singleLevel"/>
    <w:tmpl w:val="196D1E66"/>
    <w:lvl w:ilvl="0" w:tentative="0">
      <w:start w:val="1"/>
      <w:numFmt w:val="chineseCounting"/>
      <w:suff w:val="nothing"/>
      <w:lvlText w:val="（%1）"/>
      <w:lvlJc w:val="left"/>
      <w:pPr>
        <w:ind w:left="0" w:firstLine="420"/>
      </w:pPr>
      <w:rPr>
        <w:rFonts w:hint="eastAsia"/>
      </w:rPr>
    </w:lvl>
  </w:abstractNum>
  <w:abstractNum w:abstractNumId="5">
    <w:nsid w:val="3A4DB9CE"/>
    <w:multiLevelType w:val="singleLevel"/>
    <w:tmpl w:val="3A4DB9CE"/>
    <w:lvl w:ilvl="0" w:tentative="0">
      <w:start w:val="1"/>
      <w:numFmt w:val="chineseCounting"/>
      <w:suff w:val="nothing"/>
      <w:lvlText w:val="（%1）"/>
      <w:lvlJc w:val="left"/>
      <w:pPr>
        <w:ind w:left="0" w:firstLine="420"/>
      </w:pPr>
      <w:rPr>
        <w:rFonts w:hint="eastAsia"/>
        <w:b/>
      </w:rPr>
    </w:lvl>
  </w:abstractNum>
  <w:num w:numId="1">
    <w:abstractNumId w:val="2"/>
  </w:num>
  <w:num w:numId="2">
    <w:abstractNumId w:val="0"/>
  </w:num>
  <w:num w:numId="3">
    <w:abstractNumId w:val="4"/>
  </w:num>
  <w:num w:numId="4">
    <w:abstractNumId w:val="1"/>
  </w:num>
  <w:num w:numId="5">
    <w:abstractNumId w:val="3"/>
  </w:num>
  <w:num w:numId="6">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Unknown">
    <w15:presenceInfo w15:providerId="None" w15:userId="Unknow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false"/>
  <w:bordersDoNotSurroundFooter w:val="false"/>
  <w:documentProtection w:enforcement="0"/>
  <w:defaultTabStop w:val="420"/>
  <w:drawingGridHorizontalSpacing w:val="105"/>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AxNzQ0NWMxYWRhNjU2NDRmMDMyOWMyNmI0MTI0ODQifQ=="/>
  </w:docVars>
  <w:rsids>
    <w:rsidRoot w:val="007C6A8D"/>
    <w:rsid w:val="00015287"/>
    <w:rsid w:val="00072FB0"/>
    <w:rsid w:val="000757DF"/>
    <w:rsid w:val="000C1693"/>
    <w:rsid w:val="000C7F39"/>
    <w:rsid w:val="000D5ECC"/>
    <w:rsid w:val="00156F7B"/>
    <w:rsid w:val="00186083"/>
    <w:rsid w:val="001A4FCA"/>
    <w:rsid w:val="001E1A5E"/>
    <w:rsid w:val="001E702E"/>
    <w:rsid w:val="001F5AA4"/>
    <w:rsid w:val="00235966"/>
    <w:rsid w:val="002A7700"/>
    <w:rsid w:val="002E0FBC"/>
    <w:rsid w:val="00323B8D"/>
    <w:rsid w:val="0035757F"/>
    <w:rsid w:val="003577C2"/>
    <w:rsid w:val="00382649"/>
    <w:rsid w:val="00394B68"/>
    <w:rsid w:val="003B1900"/>
    <w:rsid w:val="003D5362"/>
    <w:rsid w:val="003F3BCB"/>
    <w:rsid w:val="00447BDD"/>
    <w:rsid w:val="004A3245"/>
    <w:rsid w:val="004B47F6"/>
    <w:rsid w:val="00510750"/>
    <w:rsid w:val="005530FC"/>
    <w:rsid w:val="00567EEA"/>
    <w:rsid w:val="0058344B"/>
    <w:rsid w:val="005A7B7C"/>
    <w:rsid w:val="005C793D"/>
    <w:rsid w:val="005D6FD8"/>
    <w:rsid w:val="006668F7"/>
    <w:rsid w:val="00670E00"/>
    <w:rsid w:val="006A08E5"/>
    <w:rsid w:val="006A0B18"/>
    <w:rsid w:val="006E2C6E"/>
    <w:rsid w:val="006F0724"/>
    <w:rsid w:val="007B1093"/>
    <w:rsid w:val="007C0C35"/>
    <w:rsid w:val="007C6A8D"/>
    <w:rsid w:val="007C77C0"/>
    <w:rsid w:val="007E03B1"/>
    <w:rsid w:val="007E16C0"/>
    <w:rsid w:val="007F11FC"/>
    <w:rsid w:val="0085384E"/>
    <w:rsid w:val="00866D4F"/>
    <w:rsid w:val="00886EBB"/>
    <w:rsid w:val="008C01DD"/>
    <w:rsid w:val="008C5E9F"/>
    <w:rsid w:val="008D3C34"/>
    <w:rsid w:val="00907B9F"/>
    <w:rsid w:val="009254A3"/>
    <w:rsid w:val="009374E9"/>
    <w:rsid w:val="0094704A"/>
    <w:rsid w:val="009803FA"/>
    <w:rsid w:val="009B6BB4"/>
    <w:rsid w:val="00A327AA"/>
    <w:rsid w:val="00AA5338"/>
    <w:rsid w:val="00AC140F"/>
    <w:rsid w:val="00AD4C3B"/>
    <w:rsid w:val="00AD7537"/>
    <w:rsid w:val="00AE1C2F"/>
    <w:rsid w:val="00AF093E"/>
    <w:rsid w:val="00B012E2"/>
    <w:rsid w:val="00B16374"/>
    <w:rsid w:val="00B9050E"/>
    <w:rsid w:val="00BB7A05"/>
    <w:rsid w:val="00BD192D"/>
    <w:rsid w:val="00C2157C"/>
    <w:rsid w:val="00C409C6"/>
    <w:rsid w:val="00C702B8"/>
    <w:rsid w:val="00CB6C81"/>
    <w:rsid w:val="00CB7FE9"/>
    <w:rsid w:val="00CC0E1B"/>
    <w:rsid w:val="00CC7C71"/>
    <w:rsid w:val="00CD69A4"/>
    <w:rsid w:val="00CE0B57"/>
    <w:rsid w:val="00D50E3A"/>
    <w:rsid w:val="00D86FE6"/>
    <w:rsid w:val="00DC002F"/>
    <w:rsid w:val="00DD1293"/>
    <w:rsid w:val="00E61598"/>
    <w:rsid w:val="00E975EF"/>
    <w:rsid w:val="00ED590D"/>
    <w:rsid w:val="00F05CC5"/>
    <w:rsid w:val="00F85BCF"/>
    <w:rsid w:val="00FA665A"/>
    <w:rsid w:val="025E172F"/>
    <w:rsid w:val="0912084C"/>
    <w:rsid w:val="0B5A0540"/>
    <w:rsid w:val="0D361EA3"/>
    <w:rsid w:val="0DAD1D0D"/>
    <w:rsid w:val="0E5431E3"/>
    <w:rsid w:val="0F074DED"/>
    <w:rsid w:val="151C2F00"/>
    <w:rsid w:val="156902B8"/>
    <w:rsid w:val="174025B9"/>
    <w:rsid w:val="17FC7E15"/>
    <w:rsid w:val="2303614B"/>
    <w:rsid w:val="231125C7"/>
    <w:rsid w:val="23BE30AF"/>
    <w:rsid w:val="241203DA"/>
    <w:rsid w:val="241D0A0A"/>
    <w:rsid w:val="29C56527"/>
    <w:rsid w:val="2C797FDD"/>
    <w:rsid w:val="32A32ADD"/>
    <w:rsid w:val="37C42B71"/>
    <w:rsid w:val="390B70FC"/>
    <w:rsid w:val="39831A37"/>
    <w:rsid w:val="39CB1D53"/>
    <w:rsid w:val="3A6D4BF1"/>
    <w:rsid w:val="3D270F5B"/>
    <w:rsid w:val="403278E4"/>
    <w:rsid w:val="468723DA"/>
    <w:rsid w:val="483D3166"/>
    <w:rsid w:val="4B4A4A52"/>
    <w:rsid w:val="4DF933A6"/>
    <w:rsid w:val="4E9C316B"/>
    <w:rsid w:val="50C6356D"/>
    <w:rsid w:val="50FC598F"/>
    <w:rsid w:val="5294553A"/>
    <w:rsid w:val="5A3367C7"/>
    <w:rsid w:val="64F84CFF"/>
    <w:rsid w:val="66420C45"/>
    <w:rsid w:val="7419518A"/>
    <w:rsid w:val="749776B4"/>
    <w:rsid w:val="7AE709C5"/>
    <w:rsid w:val="7C0B7439"/>
    <w:rsid w:val="7D406316"/>
    <w:rsid w:val="7EC0622A"/>
    <w:rsid w:val="C3CE2021"/>
    <w:rsid w:val="CDF7BB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unhideWhenUsed/>
    <w:qFormat/>
    <w:uiPriority w:val="99"/>
    <w:rPr>
      <w:sz w:val="18"/>
      <w:szCs w:val="18"/>
    </w:r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HTML Preformatted"/>
    <w:basedOn w:val="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character" w:styleId="8">
    <w:name w:val="page number"/>
    <w:basedOn w:val="7"/>
    <w:qFormat/>
    <w:uiPriority w:val="0"/>
  </w:style>
  <w:style w:type="character" w:customStyle="1" w:styleId="9">
    <w:name w:val="批注框文本 字符"/>
    <w:basedOn w:val="7"/>
    <w:link w:val="2"/>
    <w:semiHidden/>
    <w:qFormat/>
    <w:uiPriority w:val="99"/>
    <w:rPr>
      <w:rFonts w:ascii="Times New Roman" w:hAnsi="Times New Roman" w:eastAsia="宋体" w:cs="Times New Roman"/>
      <w:sz w:val="18"/>
      <w:szCs w:val="18"/>
    </w:rPr>
  </w:style>
  <w:style w:type="character" w:customStyle="1" w:styleId="10">
    <w:name w:val="页眉 字符"/>
    <w:basedOn w:val="7"/>
    <w:link w:val="4"/>
    <w:semiHidden/>
    <w:qFormat/>
    <w:uiPriority w:val="99"/>
    <w:rPr>
      <w:rFonts w:ascii="Times New Roman" w:hAnsi="Times New Roman" w:eastAsia="宋体" w:cs="Times New Roman"/>
      <w:sz w:val="18"/>
      <w:szCs w:val="18"/>
    </w:rPr>
  </w:style>
  <w:style w:type="character" w:customStyle="1" w:styleId="11">
    <w:name w:val="页脚 字符"/>
    <w:basedOn w:val="7"/>
    <w:link w:val="3"/>
    <w:semiHidden/>
    <w:qFormat/>
    <w:uiPriority w:val="99"/>
    <w:rPr>
      <w:rFonts w:ascii="Times New Roman" w:hAnsi="Times New Roman" w:eastAsia="宋体" w:cs="Times New Roman"/>
      <w:sz w:val="18"/>
      <w:szCs w:val="18"/>
    </w:rPr>
  </w:style>
  <w:style w:type="character" w:customStyle="1" w:styleId="12">
    <w:name w:val="font41"/>
    <w:basedOn w:val="7"/>
    <w:qFormat/>
    <w:uiPriority w:val="0"/>
    <w:rPr>
      <w:rFonts w:hint="eastAsia" w:ascii="宋体" w:hAnsi="宋体" w:eastAsia="宋体" w:cs="宋体"/>
      <w:b/>
      <w:color w:val="FF0000"/>
      <w:sz w:val="22"/>
      <w:szCs w:val="22"/>
      <w:u w:val="none"/>
    </w:rPr>
  </w:style>
  <w:style w:type="character" w:customStyle="1" w:styleId="13">
    <w:name w:val="font61"/>
    <w:basedOn w:val="7"/>
    <w:qFormat/>
    <w:uiPriority w:val="0"/>
    <w:rPr>
      <w:rFonts w:hint="eastAsia" w:ascii="宋体" w:hAnsi="宋体" w:eastAsia="宋体" w:cs="宋体"/>
      <w:b/>
      <w:color w:val="000000"/>
      <w:sz w:val="22"/>
      <w:szCs w:val="22"/>
      <w:u w:val="none"/>
    </w:rPr>
  </w:style>
  <w:style w:type="character" w:customStyle="1" w:styleId="14">
    <w:name w:val="font21"/>
    <w:basedOn w:val="7"/>
    <w:qFormat/>
    <w:uiPriority w:val="0"/>
    <w:rPr>
      <w:rFonts w:hint="eastAsia" w:ascii="宋体" w:hAnsi="宋体" w:eastAsia="宋体" w:cs="宋体"/>
      <w:b/>
      <w:color w:val="000000"/>
      <w:sz w:val="22"/>
      <w:szCs w:val="22"/>
      <w:u w:val="none"/>
    </w:rPr>
  </w:style>
  <w:style w:type="character" w:customStyle="1" w:styleId="15">
    <w:name w:val="font31"/>
    <w:basedOn w:val="7"/>
    <w:qFormat/>
    <w:uiPriority w:val="0"/>
    <w:rPr>
      <w:rFonts w:hint="eastAsia" w:ascii="宋体" w:hAnsi="宋体" w:eastAsia="宋体" w:cs="宋体"/>
      <w:b/>
      <w:color w:val="000000"/>
      <w:sz w:val="22"/>
      <w:szCs w:val="22"/>
      <w:u w:val="none"/>
    </w:rPr>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27</Pages>
  <Words>13170</Words>
  <Characters>14364</Characters>
  <Lines>43</Lines>
  <Paragraphs>12</Paragraphs>
  <TotalTime>103</TotalTime>
  <ScaleCrop>false</ScaleCrop>
  <LinksUpToDate>false</LinksUpToDate>
  <CharactersWithSpaces>14436</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2021-12-30T22:26:00Z</dcterms:created>
  <dc:creator>桂鑫</dc:creator>
  <cp:lastModifiedBy>jgswgljbgs</cp:lastModifiedBy>
  <dcterms:modified xsi:type="dcterms:W3CDTF">2023-11-10T16:46:16Z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y fmtid="{D5CDD505-2E9C-101B-9397-08002B2CF9AE}" pid="3" name="ICV">
    <vt:lpwstr>4B699AF8043B4A4690C8C1333B7A5BFB</vt:lpwstr>
  </property>
</Properties>
</file>