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sz w:val="44"/>
          <w:szCs w:val="44"/>
        </w:rPr>
        <mc:AlternateContent>
          <mc:Choice Requires="wps">
            <w:drawing>
              <wp:anchor distT="0" distB="0" distL="114300" distR="114300" simplePos="0" relativeHeight="251659264" behindDoc="0" locked="0" layoutInCell="1" allowOverlap="1">
                <wp:simplePos x="0" y="0"/>
                <wp:positionH relativeFrom="column">
                  <wp:posOffset>-243840</wp:posOffset>
                </wp:positionH>
                <wp:positionV relativeFrom="paragraph">
                  <wp:posOffset>-65405</wp:posOffset>
                </wp:positionV>
                <wp:extent cx="6163310" cy="711835"/>
                <wp:effectExtent l="0" t="0" r="0" b="0"/>
                <wp:wrapNone/>
                <wp:docPr id="1" name="Quad Arrow 3"/>
                <wp:cNvGraphicFramePr/>
                <a:graphic xmlns:a="http://schemas.openxmlformats.org/drawingml/2006/main">
                  <a:graphicData uri="http://schemas.microsoft.com/office/word/2010/wordprocessingShape">
                    <wps:wsp>
                      <wps:cNvSpPr/>
                      <wps:spPr>
                        <a:xfrm>
                          <a:off x="0" y="0"/>
                          <a:ext cx="6163310" cy="711835"/>
                        </a:xfrm>
                        <a:prstGeom prst="rect">
                          <a:avLst/>
                        </a:prstGeom>
                        <a:noFill/>
                        <a:ln>
                          <a:noFill/>
                        </a:ln>
                      </wps:spPr>
                      <wps:txbx>
                        <w:txbxContent>
                          <w:p>
                            <w:pPr>
                              <w:adjustRightInd w:val="0"/>
                              <w:snapToGrid w:val="0"/>
                              <w:spacing w:line="900" w:lineRule="exact"/>
                              <w:ind w:left="-42" w:leftChars="-20"/>
                              <w:jc w:val="center"/>
                              <w:rPr>
                                <w:rFonts w:ascii="新宋体" w:hAnsi="新宋体" w:eastAsia="新宋体" w:cs="新宋体"/>
                                <w:b/>
                                <w:bCs/>
                                <w:color w:val="FF0000"/>
                                <w:kern w:val="40"/>
                                <w:sz w:val="58"/>
                                <w:szCs w:val="58"/>
                              </w:rPr>
                            </w:pPr>
                            <w:r>
                              <w:rPr>
                                <w:rFonts w:hint="eastAsia" w:ascii="新宋体" w:hAnsi="新宋体" w:eastAsia="新宋体" w:cs="新宋体"/>
                                <w:b/>
                                <w:bCs/>
                                <w:color w:val="FF0000"/>
                                <w:kern w:val="40"/>
                                <w:sz w:val="58"/>
                                <w:szCs w:val="58"/>
                              </w:rPr>
                              <w:t>深圳市福田区文化广电旅游体育局</w:t>
                            </w:r>
                          </w:p>
                          <w:p>
                            <w:pPr>
                              <w:pStyle w:val="7"/>
                              <w:spacing w:before="468" w:beforeLines="150" w:line="640" w:lineRule="exact"/>
                              <w:jc w:val="distribute"/>
                              <w:rPr>
                                <w:rFonts w:ascii="方正大标宋简体" w:eastAsia="方正大标宋简体"/>
                                <w:color w:val="EB0000"/>
                                <w:spacing w:val="-19"/>
                                <w:kern w:val="0"/>
                                <w:sz w:val="52"/>
                                <w:szCs w:val="52"/>
                              </w:rPr>
                            </w:pPr>
                            <w:r>
                              <w:rPr>
                                <w:rFonts w:hint="eastAsia" w:ascii="方正小标宋简体" w:hAnsi="方正小标宋简体" w:eastAsia="方正小标宋简体" w:cs="方正小标宋简体"/>
                                <w:color w:val="EB0000"/>
                                <w:spacing w:val="4"/>
                                <w:kern w:val="0"/>
                                <w:sz w:val="52"/>
                                <w:szCs w:val="52"/>
                              </w:rPr>
                              <w:t xml:space="preserve">jujuzhng </w:t>
                            </w:r>
                            <w:r>
                              <w:rPr>
                                <w:rFonts w:hint="eastAsia" w:ascii="方正小标宋简体" w:hAnsi="方正小标宋简体" w:eastAsia="方正小标宋简体" w:cs="方正小标宋简体"/>
                                <w:color w:val="EB0000"/>
                                <w:spacing w:val="-3"/>
                                <w:kern w:val="0"/>
                                <w:sz w:val="52"/>
                                <w:szCs w:val="52"/>
                              </w:rPr>
                              <w:t>局</w:t>
                            </w:r>
                          </w:p>
                          <w:p>
                            <w:pPr>
                              <w:pStyle w:val="7"/>
                              <w:spacing w:before="468" w:beforeLines="150" w:line="500" w:lineRule="exact"/>
                              <w:rPr>
                                <w:rFonts w:ascii="方正大标宋简体" w:eastAsia="方正大标宋简体"/>
                                <w:color w:val="EB0000"/>
                                <w:spacing w:val="-19"/>
                                <w:kern w:val="0"/>
                                <w:sz w:val="32"/>
                                <w:szCs w:val="32"/>
                              </w:rPr>
                            </w:pPr>
                          </w:p>
                          <w:p>
                            <w:pPr>
                              <w:pStyle w:val="7"/>
                              <w:spacing w:before="468" w:beforeLines="150" w:line="640" w:lineRule="exact"/>
                              <w:rPr>
                                <w:rFonts w:ascii="方正大标宋简体" w:eastAsia="方正大标宋简体"/>
                                <w:color w:val="EB0000"/>
                                <w:kern w:val="0"/>
                                <w:sz w:val="56"/>
                                <w:szCs w:val="56"/>
                              </w:rPr>
                            </w:pPr>
                          </w:p>
                          <w:p>
                            <w:pPr>
                              <w:rPr>
                                <w:color w:val="EB0000"/>
                              </w:rPr>
                            </w:pPr>
                          </w:p>
                        </w:txbxContent>
                      </wps:txbx>
                      <wps:bodyPr upright="1"/>
                    </wps:wsp>
                  </a:graphicData>
                </a:graphic>
              </wp:anchor>
            </w:drawing>
          </mc:Choice>
          <mc:Fallback>
            <w:pict>
              <v:rect id="Quad Arrow 3" o:spid="_x0000_s1026" o:spt="1" style="position:absolute;left:0pt;margin-left:-19.2pt;margin-top:-5.15pt;height:56.05pt;width:485.3pt;z-index:251659264;mso-width-relative:page;mso-height-relative:page;" filled="f" stroked="f" coordsize="21600,21600" o:gfxdata="UEsDBAoAAAAAAIdO4kAAAAAAAAAAAAAAAAAEAAAAZHJzL1BLAwQUAAAACACHTuJAY4aOxtsAAAAL&#10;AQAADwAAAGRycy9kb3ducmV2LnhtbE2PwUrDQBCG74LvsIzgRdrdJCIxZtNDQSwilKba8zYZk2B2&#10;Ns1uk/r2jie9zTAf/3x/vrrYXkw4+s6RhmipQCBVru6o0fC+f16kIHwwVJveEWr4Rg+r4voqN1nt&#10;ZtrhVIZGcAj5zGhoQxgyKX3VojV+6QYkvn260ZrA69jIejQzh9texko9SGs64g+tGXDdYvVVnq2G&#10;udpOh/3bi9zeHTaOTpvTuvx41fr2JlJPIAJewh8Mv/qsDgU7Hd2Zai96DYskvWeUh0glIJh4TOIY&#10;xJFRFaUgi1z+71D8AFBLAwQUAAAACACHTuJAtdZJbZkBAABFAwAADgAAAGRycy9lMm9Eb2MueG1s&#10;rVLLbtswELwXyD8QvMe0YtQNBMtBASO5FE2CtB9AU6RFQHxgl7bkv++SUp1HLzn0Qu1LszNDbu5G&#10;17OTBrTBN7xaLDnTXoXW+kPDf/+6v77lDJP0reyD1w0/a+R326svmyHW+iZ0oW81MALxWA+x4V1K&#10;sRYCVaedxEWI2lPTBHAyUQoH0YIcCN314ma5XIshQBshKI1I1d3U5DMifAYwGGOV3gV1dNqnCRV0&#10;LxNJws5G5NvC1hit0qMxqBPrG05KUzlpCcX7fIrtRtYHkLGzaqYgP0PhgyYnraelF6idTJIdwf4D&#10;5ayCgMGkhQpOTEKKI6SiWn7w5qWTURctZDXGi+n4/2DVz9MTMNvSS+DMS0cX/nyULfsOEAa2yv4M&#10;EWsae4lPMGdIYRY7GnD5SzLYWDw9XzzVY2KKiutqvVpVZLei3requl19zaDi9e8ImB50cCwHDQe6&#10;s2KlPP3ANI3+HcnLfLi3fU91Wff+XYEwc0VkwhPFHKVxP86896E9k9pjBHvoaFVVmOQhcrdwml9C&#10;vr63eQF9ff3b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GOGjsbbAAAACwEAAA8AAAAAAAAAAQAg&#10;AAAAIgAAAGRycy9kb3ducmV2LnhtbFBLAQIUABQAAAAIAIdO4kC11kltmQEAAEUDAAAOAAAAAAAA&#10;AAEAIAAAACoBAABkcnMvZTJvRG9jLnhtbFBLBQYAAAAABgAGAFkBAAA1BQAAAAA=&#10;">
                <v:fill on="f" focussize="0,0"/>
                <v:stroke on="f"/>
                <v:imagedata o:title=""/>
                <o:lock v:ext="edit" aspectratio="f"/>
                <v:textbox>
                  <w:txbxContent>
                    <w:p>
                      <w:pPr>
                        <w:adjustRightInd w:val="0"/>
                        <w:snapToGrid w:val="0"/>
                        <w:spacing w:line="900" w:lineRule="exact"/>
                        <w:ind w:left="-42" w:leftChars="-20"/>
                        <w:jc w:val="center"/>
                        <w:rPr>
                          <w:rFonts w:ascii="新宋体" w:hAnsi="新宋体" w:eastAsia="新宋体" w:cs="新宋体"/>
                          <w:b/>
                          <w:bCs/>
                          <w:color w:val="FF0000"/>
                          <w:kern w:val="40"/>
                          <w:sz w:val="58"/>
                          <w:szCs w:val="58"/>
                        </w:rPr>
                      </w:pPr>
                      <w:r>
                        <w:rPr>
                          <w:rFonts w:hint="eastAsia" w:ascii="新宋体" w:hAnsi="新宋体" w:eastAsia="新宋体" w:cs="新宋体"/>
                          <w:b/>
                          <w:bCs/>
                          <w:color w:val="FF0000"/>
                          <w:kern w:val="40"/>
                          <w:sz w:val="58"/>
                          <w:szCs w:val="58"/>
                        </w:rPr>
                        <w:t>深圳市福田区文化广电旅游体育局</w:t>
                      </w:r>
                    </w:p>
                    <w:p>
                      <w:pPr>
                        <w:pStyle w:val="7"/>
                        <w:spacing w:before="468" w:beforeLines="150" w:line="640" w:lineRule="exact"/>
                        <w:jc w:val="distribute"/>
                        <w:rPr>
                          <w:rFonts w:ascii="方正大标宋简体" w:eastAsia="方正大标宋简体"/>
                          <w:color w:val="EB0000"/>
                          <w:spacing w:val="-19"/>
                          <w:kern w:val="0"/>
                          <w:sz w:val="52"/>
                          <w:szCs w:val="52"/>
                        </w:rPr>
                      </w:pPr>
                      <w:r>
                        <w:rPr>
                          <w:rFonts w:hint="eastAsia" w:ascii="方正小标宋简体" w:hAnsi="方正小标宋简体" w:eastAsia="方正小标宋简体" w:cs="方正小标宋简体"/>
                          <w:color w:val="EB0000"/>
                          <w:spacing w:val="4"/>
                          <w:kern w:val="0"/>
                          <w:sz w:val="52"/>
                          <w:szCs w:val="52"/>
                        </w:rPr>
                        <w:t xml:space="preserve">jujuzhng </w:t>
                      </w:r>
                      <w:r>
                        <w:rPr>
                          <w:rFonts w:hint="eastAsia" w:ascii="方正小标宋简体" w:hAnsi="方正小标宋简体" w:eastAsia="方正小标宋简体" w:cs="方正小标宋简体"/>
                          <w:color w:val="EB0000"/>
                          <w:spacing w:val="-3"/>
                          <w:kern w:val="0"/>
                          <w:sz w:val="52"/>
                          <w:szCs w:val="52"/>
                        </w:rPr>
                        <w:t>局</w:t>
                      </w:r>
                    </w:p>
                    <w:p>
                      <w:pPr>
                        <w:pStyle w:val="7"/>
                        <w:spacing w:before="468" w:beforeLines="150" w:line="500" w:lineRule="exact"/>
                        <w:rPr>
                          <w:rFonts w:ascii="方正大标宋简体" w:eastAsia="方正大标宋简体"/>
                          <w:color w:val="EB0000"/>
                          <w:spacing w:val="-19"/>
                          <w:kern w:val="0"/>
                          <w:sz w:val="32"/>
                          <w:szCs w:val="32"/>
                        </w:rPr>
                      </w:pPr>
                    </w:p>
                    <w:p>
                      <w:pPr>
                        <w:pStyle w:val="7"/>
                        <w:spacing w:before="468" w:beforeLines="150" w:line="640" w:lineRule="exact"/>
                        <w:rPr>
                          <w:rFonts w:ascii="方正大标宋简体" w:eastAsia="方正大标宋简体"/>
                          <w:color w:val="EB0000"/>
                          <w:kern w:val="0"/>
                          <w:sz w:val="56"/>
                          <w:szCs w:val="56"/>
                        </w:rPr>
                      </w:pPr>
                    </w:p>
                    <w:p>
                      <w:pPr>
                        <w:rPr>
                          <w:color w:val="EB0000"/>
                        </w:rPr>
                      </w:pPr>
                    </w:p>
                  </w:txbxContent>
                </v:textbox>
              </v:rect>
            </w:pict>
          </mc:Fallback>
        </mc:AlternateContent>
      </w:r>
    </w:p>
    <w:p>
      <w:pPr>
        <w:jc w:val="center"/>
        <w:rPr>
          <w:rFonts w:ascii="方正大标宋简体" w:hAnsi="方正大标宋简体" w:eastAsia="方正大标宋简体" w:cs="方正大标宋简体"/>
          <w:sz w:val="44"/>
          <w:szCs w:val="44"/>
        </w:rPr>
      </w:pPr>
      <w:r>
        <w:rPr>
          <w:sz w:val="44"/>
          <w:szCs w:val="44"/>
        </w:rPr>
        <mc:AlternateContent>
          <mc:Choice Requires="wps">
            <w:drawing>
              <wp:anchor distT="0" distB="0" distL="114300" distR="114300" simplePos="0" relativeHeight="251660288" behindDoc="0" locked="0" layoutInCell="1" allowOverlap="1">
                <wp:simplePos x="0" y="0"/>
                <wp:positionH relativeFrom="column">
                  <wp:posOffset>-109855</wp:posOffset>
                </wp:positionH>
                <wp:positionV relativeFrom="paragraph">
                  <wp:posOffset>173990</wp:posOffset>
                </wp:positionV>
                <wp:extent cx="5930265" cy="635"/>
                <wp:effectExtent l="0" t="28575" r="13335" b="31750"/>
                <wp:wrapNone/>
                <wp:docPr id="2" name="直接连接符 2"/>
                <wp:cNvGraphicFramePr/>
                <a:graphic xmlns:a="http://schemas.openxmlformats.org/drawingml/2006/main">
                  <a:graphicData uri="http://schemas.microsoft.com/office/word/2010/wordprocessingShape">
                    <wps:wsp>
                      <wps:cNvCnPr/>
                      <wps:spPr>
                        <a:xfrm>
                          <a:off x="0" y="0"/>
                          <a:ext cx="5930265" cy="635"/>
                        </a:xfrm>
                        <a:prstGeom prst="line">
                          <a:avLst/>
                        </a:prstGeom>
                        <a:ln w="57150" cap="flat" cmpd="thickThin">
                          <a:solidFill>
                            <a:srgbClr val="EB0000"/>
                          </a:solidFill>
                          <a:prstDash val="solid"/>
                          <a:headEnd type="none" w="med" len="med"/>
                          <a:tailEnd type="none" w="med" len="med"/>
                        </a:ln>
                      </wps:spPr>
                      <wps:bodyPr/>
                    </wps:wsp>
                  </a:graphicData>
                </a:graphic>
              </wp:anchor>
            </w:drawing>
          </mc:Choice>
          <mc:Fallback>
            <w:pict>
              <v:line id="_x0000_s1026" o:spid="_x0000_s1026" o:spt="20" style="position:absolute;left:0pt;margin-left:-8.65pt;margin-top:13.7pt;height:0.05pt;width:466.95pt;z-index:251660288;mso-width-relative:page;mso-height-relative:page;" filled="f" stroked="t" coordsize="21600,21600" o:gfxdata="UEsDBAoAAAAAAIdO4kAAAAAAAAAAAAAAAAAEAAAAZHJzL1BLAwQUAAAACACHTuJAy4HvQtcAAAAJ&#10;AQAADwAAAGRycy9kb3ducmV2LnhtbE2PwU7DMAyG70i8Q2QkblvSwbqtNN1hiAvahYLg6jVeW61x&#10;qibrytuTndjR9qff359vJ9uJkQbfOtaQzBUI4sqZlmsNX59vszUIH5ANdo5Jwy952Bb3dzlmxl34&#10;g8Yy1CKGsM9QQxNCn0npq4Ys+rnriePt6AaLIY5DLc2AlxhuO7lQKpUWW44fGuxp11B1Ks9Ww27a&#10;lN+vOJ3a/mcvq3Gv3sul0vrxIVEvIAJN4R+Gq35UhyI6HdyZjRedhlmyeoqohsXqGUQENkmagjhc&#10;F0uQRS5vGxR/UEsDBBQAAAAIAIdO4kA5HFtI9QEAAOEDAAAOAAAAZHJzL2Uyb0RvYy54bWytU82O&#10;0zAQviPxDpbvNGlWLRA1XYntLhcEldh9gKntNBb+k+1t2pfgBZC4wYkjd96G5TF27IQuLJceyMEZ&#10;z4w/z/fNeHG+14rshA/SmoZOJyUlwjDLpdk29Ob66tkLSkIEw0FZIxp6EIGeL58+WfSuFpXtrOLC&#10;EwQxoe5dQ7sYXV0UgXVCQ5hYJwwGW+s1RNz6bcE99IiuVVGV5bzorefOWyZCQO9qCNIR0Z8CaNtW&#10;MrGy7FYLEwdULxREpBQ66QJd5mrbVrD4rm2DiEQ1FJnGvOIlaG/SWiwXUG89uE6ysQQ4pYRHnDRI&#10;g5ceoVYQgdx6+Q+UlszbYNs4YVYXA5GsCLKYlo+0ed+BE5kLSh3cUfTw/2DZ293aE8kbWlFiQGPD&#10;7z59//nxy68fn3G9+/aVVEmk3oUacy/M2o+74NY+Md63Xqc/ciH7LOzhKKzYR8LQOXt5VlbzGSUM&#10;Y/OzWUIsHo46H+JrYTVJRkOVNIk11LB7E+KQ+jsluZUhPWI+n86wiwxwBlvsPZraIY+Infxw3Y39&#10;CFZJfiWVSgeD324ulCc7wGm4fFXiN1byV1q6awWhG/JyKKVB3Qngl4aTeHCok8HnQVMlWnBKlMDX&#10;lKycGUGqUzJRBGVQiyTvIGiyNpYfss7Zj53Pao1Tmkbrz30+/fAyl/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Lge9C1wAAAAkBAAAPAAAAAAAAAAEAIAAAACIAAABkcnMvZG93bnJldi54bWxQSwEC&#10;FAAUAAAACACHTuJAORxbSPUBAADhAwAADgAAAAAAAAABACAAAAAmAQAAZHJzL2Uyb0RvYy54bWxQ&#10;SwUGAAAAAAYABgBZAQAAjQUAAAAA&#10;">
                <v:fill on="f" focussize="0,0"/>
                <v:stroke weight="4.5pt" color="#EB0000" linestyle="thickThin" joinstyle="round"/>
                <v:imagedata o:title=""/>
                <o:lock v:ext="edit" aspectratio="f"/>
              </v:line>
            </w:pict>
          </mc:Fallback>
        </mc:AlternateConten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关于深圳市福田区第七届人民代表大会第七次会议代表建议《关于“提高文化软实力”方面</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的建议》（第20210056号）的回复</w:t>
      </w:r>
    </w:p>
    <w:p/>
    <w:p>
      <w:pPr>
        <w:spacing w:line="560" w:lineRule="exact"/>
        <w:rPr>
          <w:rFonts w:ascii="仿宋_GB2312" w:hAnsi="仿宋_GB2312" w:eastAsia="仿宋_GB2312" w:cs="仿宋_GB2312"/>
          <w:sz w:val="32"/>
          <w:szCs w:val="32"/>
        </w:rPr>
      </w:pPr>
      <w:r>
        <w:rPr>
          <w:rFonts w:hint="eastAsia" w:ascii="仿宋_GB2312" w:eastAsia="仿宋_GB2312"/>
          <w:sz w:val="32"/>
          <w:szCs w:val="32"/>
        </w:rPr>
        <w:t>尊敬的陈文如、马晶、江汉等11位代表：</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你</w:t>
      </w:r>
      <w:bookmarkStart w:id="7" w:name="_GoBack"/>
      <w:bookmarkEnd w:id="7"/>
      <w:r>
        <w:rPr>
          <w:rFonts w:hint="eastAsia" w:ascii="仿宋_GB2312" w:eastAsia="仿宋_GB2312"/>
          <w:sz w:val="32"/>
          <w:szCs w:val="32"/>
        </w:rPr>
        <w:t>们在深圳市福田区第七届人民代表大会第七次会议上提出的《关于“提高文化软实力”方面的建议》（第20210056号）收悉。我局会同福田区委宣传部、区科技创新局、区教育局、区公共文化体育发展中心等部门认真研究，</w:t>
      </w:r>
      <w:r>
        <w:rPr>
          <w:rFonts w:hint="eastAsia" w:ascii="仿宋_GB2312" w:hAnsi="仿宋_GB2312" w:eastAsia="仿宋_GB2312" w:cs="仿宋_GB2312"/>
          <w:sz w:val="32"/>
          <w:szCs w:val="32"/>
        </w:rPr>
        <w:t>结合当前工作实</w:t>
      </w:r>
      <w:r>
        <w:rPr>
          <w:rFonts w:hint="eastAsia" w:ascii="仿宋_GB2312" w:eastAsia="仿宋_GB2312"/>
          <w:sz w:val="32"/>
          <w:szCs w:val="32"/>
        </w:rPr>
        <w:t>际和安排，现将办理情况答复如下：</w:t>
      </w:r>
    </w:p>
    <w:p>
      <w:pPr>
        <w:spacing w:line="600" w:lineRule="exact"/>
        <w:ind w:firstLine="640" w:firstLineChars="200"/>
        <w:rPr>
          <w:rFonts w:ascii="黑体" w:hAnsi="黑体" w:eastAsia="黑体"/>
          <w:sz w:val="32"/>
          <w:szCs w:val="32"/>
        </w:rPr>
      </w:pPr>
      <w:r>
        <w:rPr>
          <w:rFonts w:hint="eastAsia" w:ascii="黑体" w:hAnsi="黑体" w:eastAsia="黑体" w:cs="楷体_GB2312"/>
          <w:sz w:val="32"/>
          <w:szCs w:val="32"/>
        </w:rPr>
        <w:t>一、意见采纳及落实情况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各位代表就如何提高文化软实力提出了三条建议，我局高度重视，均进行了吸收采纳，并进一步结合各部门工作实际，积极联动部署，创新方式方法，有效夯实大湾区文化高地新优势。</w:t>
      </w:r>
    </w:p>
    <w:p>
      <w:pPr>
        <w:spacing w:line="600" w:lineRule="exact"/>
        <w:ind w:firstLine="880" w:firstLineChars="200"/>
      </w:pPr>
      <w:r>
        <w:rPr>
          <w:rFonts w:hint="eastAsia" w:ascii="楷体_GB2312" w:hAnsi="楷体_GB2312" w:eastAsia="楷体_GB2312" w:cs="楷体_GB2312"/>
          <w:sz w:val="44"/>
          <w:szCs w:val="44"/>
        </w:rPr>
        <mc:AlternateContent>
          <mc:Choice Requires="wps">
            <w:drawing>
              <wp:anchor distT="0" distB="0" distL="114300" distR="114300" simplePos="0" relativeHeight="251661312" behindDoc="0" locked="0" layoutInCell="1" allowOverlap="1">
                <wp:simplePos x="0" y="0"/>
                <wp:positionH relativeFrom="column">
                  <wp:posOffset>-71755</wp:posOffset>
                </wp:positionH>
                <wp:positionV relativeFrom="paragraph">
                  <wp:posOffset>4753610</wp:posOffset>
                </wp:positionV>
                <wp:extent cx="5930265" cy="635"/>
                <wp:effectExtent l="0" t="28575" r="13335" b="31750"/>
                <wp:wrapNone/>
                <wp:docPr id="3" name="直接连接符 3"/>
                <wp:cNvGraphicFramePr/>
                <a:graphic xmlns:a="http://schemas.openxmlformats.org/drawingml/2006/main">
                  <a:graphicData uri="http://schemas.microsoft.com/office/word/2010/wordprocessingShape">
                    <wps:wsp>
                      <wps:cNvCnPr/>
                      <wps:spPr>
                        <a:xfrm>
                          <a:off x="0" y="0"/>
                          <a:ext cx="5930265" cy="635"/>
                        </a:xfrm>
                        <a:prstGeom prst="line">
                          <a:avLst/>
                        </a:prstGeom>
                        <a:ln w="57150" cap="flat" cmpd="thickThin">
                          <a:solidFill>
                            <a:srgbClr val="EB0000"/>
                          </a:solidFill>
                          <a:prstDash val="solid"/>
                          <a:headEnd type="none" w="med" len="med"/>
                          <a:tailEnd type="none" w="med" len="med"/>
                        </a:ln>
                      </wps:spPr>
                      <wps:bodyPr/>
                    </wps:wsp>
                  </a:graphicData>
                </a:graphic>
              </wp:anchor>
            </w:drawing>
          </mc:Choice>
          <mc:Fallback>
            <w:pict>
              <v:line id="_x0000_s1026" o:spid="_x0000_s1026" o:spt="20" style="position:absolute;left:0pt;margin-left:-5.65pt;margin-top:374.3pt;height:0.05pt;width:466.95pt;z-index:251661312;mso-width-relative:page;mso-height-relative:page;" filled="f" stroked="t" coordsize="21600,21600" o:gfxdata="UEsDBAoAAAAAAIdO4kAAAAAAAAAAAAAAAAAEAAAAZHJzL1BLAwQUAAAACACHTuJAlIxt19gAAAAL&#10;AQAADwAAAGRycy9kb3ducmV2LnhtbE2PPU/DMBCGdyT+g3VIbK2dAP1I43QoYkFdCAjWa3xNosbn&#10;KHbT8O8xLHS7j0fvPZdvJ9uJkQbfOtaQzBUI4sqZlmsNH+8vsxUIH5ANdo5Jwzd52Ba3Nzlmxl34&#10;jcYy1CKGsM9QQxNCn0npq4Ys+rnriePu6AaLIbZDLc2AlxhuO5kqtZAWW44XGuxp11B1Ks9Ww25a&#10;l5/POJ3a/msvq3GvXssnpfX9XaI2IAJN4R+GX/2oDkV0OrgzGy86DbMkeYiohuXjagEiEus0jcXh&#10;b7IEWeTy+ofiB1BLAwQUAAAACACHTuJAP1/iBfYBAADhAwAADgAAAGRycy9lMm9Eb2MueG1srVPN&#10;bhMxEL4j9R0s35vdJEqAVTaV2rS9IIhEeYCJ7c1a+E+2m01eghdA4gYnjtx5G8pjMPYuKZRLDuzB&#10;O54Zf57vm/HiYq8V2QkfpDU1HY9KSoRhlkuzrem7u5vzF5SECIaDskbU9CACvViePVt0rhIT21rF&#10;hScIYkLVuZq2MbqqKAJrhYYwsk4YDDbWa4i49duCe+gQXatiUpbzorOeO2+ZCAG9qz5IB0R/CqBt&#10;GsnEyrJ7LUzsUb1QEJFSaKULdJmrbRrB4pumCSISVVNkGvOKl6C9SWuxXEC19eBayYYS4JQSnnDS&#10;IA1eeoRaQQRy7+U/UFoyb4Nt4ohZXfREsiLIYlw+0eZtC05kLih1cEfRw/+DZa93a08kr+mUEgMa&#10;G/7w8duPD59/fv+E68PXL2SaROpcqDD3yqz9sAtu7RPjfeN1+iMXss/CHo7Cin0kDJ2zl9NyMp9R&#10;wjA2n84SYvF41PkQb4XVJBk1VdIk1lDB7lWIfervlORWhnSI+Xw8wy4ywBlssPdoaoc8Inby/V07&#10;9CNYJfmNVCodDH67uVKe7ACn4fqyxG+o5K+0dNcKQtvn5VBKg6oVwK8NJ/HgUCeDz4OmSrTglCiB&#10;rylZOTOCVKdkogjKoBZJ3l7QZG0sP2Sdsx87n9UapjSN1p/7fPrxZS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SMbdfYAAAACwEAAA8AAAAAAAAAAQAgAAAAIgAAAGRycy9kb3ducmV2LnhtbFBL&#10;AQIUABQAAAAIAIdO4kA/X+IF9gEAAOEDAAAOAAAAAAAAAAEAIAAAACcBAABkcnMvZTJvRG9jLnht&#10;bFBLBQYAAAAABgAGAFkBAACPBQAAAAA=&#10;">
                <v:fill on="f" focussize="0,0"/>
                <v:stroke weight="4.5pt" color="#EB0000" linestyle="thickThin" joinstyle="round"/>
                <v:imagedata o:title=""/>
                <o:lock v:ext="edit" aspectratio="f"/>
              </v:line>
            </w:pict>
          </mc:Fallback>
        </mc:AlternateContent>
      </w:r>
      <w:r>
        <w:rPr>
          <w:rFonts w:hint="eastAsia" w:ascii="楷体_GB2312" w:hAnsi="楷体_GB2312" w:eastAsia="楷体_GB2312" w:cs="楷体_GB2312"/>
          <w:sz w:val="32"/>
          <w:szCs w:val="32"/>
        </w:rPr>
        <w:t>（一）大力促进对外文化及产业交流合作，积极展示福田良好形象。</w:t>
      </w:r>
      <w:r>
        <w:rPr>
          <w:rFonts w:hint="eastAsia" w:ascii="仿宋_GB2312" w:eastAsia="仿宋_GB2312"/>
          <w:sz w:val="32"/>
          <w:szCs w:val="32"/>
        </w:rPr>
        <w:t>在文化体育活动交流方面，福田区与多个国际城市签署了合作交流备忘录，通过“文化搭桥、活动助力”的形式为城市间友好交流提供互动平台，并与俄罗斯、日本等地进行多次文化活动交流、学术交流，持续提升福田文化影响力，有效输出中华文明价值观。在文化产业合作方面，</w:t>
      </w:r>
      <w:r>
        <w:rPr>
          <w:rFonts w:hint="eastAsia" w:ascii="仿宋_GB2312" w:hAnsi="Times New Roman" w:eastAsia="仿宋_GB2312" w:cs="仿宋_GB2312"/>
          <w:sz w:val="32"/>
          <w:szCs w:val="32"/>
        </w:rPr>
        <w:t>率先成立区级“国际时尚战略委员会”，</w:t>
      </w:r>
      <w:r>
        <w:rPr>
          <w:rFonts w:hint="eastAsia" w:ascii="仿宋_GB2312" w:eastAsia="仿宋_GB2312"/>
          <w:sz w:val="32"/>
          <w:szCs w:val="32"/>
        </w:rPr>
        <w:t>推动福田全域加入全球商务区创新联合会，实现全市各区首次加入国际级商务交流合作平台新突破，持续加强国际文化产业创新资源对接合作。</w:t>
      </w:r>
    </w:p>
    <w:p>
      <w:pPr>
        <w:spacing w:line="600" w:lineRule="exact"/>
        <w:ind w:firstLine="643" w:firstLineChars="200"/>
        <w:rPr>
          <w:rFonts w:ascii="仿宋_GB2312" w:eastAsia="仿宋_GB2312"/>
          <w:b/>
          <w:bCs/>
          <w:sz w:val="32"/>
          <w:szCs w:val="32"/>
        </w:rPr>
      </w:pPr>
      <w:r>
        <w:rPr>
          <w:rFonts w:hint="eastAsia" w:ascii="仿宋_GB2312" w:eastAsia="仿宋_GB2312"/>
          <w:b/>
          <w:bCs/>
          <w:sz w:val="32"/>
          <w:szCs w:val="32"/>
        </w:rPr>
        <w:t>（二）多场景、多手段推动“文化+科技”深度融合发展。</w:t>
      </w:r>
      <w:r>
        <w:rPr>
          <w:rFonts w:hint="eastAsia" w:ascii="仿宋_GB2312" w:hAnsi="仿宋_GB2312" w:eastAsia="仿宋_GB2312" w:cs="仿宋_GB2312"/>
          <w:b/>
          <w:color w:val="000000" w:themeColor="text1"/>
          <w:sz w:val="32"/>
          <w:szCs w:val="32"/>
          <w14:textFill>
            <w14:solidFill>
              <w14:schemeClr w14:val="tx1"/>
            </w14:solidFill>
          </w14:textFill>
        </w:rPr>
        <w:t>一是以特色活动为载体持续丰富应用场景。</w:t>
      </w:r>
      <w:r>
        <w:rPr>
          <w:rFonts w:hint="eastAsia" w:ascii="仿宋_GB2312" w:hAnsi="仿宋_GB2312" w:eastAsia="仿宋_GB2312" w:cs="仿宋_GB2312"/>
          <w:color w:val="000000" w:themeColor="text1"/>
          <w:sz w:val="32"/>
          <w:szCs w:val="32"/>
          <w14:textFill>
            <w14:solidFill>
              <w14:schemeClr w14:val="tx1"/>
            </w14:solidFill>
          </w14:textFill>
        </w:rPr>
        <w:t>在</w:t>
      </w:r>
      <w:r>
        <w:rPr>
          <w:rFonts w:hint="eastAsia" w:ascii="仿宋_GB2312" w:hAnsi="仿宋_GB2312" w:eastAsia="仿宋_GB2312" w:cs="仿宋_GB2312"/>
          <w:sz w:val="32"/>
          <w:szCs w:val="32"/>
        </w:rPr>
        <w:t>第十一届深圳工艺美术博览会福田馆、第十六届云上文博会福田馆积极运用5G、VR等数字技术，对优秀文化艺术品进行创新展览展示。在华强北科技时尚文化特色街区积极举办</w:t>
      </w:r>
      <w:r>
        <w:rPr>
          <w:rFonts w:hint="eastAsia" w:ascii="仿宋_GB2312" w:hAnsi="Times New Roman" w:eastAsia="仿宋_GB2312" w:cs="仿宋_GB2312"/>
          <w:sz w:val="32"/>
          <w:szCs w:val="32"/>
        </w:rPr>
        <w:t>第五届98音乐节、深圳国际时尚电玩节等特色活动，创新引入数字电竞舱、5G、AR体验等技术，</w:t>
      </w:r>
      <w:r>
        <w:rPr>
          <w:rFonts w:hint="eastAsia" w:ascii="仿宋_GB2312" w:hAnsi="宋体" w:eastAsia="仿宋_GB2312"/>
          <w:sz w:val="32"/>
          <w:szCs w:val="32"/>
        </w:rPr>
        <w:t>丰富多样化文化科技融合应用场景。</w:t>
      </w:r>
      <w:r>
        <w:rPr>
          <w:rFonts w:hint="eastAsia" w:ascii="仿宋_GB2312" w:hAnsi="仿宋_GB2312" w:eastAsia="仿宋_GB2312" w:cs="仿宋_GB2312"/>
          <w:color w:val="000000" w:themeColor="text1"/>
          <w:sz w:val="32"/>
          <w:szCs w:val="32"/>
          <w14:textFill>
            <w14:solidFill>
              <w14:schemeClr w14:val="tx1"/>
            </w14:solidFill>
          </w14:textFill>
        </w:rPr>
        <w:t>同时，</w:t>
      </w:r>
      <w:r>
        <w:rPr>
          <w:rFonts w:hint="eastAsia" w:ascii="仿宋_GB2312" w:hAnsi="Times New Roman" w:eastAsia="仿宋_GB2312" w:cs="仿宋_GB2312"/>
          <w:sz w:val="32"/>
          <w:szCs w:val="32"/>
        </w:rPr>
        <w:t>加大线下文化服务设施设备数字化改造，提升辖区智慧化服务水平和市民体验感、获得感</w:t>
      </w:r>
      <w:r>
        <w:rPr>
          <w:rFonts w:hint="eastAsia" w:ascii="仿宋_GB2312" w:hAnsi="宋体" w:eastAsia="仿宋_GB2312"/>
          <w:sz w:val="32"/>
          <w:szCs w:val="32"/>
        </w:rPr>
        <w:t>。</w:t>
      </w:r>
      <w:r>
        <w:rPr>
          <w:rFonts w:hint="eastAsia" w:ascii="仿宋_GB2312" w:eastAsia="仿宋_GB2312"/>
          <w:b/>
          <w:bCs/>
          <w:sz w:val="32"/>
          <w:szCs w:val="32"/>
        </w:rPr>
        <w:t>二是以科技手段赋能文化产业高质量发展。</w:t>
      </w:r>
      <w:r>
        <w:rPr>
          <w:rFonts w:hint="eastAsia" w:ascii="仿宋_GB2312" w:hAnsi="仿宋_GB2312" w:eastAsia="仿宋_GB2312" w:cs="仿宋_GB2312"/>
          <w:color w:val="000000" w:themeColor="text1"/>
          <w:sz w:val="32"/>
          <w:szCs w:val="32"/>
          <w14:textFill>
            <w14:solidFill>
              <w14:schemeClr w14:val="tx1"/>
            </w14:solidFill>
          </w14:textFill>
        </w:rPr>
        <w:t>积极</w:t>
      </w:r>
      <w:r>
        <w:rPr>
          <w:rFonts w:ascii="仿宋_GB2312" w:hAnsi="仿宋_GB2312" w:eastAsia="仿宋_GB2312" w:cs="仿宋_GB2312"/>
          <w:color w:val="000000" w:themeColor="text1"/>
          <w:sz w:val="32"/>
          <w:szCs w:val="32"/>
          <w14:textFill>
            <w14:solidFill>
              <w14:schemeClr w14:val="tx1"/>
            </w14:solidFill>
          </w14:textFill>
        </w:rPr>
        <w:t>打造全国首个数字文化产业基地</w:t>
      </w:r>
      <w:r>
        <w:rPr>
          <w:rFonts w:hint="eastAsia" w:ascii="仿宋_GB2312" w:hAnsi="仿宋_GB2312" w:eastAsia="仿宋_GB2312" w:cs="仿宋_GB2312"/>
          <w:color w:val="000000" w:themeColor="text1"/>
          <w:sz w:val="32"/>
          <w:szCs w:val="32"/>
          <w14:textFill>
            <w14:solidFill>
              <w14:schemeClr w14:val="tx1"/>
            </w14:solidFill>
          </w14:textFill>
        </w:rPr>
        <w:t>，有效推动线上线下一站式内容创作体验综合体及众创空间等产业载体建设。支持</w:t>
      </w:r>
      <w:r>
        <w:rPr>
          <w:rFonts w:hint="eastAsia" w:ascii="仿宋_GB2312" w:hAnsi="仿宋_GB2312" w:eastAsia="仿宋_GB2312" w:cs="仿宋_GB2312"/>
          <w:sz w:val="32"/>
          <w:szCs w:val="32"/>
        </w:rPr>
        <w:t>建设深圳国际设计师创新孵化基地，以数字技术赋能企业创新能力建设。</w:t>
      </w:r>
    </w:p>
    <w:p>
      <w:pPr>
        <w:pStyle w:val="2"/>
        <w:spacing w:line="600" w:lineRule="exact"/>
        <w:ind w:firstLine="643" w:firstLineChars="200"/>
        <w:rPr>
          <w:rFonts w:ascii="仿宋_GB2312" w:hAnsi="仿宋_GB2312" w:eastAsia="仿宋_GB2312" w:cs="仿宋_GB2312"/>
          <w:color w:val="auto"/>
          <w:kern w:val="2"/>
          <w:sz w:val="32"/>
          <w:szCs w:val="32"/>
        </w:rPr>
      </w:pPr>
      <w:r>
        <w:rPr>
          <w:rFonts w:hint="eastAsia" w:ascii="仿宋_GB2312" w:eastAsia="仿宋_GB2312" w:hAnsiTheme="minorHAnsi" w:cstheme="minorBidi"/>
          <w:b/>
          <w:bCs/>
          <w:color w:val="auto"/>
          <w:kern w:val="2"/>
          <w:sz w:val="32"/>
          <w:szCs w:val="32"/>
        </w:rPr>
        <w:t>（三）加强优质资源引入，促进文化软实力提升</w:t>
      </w:r>
      <w:r>
        <w:rPr>
          <w:rFonts w:hint="eastAsia" w:ascii="楷体_GB2312" w:hAnsi="楷体_GB2312" w:eastAsia="楷体_GB2312" w:cs="楷体_GB2312"/>
          <w:b/>
          <w:color w:val="auto"/>
          <w:kern w:val="2"/>
          <w:sz w:val="32"/>
          <w:szCs w:val="32"/>
        </w:rPr>
        <w:t>。</w:t>
      </w:r>
      <w:r>
        <w:rPr>
          <w:rFonts w:hint="eastAsia" w:ascii="仿宋_GB2312" w:hAnsi="仿宋_GB2312" w:eastAsia="仿宋_GB2312" w:cs="仿宋_GB2312"/>
          <w:color w:val="auto"/>
          <w:kern w:val="2"/>
          <w:sz w:val="32"/>
          <w:szCs w:val="32"/>
        </w:rPr>
        <w:t>用好地方和高校“两种资源”“两种手段”，根据各自的特点开展多维度合作，夯实发展根基。清华大学经济管理深圳研究院、深</w:t>
      </w:r>
      <w:r>
        <w:rPr>
          <w:rFonts w:hint="eastAsia" w:ascii="仿宋_GB2312" w:hAnsi="Times New Roman" w:eastAsia="仿宋_GB2312" w:cs="仿宋_GB2312"/>
          <w:color w:val="auto"/>
          <w:kern w:val="2"/>
          <w:sz w:val="32"/>
          <w:szCs w:val="32"/>
        </w:rPr>
        <w:t>圳高等金融研究院</w:t>
      </w:r>
      <w:r>
        <w:rPr>
          <w:rFonts w:hint="eastAsia" w:ascii="仿宋_GB2312" w:hAnsi="仿宋_GB2312" w:eastAsia="仿宋_GB2312" w:cs="仿宋_GB2312"/>
          <w:color w:val="auto"/>
          <w:kern w:val="2"/>
          <w:sz w:val="32"/>
          <w:szCs w:val="32"/>
        </w:rPr>
        <w:t>成功落户福田，</w:t>
      </w:r>
      <w:r>
        <w:rPr>
          <w:rFonts w:hint="eastAsia" w:ascii="仿宋_GB2312" w:hAnsi="Times New Roman" w:eastAsia="仿宋_GB2312" w:cs="仿宋_GB2312"/>
          <w:color w:val="auto"/>
          <w:kern w:val="2"/>
          <w:sz w:val="32"/>
          <w:szCs w:val="32"/>
        </w:rPr>
        <w:t>积极完善人才“引、培、留”机制，进一步夯实文化人才软实力。</w:t>
      </w:r>
    </w:p>
    <w:p>
      <w:pPr>
        <w:spacing w:line="600" w:lineRule="exact"/>
        <w:ind w:firstLine="640" w:firstLineChars="200"/>
        <w:rPr>
          <w:rFonts w:ascii="黑体" w:hAnsi="黑体" w:eastAsia="黑体"/>
          <w:sz w:val="32"/>
          <w:szCs w:val="32"/>
        </w:rPr>
      </w:pPr>
      <w:r>
        <w:rPr>
          <w:rFonts w:hint="eastAsia" w:ascii="黑体" w:hAnsi="黑体" w:eastAsia="黑体" w:cs="楷体_GB2312"/>
          <w:sz w:val="32"/>
          <w:szCs w:val="32"/>
        </w:rPr>
        <w:t>二、关于进一步落实代表建议的工作计划</w:t>
      </w:r>
    </w:p>
    <w:p>
      <w:pPr>
        <w:ind w:firstLine="64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Times New Roman" w:eastAsia="仿宋_GB2312" w:cs="仿宋_GB2312"/>
          <w:sz w:val="32"/>
          <w:szCs w:val="32"/>
        </w:rPr>
        <w:t>2021年是“十四五”开局之年，为高质量推动福田文化产业发展、文体事业繁荣，持续提升福田文化软实力，我区专门编制了《福田区文化创意产业发展“十四五”规划》。</w:t>
      </w:r>
      <w:r>
        <w:rPr>
          <w:rFonts w:hint="eastAsia" w:ascii="仿宋_GB2312" w:hAnsi="仿宋_GB2312" w:eastAsia="仿宋_GB2312" w:cs="仿宋_GB2312"/>
          <w:color w:val="000000" w:themeColor="text1"/>
          <w:sz w:val="32"/>
          <w:szCs w:val="32"/>
          <w14:textFill>
            <w14:solidFill>
              <w14:schemeClr w14:val="tx1"/>
            </w14:solidFill>
          </w14:textFill>
        </w:rPr>
        <w:t>未来五年，福田区将</w:t>
      </w: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坚持以习近平新时代中国特色社会主义思想为指导，抢抓“双区”建设和深圳综合改革试点重大历史机遇，以“三大新引擎”为总牵引，突出“三大产业”，瞄准“三大定位”</w:t>
      </w:r>
      <w:r>
        <w:rPr>
          <w:rFonts w:hint="eastAsia" w:ascii="仿宋_GB2312" w:hAnsi="仿宋_GB2312" w:eastAsia="仿宋_GB2312" w:cs="仿宋_GB2312"/>
          <w:color w:val="000000" w:themeColor="text1"/>
          <w:sz w:val="32"/>
          <w:szCs w:val="32"/>
          <w14:textFill>
            <w14:solidFill>
              <w14:schemeClr w14:val="tx1"/>
            </w14:solidFill>
          </w14:textFill>
        </w:rPr>
        <w:t>，以集群化发展为</w:t>
      </w:r>
      <w:r>
        <w:rPr>
          <w:rFonts w:ascii="仿宋_GB2312" w:hAnsi="仿宋_GB2312" w:eastAsia="仿宋_GB2312" w:cs="仿宋_GB2312"/>
          <w:color w:val="000000" w:themeColor="text1"/>
          <w:sz w:val="32"/>
          <w:szCs w:val="32"/>
          <w14:textFill>
            <w14:solidFill>
              <w14:schemeClr w14:val="tx1"/>
            </w14:solidFill>
          </w14:textFill>
        </w:rPr>
        <w:t>牵引性抓手</w:t>
      </w:r>
      <w:r>
        <w:rPr>
          <w:rFonts w:hint="eastAsia" w:ascii="仿宋_GB2312" w:hAnsi="仿宋_GB2312" w:eastAsia="仿宋_GB2312" w:cs="仿宋_GB2312"/>
          <w:color w:val="000000" w:themeColor="text1"/>
          <w:sz w:val="32"/>
          <w:szCs w:val="32"/>
          <w14:textFill>
            <w14:solidFill>
              <w14:schemeClr w14:val="tx1"/>
            </w14:solidFill>
          </w14:textFill>
        </w:rPr>
        <w:t>锚定</w:t>
      </w:r>
      <w:r>
        <w:rPr>
          <w:rFonts w:ascii="仿宋_GB2312" w:hAnsi="仿宋_GB2312" w:eastAsia="仿宋_GB2312" w:cs="仿宋_GB2312"/>
          <w:color w:val="000000" w:themeColor="text1"/>
          <w:sz w:val="32"/>
          <w:szCs w:val="32"/>
          <w14:textFill>
            <w14:solidFill>
              <w14:schemeClr w14:val="tx1"/>
            </w14:solidFill>
          </w14:textFill>
        </w:rPr>
        <w:t>带动全局重大战略</w:t>
      </w:r>
      <w:r>
        <w:rPr>
          <w:rFonts w:hint="eastAsia" w:ascii="仿宋_GB2312" w:hAnsi="仿宋_GB2312" w:eastAsia="仿宋_GB2312" w:cs="仿宋_GB2312"/>
          <w:color w:val="000000" w:themeColor="text1"/>
          <w:sz w:val="32"/>
          <w:szCs w:val="32"/>
          <w14:textFill>
            <w14:solidFill>
              <w14:schemeClr w14:val="tx1"/>
            </w14:solidFill>
          </w14:textFill>
        </w:rPr>
        <w:t>，以强大战略合力持续提高福田</w:t>
      </w:r>
      <w:r>
        <w:rPr>
          <w:rFonts w:hint="eastAsia" w:ascii="仿宋_GB2312" w:hAnsi="仿宋_GB2312" w:eastAsia="仿宋_GB2312" w:cs="仿宋_GB2312"/>
          <w:color w:val="000000" w:themeColor="text1"/>
          <w:sz w:val="32"/>
          <w:szCs w:val="32"/>
          <w:lang w:eastAsia="zh-CN"/>
          <w14:textFill>
            <w14:solidFill>
              <w14:schemeClr w14:val="tx1"/>
            </w14:solidFill>
          </w14:textFill>
        </w:rPr>
        <w:t>文化</w:t>
      </w:r>
      <w:r>
        <w:rPr>
          <w:rFonts w:hint="eastAsia" w:ascii="仿宋_GB2312" w:hAnsi="仿宋_GB2312" w:eastAsia="仿宋_GB2312" w:cs="仿宋_GB2312"/>
          <w:color w:val="000000" w:themeColor="text1"/>
          <w:sz w:val="32"/>
          <w:szCs w:val="32"/>
          <w14:textFill>
            <w14:solidFill>
              <w14:schemeClr w14:val="tx1"/>
            </w14:solidFill>
          </w14:textFill>
        </w:rPr>
        <w:t>软实力。</w:t>
      </w:r>
    </w:p>
    <w:p>
      <w:pPr>
        <w:ind w:firstLine="640"/>
        <w:rPr>
          <w:rFonts w:ascii="仿宋_GB2312" w:hAnsi="仿宋_GB2312" w:eastAsia="仿宋_GB2312" w:cs="仿宋_GB2312"/>
          <w:sz w:val="32"/>
          <w:szCs w:val="32"/>
        </w:rPr>
      </w:pPr>
      <w:r>
        <w:rPr>
          <w:rFonts w:hint="eastAsia" w:ascii="仿宋_GB2312" w:eastAsia="仿宋_GB2312"/>
          <w:b/>
          <w:bCs/>
          <w:sz w:val="32"/>
          <w:szCs w:val="32"/>
        </w:rPr>
        <w:t>一是积极推动“文化+科创”数字化创新发展。</w:t>
      </w:r>
      <w:r>
        <w:rPr>
          <w:rFonts w:hint="eastAsia" w:ascii="仿宋_GB2312" w:hAnsi="仿宋_GB2312" w:eastAsia="仿宋_GB2312" w:cs="仿宋_GB2312"/>
          <w:color w:val="000000" w:themeColor="text1"/>
          <w:sz w:val="32"/>
          <w:szCs w:val="32"/>
          <w14:textFill>
            <w14:solidFill>
              <w14:schemeClr w14:val="tx1"/>
            </w14:solidFill>
          </w14:textFill>
        </w:rPr>
        <w:t>以推动数字技术等与文化的创新融合为主要措施，构筑起新媒体和网络文化、数字出版、数字教育、数字文化装备、数字展览等数字文创产业发展主阵地</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推动实施“数字文创精品工程”，加强数字文化原创能力建设；促进优秀文化资源数字化，让优秀文化资源借助数字技术“活起来”。与国家文化大数据产业联盟积极展开合作，推动高水平数字出版基地及园区建设。积极筹办文化艺术特色活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进一步加大新技术在特色活动中的应用范围，创新拓展应用场景。</w:t>
      </w:r>
    </w:p>
    <w:p>
      <w:pPr>
        <w:pStyle w:val="5"/>
        <w:keepNext w:val="0"/>
        <w:keepLines w:val="0"/>
        <w:spacing w:before="0" w:after="0" w:line="560" w:lineRule="exact"/>
        <w:ind w:firstLine="643" w:firstLineChars="200"/>
        <w:rPr>
          <w:rFonts w:ascii="仿宋_GB2312" w:hAnsi="仿宋_GB2312" w:eastAsia="仿宋_GB2312" w:cs="仿宋_GB2312"/>
          <w:b w:val="0"/>
          <w:bCs w:val="0"/>
          <w:color w:val="000000" w:themeColor="text1"/>
          <w14:textFill>
            <w14:solidFill>
              <w14:schemeClr w14:val="tx1"/>
            </w14:solidFill>
          </w14:textFill>
        </w:rPr>
      </w:pPr>
      <w:bookmarkStart w:id="0" w:name="_Toc21948"/>
      <w:bookmarkStart w:id="1" w:name="_Toc20348"/>
      <w:bookmarkStart w:id="2" w:name="_Toc11977"/>
      <w:bookmarkStart w:id="3" w:name="_Toc4718"/>
      <w:bookmarkStart w:id="4" w:name="_Toc23071"/>
      <w:bookmarkStart w:id="5" w:name="_Toc1581"/>
      <w:r>
        <w:rPr>
          <w:rFonts w:hint="eastAsia" w:ascii="仿宋_GB2312" w:eastAsia="仿宋_GB2312"/>
        </w:rPr>
        <w:t>二是加快</w:t>
      </w:r>
      <w:bookmarkEnd w:id="0"/>
      <w:bookmarkEnd w:id="1"/>
      <w:bookmarkEnd w:id="2"/>
      <w:bookmarkEnd w:id="3"/>
      <w:bookmarkEnd w:id="4"/>
      <w:r>
        <w:rPr>
          <w:rFonts w:hint="eastAsia" w:ascii="仿宋_GB2312" w:eastAsia="仿宋_GB2312"/>
        </w:rPr>
        <w:t>海外文化消费市场开发</w:t>
      </w:r>
      <w:bookmarkEnd w:id="5"/>
      <w:r>
        <w:rPr>
          <w:rFonts w:hint="eastAsia" w:ascii="仿宋_GB2312" w:eastAsia="仿宋_GB2312"/>
        </w:rPr>
        <w:t>，强化对外文化交流合作。</w:t>
      </w:r>
      <w:r>
        <w:rPr>
          <w:rFonts w:hint="eastAsia" w:ascii="仿宋_GB2312" w:hAnsi="仿宋_GB2312" w:eastAsia="仿宋_GB2312" w:cs="仿宋_GB2312"/>
          <w:b w:val="0"/>
          <w:bCs w:val="0"/>
          <w:color w:val="000000" w:themeColor="text1"/>
          <w14:textFill>
            <w14:solidFill>
              <w14:schemeClr w14:val="tx1"/>
            </w14:solidFill>
          </w14:textFill>
        </w:rPr>
        <w:t>积极发挥“国际时尚战略委员会”和</w:t>
      </w:r>
      <w:r>
        <w:rPr>
          <w:rFonts w:ascii="仿宋_GB2312" w:hAnsi="仿宋_GB2312" w:eastAsia="仿宋_GB2312" w:cs="仿宋_GB2312"/>
          <w:b w:val="0"/>
          <w:bCs w:val="0"/>
          <w:color w:val="000000" w:themeColor="text1"/>
          <w14:textFill>
            <w14:solidFill>
              <w14:schemeClr w14:val="tx1"/>
            </w14:solidFill>
          </w14:textFill>
        </w:rPr>
        <w:t>全球商务区创新联合会</w:t>
      </w:r>
      <w:r>
        <w:rPr>
          <w:rFonts w:hint="eastAsia" w:ascii="仿宋_GB2312" w:hAnsi="仿宋_GB2312" w:eastAsia="仿宋_GB2312" w:cs="仿宋_GB2312"/>
          <w:b w:val="0"/>
          <w:bCs w:val="0"/>
          <w:color w:val="000000" w:themeColor="text1"/>
          <w14:textFill>
            <w14:solidFill>
              <w14:schemeClr w14:val="tx1"/>
            </w14:solidFill>
          </w14:textFill>
        </w:rPr>
        <w:t>平台作用，进一步拓展与国际资源的合作机会。持续完善文化出口重点企业和重点项目认定管理，鼓励版权出口，引导企业走出去。支持企业通过新设、收购、合作等方式进行文化产业跨国投资。</w:t>
      </w:r>
      <w:r>
        <w:rPr>
          <w:rFonts w:ascii="仿宋_GB2312" w:hAnsi="仿宋_GB2312" w:eastAsia="仿宋_GB2312" w:cs="仿宋_GB2312"/>
          <w:b w:val="0"/>
          <w:bCs w:val="0"/>
          <w:color w:val="000000" w:themeColor="text1"/>
          <w14:textFill>
            <w14:solidFill>
              <w14:schemeClr w14:val="tx1"/>
            </w14:solidFill>
          </w14:textFill>
        </w:rPr>
        <w:t>培育发展文化创意跨境电子商务等，鼓励文创企业创新开拓国际业务。支持文化企业和行业组织举办专业会展，支持企业参加中国国际进口博览会等国际大型节展和国家重点支持的展会活动，</w:t>
      </w:r>
      <w:r>
        <w:rPr>
          <w:rFonts w:hint="eastAsia" w:ascii="仿宋_GB2312" w:hAnsi="仿宋_GB2312" w:eastAsia="仿宋_GB2312" w:cs="仿宋_GB2312"/>
          <w:b w:val="0"/>
          <w:bCs w:val="0"/>
          <w:color w:val="000000" w:themeColor="text1"/>
          <w14:textFill>
            <w14:solidFill>
              <w14:schemeClr w14:val="tx1"/>
            </w14:solidFill>
          </w14:textFill>
        </w:rPr>
        <w:t>有效深化开展多层次文化领域对外合作。</w:t>
      </w:r>
    </w:p>
    <w:p>
      <w:pPr>
        <w:pStyle w:val="5"/>
        <w:keepNext w:val="0"/>
        <w:keepLines w:val="0"/>
        <w:spacing w:before="0" w:after="0" w:line="560" w:lineRule="exact"/>
        <w:ind w:firstLine="643" w:firstLineChars="200"/>
        <w:rPr>
          <w:rFonts w:ascii="仿宋_GB2312" w:hAnsi="仿宋_GB2312" w:eastAsia="仿宋_GB2312" w:cs="仿宋_GB2312"/>
          <w:b w:val="0"/>
          <w:bCs w:val="0"/>
          <w:color w:val="000000" w:themeColor="text1"/>
          <w14:textFill>
            <w14:solidFill>
              <w14:schemeClr w14:val="tx1"/>
            </w14:solidFill>
          </w14:textFill>
        </w:rPr>
      </w:pPr>
      <w:bookmarkStart w:id="6" w:name="_Toc26707"/>
      <w:r>
        <w:rPr>
          <w:rFonts w:hint="eastAsia" w:ascii="仿宋_GB2312" w:eastAsia="仿宋_GB2312"/>
        </w:rPr>
        <w:t>三是强化优质资源引进力度，提升优秀</w:t>
      </w:r>
      <w:bookmarkEnd w:id="6"/>
      <w:r>
        <w:rPr>
          <w:rFonts w:hint="eastAsia" w:ascii="仿宋_GB2312" w:eastAsia="仿宋_GB2312"/>
        </w:rPr>
        <w:t>文化资源凝聚力。</w:t>
      </w:r>
      <w:r>
        <w:rPr>
          <w:rFonts w:hint="eastAsia" w:ascii="仿宋_GB2312" w:hAnsi="仿宋_GB2312" w:eastAsia="仿宋_GB2312" w:cs="仿宋_GB2312"/>
          <w:b w:val="0"/>
          <w:bCs w:val="0"/>
          <w:color w:val="000000" w:themeColor="text1"/>
          <w14:textFill>
            <w14:solidFill>
              <w14:schemeClr w14:val="tx1"/>
            </w14:solidFill>
          </w14:textFill>
        </w:rPr>
        <w:t>积极发挥广电、报业以及出版集团等龙头企业的引领作用，强化福田创作产业链建设，凝聚原创力量，生产原创精品，打造创意之都。积极推进深圳大学帕森斯设计学院等高端创新创意机构落户福田，完善高端创意设计人才培育体系，持续增强福田原创内生动力。发挥中国国际空间设计大赛</w:t>
      </w:r>
      <w:r>
        <w:rPr>
          <w:rFonts w:hint="eastAsia" w:ascii="仿宋_GB2312" w:hAnsi="仿宋_GB2312" w:eastAsia="仿宋_GB2312" w:cs="仿宋_GB2312"/>
          <w:b w:val="0"/>
          <w:bCs w:val="0"/>
          <w:color w:val="000000" w:themeColor="text1"/>
          <w:lang w:eastAsia="zh-CN"/>
          <w14:textFill>
            <w14:solidFill>
              <w14:schemeClr w14:val="tx1"/>
            </w14:solidFill>
          </w14:textFill>
        </w:rPr>
        <w:t>（</w:t>
      </w:r>
      <w:r>
        <w:rPr>
          <w:rFonts w:hint="eastAsia" w:ascii="仿宋_GB2312" w:hAnsi="仿宋_GB2312" w:eastAsia="仿宋_GB2312" w:cs="仿宋_GB2312"/>
          <w:b w:val="0"/>
          <w:bCs w:val="0"/>
          <w:color w:val="000000" w:themeColor="text1"/>
          <w14:textFill>
            <w14:solidFill>
              <w14:schemeClr w14:val="tx1"/>
            </w14:solidFill>
          </w14:textFill>
        </w:rPr>
        <w:t>中国建筑装饰设计奖</w:t>
      </w:r>
      <w:r>
        <w:rPr>
          <w:rFonts w:hint="eastAsia" w:ascii="仿宋_GB2312" w:hAnsi="仿宋_GB2312" w:eastAsia="仿宋_GB2312" w:cs="仿宋_GB2312"/>
          <w:b w:val="0"/>
          <w:bCs w:val="0"/>
          <w:color w:val="000000" w:themeColor="text1"/>
          <w:lang w:eastAsia="zh-CN"/>
          <w14:textFill>
            <w14:solidFill>
              <w14:schemeClr w14:val="tx1"/>
            </w14:solidFill>
          </w14:textFill>
        </w:rPr>
        <w:t>）</w:t>
      </w:r>
      <w:r>
        <w:rPr>
          <w:rFonts w:hint="eastAsia" w:ascii="仿宋_GB2312" w:hAnsi="仿宋_GB2312" w:eastAsia="仿宋_GB2312" w:cs="仿宋_GB2312"/>
          <w:b w:val="0"/>
          <w:bCs w:val="0"/>
          <w:color w:val="000000" w:themeColor="text1"/>
          <w14:textFill>
            <w14:solidFill>
              <w14:schemeClr w14:val="tx1"/>
            </w14:solidFill>
          </w14:textFill>
        </w:rPr>
        <w:t>等高端创意设计赛事引领和集聚作用，推进创意设计和设计服务高端化发展、集群化生长。持续引进国家工艺美术大师等相关领域文化艺术创作人才，培育打造文创产业发展智囊和高端人才后备力量。</w:t>
      </w:r>
    </w:p>
    <w:p>
      <w:pPr>
        <w:widowControl/>
        <w:spacing w:line="560" w:lineRule="exact"/>
        <w:ind w:firstLine="645"/>
        <w:rPr>
          <w:rFonts w:ascii="仿宋_GB2312" w:hAnsi="宋体" w:eastAsia="仿宋_GB2312" w:cs="宋体"/>
          <w:kern w:val="0"/>
          <w:sz w:val="32"/>
          <w:szCs w:val="32"/>
        </w:rPr>
      </w:pPr>
      <w:r>
        <w:rPr>
          <w:rFonts w:hint="eastAsia" w:ascii="仿宋_GB2312" w:hAnsi="宋体" w:eastAsia="仿宋_GB2312" w:cs="宋体"/>
          <w:kern w:val="0"/>
          <w:sz w:val="32"/>
          <w:szCs w:val="32"/>
        </w:rPr>
        <w:t>特此回复。</w:t>
      </w:r>
    </w:p>
    <w:p/>
    <w:p/>
    <w:p>
      <w:pPr>
        <w:autoSpaceDE w:val="0"/>
        <w:autoSpaceDN w:val="0"/>
        <w:adjustRightInd w:val="0"/>
        <w:spacing w:line="56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福田区文化广电旅游体育局</w:t>
      </w:r>
    </w:p>
    <w:p>
      <w:pPr>
        <w:autoSpaceDE w:val="0"/>
        <w:autoSpaceDN w:val="0"/>
        <w:adjustRightInd w:val="0"/>
        <w:spacing w:line="560" w:lineRule="exact"/>
        <w:ind w:right="64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2021年6月14日</w:t>
      </w:r>
    </w:p>
    <w:p>
      <w:pPr>
        <w:rPr>
          <w:rFonts w:eastAsia="仿宋_GB2312"/>
        </w:rPr>
      </w:pPr>
    </w:p>
    <w:sectPr>
      <w:pgSz w:w="11906" w:h="16838"/>
      <w:pgMar w:top="1417"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AABBDF8-0E16-4204-90A7-08545D5901F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8D1FBB0-D173-4585-81EE-1604D2D1A5D3}"/>
  </w:font>
  <w:font w:name="Calibri Light">
    <w:panose1 w:val="020F0302020204030204"/>
    <w:charset w:val="00"/>
    <w:family w:val="auto"/>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embedRegular r:id="rId3" w:fontKey="{1752F8A1-8C75-4DA6-B572-EEDD3841143A}"/>
  </w:font>
  <w:font w:name="方正大标宋简体">
    <w:altName w:val="微软雅黑"/>
    <w:panose1 w:val="00000000000000000000"/>
    <w:charset w:val="86"/>
    <w:family w:val="script"/>
    <w:pitch w:val="default"/>
    <w:sig w:usb0="00000000" w:usb1="00000000" w:usb2="00000000" w:usb3="00000000" w:csb0="00040000" w:csb1="00000000"/>
    <w:embedRegular r:id="rId4" w:fontKey="{ACC865F3-F3C7-4751-8067-F365A0D55F3E}"/>
  </w:font>
  <w:font w:name="方正小标宋简体">
    <w:panose1 w:val="02000000000000000000"/>
    <w:charset w:val="86"/>
    <w:family w:val="auto"/>
    <w:pitch w:val="default"/>
    <w:sig w:usb0="00000001" w:usb1="08000000" w:usb2="00000000" w:usb3="00000000" w:csb0="00040000" w:csb1="00000000"/>
    <w:embedRegular r:id="rId5" w:fontKey="{456549A0-2B05-420E-B98F-F3A5D939F259}"/>
  </w:font>
  <w:font w:name="仿宋_GB2312">
    <w:panose1 w:val="02010609030101010101"/>
    <w:charset w:val="86"/>
    <w:family w:val="modern"/>
    <w:pitch w:val="default"/>
    <w:sig w:usb0="00000001" w:usb1="080E0000" w:usb2="00000000" w:usb3="00000000" w:csb0="00040000" w:csb1="00000000"/>
    <w:embedRegular r:id="rId6" w:fontKey="{AB809B99-5652-4BBB-BB15-A47642E62A80}"/>
  </w:font>
  <w:font w:name="楷体_GB2312">
    <w:panose1 w:val="02010609030101010101"/>
    <w:charset w:val="86"/>
    <w:family w:val="modern"/>
    <w:pitch w:val="default"/>
    <w:sig w:usb0="00000001" w:usb1="080E0000" w:usb2="00000000" w:usb3="00000000" w:csb0="00040000" w:csb1="00000000"/>
    <w:embedRegular r:id="rId7" w:fontKey="{516D9925-0BE3-486D-83D7-6F80DB1EE13D}"/>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xNzQ0NWMxYWRhNjU2NDRmMDMyOWMyNmI0MTI0ODQifQ=="/>
  </w:docVars>
  <w:rsids>
    <w:rsidRoot w:val="006A03CB"/>
    <w:rsid w:val="0004271D"/>
    <w:rsid w:val="000878A3"/>
    <w:rsid w:val="00177E27"/>
    <w:rsid w:val="00180632"/>
    <w:rsid w:val="004D4C0A"/>
    <w:rsid w:val="005643F4"/>
    <w:rsid w:val="005B55B5"/>
    <w:rsid w:val="00603EE3"/>
    <w:rsid w:val="00677F6E"/>
    <w:rsid w:val="006A03CB"/>
    <w:rsid w:val="009D3B34"/>
    <w:rsid w:val="00A26AA1"/>
    <w:rsid w:val="00B26A32"/>
    <w:rsid w:val="00B8272A"/>
    <w:rsid w:val="00BD6963"/>
    <w:rsid w:val="00EC109B"/>
    <w:rsid w:val="00EE2D81"/>
    <w:rsid w:val="00EE6CFB"/>
    <w:rsid w:val="00F22E7E"/>
    <w:rsid w:val="00F71D8F"/>
    <w:rsid w:val="064B131F"/>
    <w:rsid w:val="092D2C04"/>
    <w:rsid w:val="0C646896"/>
    <w:rsid w:val="0EC56ABF"/>
    <w:rsid w:val="107502FA"/>
    <w:rsid w:val="1947610E"/>
    <w:rsid w:val="1C91095E"/>
    <w:rsid w:val="1D88254E"/>
    <w:rsid w:val="22F02FC5"/>
    <w:rsid w:val="24792D73"/>
    <w:rsid w:val="24EB3CBF"/>
    <w:rsid w:val="26001430"/>
    <w:rsid w:val="298339EF"/>
    <w:rsid w:val="32556FE0"/>
    <w:rsid w:val="36625282"/>
    <w:rsid w:val="40ED0BD9"/>
    <w:rsid w:val="464C64DF"/>
    <w:rsid w:val="4A817E09"/>
    <w:rsid w:val="51F91DCC"/>
    <w:rsid w:val="59BD36DD"/>
    <w:rsid w:val="5D0A0500"/>
    <w:rsid w:val="60C42D2B"/>
    <w:rsid w:val="632B64E7"/>
    <w:rsid w:val="633DEF16"/>
    <w:rsid w:val="681E586F"/>
    <w:rsid w:val="6FF7765A"/>
    <w:rsid w:val="786F1CA5"/>
    <w:rsid w:val="79AF33D8"/>
    <w:rsid w:val="FFF6A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outlineLvl w:val="0"/>
    </w:pPr>
    <w:rPr>
      <w:rFonts w:eastAsia="黑体"/>
      <w:kern w:val="44"/>
    </w:rPr>
  </w:style>
  <w:style w:type="paragraph" w:styleId="4">
    <w:name w:val="heading 2"/>
    <w:basedOn w:val="1"/>
    <w:next w:val="1"/>
    <w:link w:val="1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2"/>
    <w:unhideWhenUsed/>
    <w:qFormat/>
    <w:uiPriority w:val="0"/>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引文目录标题1"/>
    <w:next w:val="1"/>
    <w:qFormat/>
    <w:uiPriority w:val="0"/>
    <w:pPr>
      <w:widowControl w:val="0"/>
      <w:spacing w:line="360" w:lineRule="auto"/>
      <w:ind w:firstLine="480"/>
      <w:jc w:val="both"/>
    </w:pPr>
    <w:rPr>
      <w:rFonts w:ascii="Arial" w:hAnsi="Arial" w:eastAsia="Arial" w:cs="Arial"/>
      <w:color w:val="000000"/>
      <w:sz w:val="24"/>
      <w:szCs w:val="24"/>
      <w:lang w:val="en-US" w:eastAsia="zh-CN" w:bidi="ar-SA"/>
    </w:rPr>
  </w:style>
  <w:style w:type="paragraph" w:styleId="6">
    <w:name w:val="Body Text"/>
    <w:basedOn w:val="1"/>
    <w:next w:val="1"/>
    <w:qFormat/>
    <w:uiPriority w:val="0"/>
    <w:pPr>
      <w:jc w:val="center"/>
    </w:pPr>
    <w:rPr>
      <w:rFonts w:ascii="宋体"/>
      <w:sz w:val="44"/>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w:basedOn w:val="6"/>
    <w:next w:val="1"/>
    <w:qFormat/>
    <w:uiPriority w:val="0"/>
    <w:pPr>
      <w:spacing w:after="120"/>
      <w:ind w:firstLine="420" w:firstLineChars="100"/>
    </w:pPr>
    <w:rPr>
      <w:rFonts w:ascii="Calibri" w:hAnsi="Calibri"/>
    </w:rPr>
  </w:style>
  <w:style w:type="character" w:customStyle="1" w:styleId="11">
    <w:name w:val="标题 2字符"/>
    <w:basedOn w:val="10"/>
    <w:link w:val="4"/>
    <w:semiHidden/>
    <w:qFormat/>
    <w:uiPriority w:val="0"/>
    <w:rPr>
      <w:rFonts w:asciiTheme="majorHAnsi" w:hAnsiTheme="majorHAnsi" w:eastAsiaTheme="majorEastAsia" w:cstheme="majorBidi"/>
      <w:b/>
      <w:bCs/>
      <w:kern w:val="2"/>
      <w:sz w:val="32"/>
      <w:szCs w:val="32"/>
    </w:rPr>
  </w:style>
  <w:style w:type="character" w:customStyle="1" w:styleId="12">
    <w:name w:val="标题 3字符"/>
    <w:basedOn w:val="10"/>
    <w:link w:val="5"/>
    <w:qFormat/>
    <w:uiPriority w:val="0"/>
    <w:rPr>
      <w:rFonts w:asciiTheme="minorHAnsi" w:hAnsiTheme="minorHAnsi" w:eastAsiaTheme="minorEastAsia" w:cstheme="minorBidi"/>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320</Words>
  <Characters>1828</Characters>
  <Lines>15</Lines>
  <Paragraphs>4</Paragraphs>
  <TotalTime>82</TotalTime>
  <ScaleCrop>false</ScaleCrop>
  <LinksUpToDate>false</LinksUpToDate>
  <CharactersWithSpaces>2144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dc:creator>
  <cp:lastModifiedBy>-Jus</cp:lastModifiedBy>
  <cp:lastPrinted>2021-06-16T23:18:00Z</cp:lastPrinted>
  <dcterms:modified xsi:type="dcterms:W3CDTF">2023-11-14T07:48:31Z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D46BAB6510224606A320621A9E9CF698_12</vt:lpwstr>
  </property>
</Properties>
</file>