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宋体" w:hAnsi="宋体" w:cs="宋体"/>
          <w:b/>
          <w:sz w:val="44"/>
          <w:szCs w:val="44"/>
          <w:lang w:val="en-US" w:eastAsia="zh-CN"/>
        </w:rPr>
      </w:pPr>
      <w:r>
        <w:rPr>
          <w:rFonts w:hint="eastAsia" w:ascii="宋体" w:hAnsi="宋体" w:cs="宋体"/>
          <w:b/>
          <w:sz w:val="44"/>
          <w:szCs w:val="44"/>
          <w:lang w:eastAsia="zh-CN"/>
        </w:rPr>
        <w:t>深圳市福田区政务服务数据管理局（本级）</w:t>
      </w:r>
      <w:r>
        <w:rPr>
          <w:rFonts w:hint="default" w:ascii="宋体" w:hAnsi="宋体" w:cs="宋体"/>
          <w:b/>
          <w:sz w:val="44"/>
          <w:szCs w:val="44"/>
          <w:lang w:val="en-US" w:eastAsia="zh-CN"/>
        </w:rPr>
        <w:t>202</w:t>
      </w:r>
      <w:r>
        <w:rPr>
          <w:rFonts w:hint="eastAsia" w:ascii="宋体" w:hAnsi="宋体" w:cs="宋体"/>
          <w:b/>
          <w:sz w:val="44"/>
          <w:szCs w:val="44"/>
          <w:lang w:val="en-US" w:eastAsia="zh-CN"/>
        </w:rPr>
        <w:t>2</w:t>
      </w:r>
      <w:r>
        <w:rPr>
          <w:rFonts w:hint="default" w:ascii="宋体" w:hAnsi="宋体" w:cs="宋体"/>
          <w:b/>
          <w:sz w:val="44"/>
          <w:szCs w:val="44"/>
          <w:lang w:val="en-US" w:eastAsia="zh-CN"/>
        </w:rPr>
        <w:t>年财政拨款“三公”经费支出</w:t>
      </w:r>
    </w:p>
    <w:p>
      <w:pPr>
        <w:keepNext w:val="0"/>
        <w:keepLines w:val="0"/>
        <w:widowControl/>
        <w:suppressLineNumbers w:val="0"/>
        <w:jc w:val="center"/>
        <w:rPr>
          <w:rFonts w:hint="default" w:ascii="宋体" w:hAnsi="宋体" w:cs="宋体"/>
          <w:b/>
          <w:sz w:val="44"/>
          <w:szCs w:val="44"/>
          <w:lang w:val="en-US" w:eastAsia="zh-CN"/>
        </w:rPr>
      </w:pPr>
      <w:r>
        <w:rPr>
          <w:rFonts w:hint="default" w:ascii="宋体" w:hAnsi="宋体" w:cs="宋体"/>
          <w:b/>
          <w:sz w:val="44"/>
          <w:szCs w:val="44"/>
          <w:lang w:val="en-US" w:eastAsia="zh-CN"/>
        </w:rPr>
        <w:t>决算情况</w:t>
      </w:r>
    </w:p>
    <w:p>
      <w:pPr>
        <w:keepNext w:val="0"/>
        <w:keepLines w:val="0"/>
        <w:widowControl/>
        <w:suppressLineNumbers w:val="0"/>
        <w:jc w:val="center"/>
        <w:rPr>
          <w:rFonts w:hint="default" w:ascii="宋体" w:hAnsi="宋体" w:cs="宋体"/>
          <w:b/>
          <w:sz w:val="44"/>
          <w:szCs w:val="44"/>
          <w:lang w:val="en-US" w:eastAsia="zh-CN"/>
        </w:rPr>
      </w:pPr>
    </w:p>
    <w:p>
      <w:pPr>
        <w:rPr>
          <w:rFonts w:hint="default" w:ascii="宋体" w:hAnsi="宋体" w:cs="宋体"/>
          <w:b/>
          <w:sz w:val="44"/>
          <w:szCs w:val="44"/>
          <w:lang w:val="en-US" w:eastAsia="zh-CN"/>
        </w:rPr>
      </w:pPr>
    </w:p>
    <w:p>
      <w:pPr>
        <w:keepNext w:val="0"/>
        <w:keepLines w:val="0"/>
        <w:widowControl/>
        <w:suppressLineNumbers w:val="0"/>
        <w:ind w:firstLine="643" w:firstLineChars="200"/>
        <w:jc w:val="left"/>
      </w:pPr>
      <w:r>
        <w:rPr>
          <w:rFonts w:hint="eastAsia" w:ascii="仿宋_GB2312" w:hAnsi="宋体" w:eastAsia="仿宋_GB2312" w:cs="宋体"/>
          <w:b/>
          <w:sz w:val="32"/>
          <w:szCs w:val="32"/>
          <w:lang w:val="en-US" w:eastAsia="zh-CN"/>
        </w:rPr>
        <w:t xml:space="preserve">一、“三公”经费的单位范围 </w:t>
      </w:r>
    </w:p>
    <w:p>
      <w:pPr>
        <w:ind w:firstLine="600" w:firstLineChars="200"/>
        <w:rPr>
          <w:rFonts w:hint="eastAsia" w:ascii="仿宋_GB2312" w:hAnsi="宋体" w:eastAsia="仿宋_GB2312" w:cs="宋体"/>
          <w:sz w:val="32"/>
          <w:szCs w:val="32"/>
        </w:rPr>
      </w:pPr>
      <w:r>
        <w:rPr>
          <w:rFonts w:hint="eastAsia" w:ascii="仿宋" w:hAnsi="仿宋" w:eastAsia="仿宋" w:cs="仿宋"/>
          <w:sz w:val="30"/>
          <w:szCs w:val="30"/>
          <w:lang w:val="en-US" w:eastAsia="zh-CN"/>
        </w:rPr>
        <w:t>深圳市福田区政务服务数据管理局（本级）因公出国（境） 费用、公务接待费、公务用车购置和运行维护费开支单位包括本单位。</w:t>
      </w:r>
    </w:p>
    <w:p>
      <w:pPr>
        <w:keepNext w:val="0"/>
        <w:keepLines w:val="0"/>
        <w:widowControl/>
        <w:suppressLineNumbers w:val="0"/>
        <w:ind w:firstLine="643" w:firstLineChars="200"/>
        <w:jc w:val="left"/>
        <w:rPr>
          <w:rFonts w:hint="default" w:ascii="仿宋_GB2312" w:hAnsi="宋体" w:eastAsia="仿宋_GB2312" w:cs="宋体"/>
          <w:b/>
          <w:sz w:val="32"/>
          <w:szCs w:val="32"/>
          <w:lang w:val="en-US" w:eastAsia="zh-CN"/>
        </w:rPr>
      </w:pPr>
      <w:r>
        <w:rPr>
          <w:rFonts w:hint="eastAsia" w:ascii="仿宋_GB2312" w:hAnsi="宋体" w:eastAsia="仿宋_GB2312" w:cs="宋体"/>
          <w:b/>
          <w:sz w:val="32"/>
          <w:szCs w:val="32"/>
          <w:lang w:val="en-US" w:eastAsia="zh-CN"/>
        </w:rPr>
        <w:t>二 、财政拨款“三公”经费支出决算情况说明</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（一）“三公”经费财政拨款支出决算总体情况说明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ascii="仿宋" w:hAnsi="仿宋" w:eastAsia="仿宋" w:cs="仿宋"/>
          <w:color w:val="000000"/>
          <w:kern w:val="0"/>
          <w:sz w:val="30"/>
          <w:szCs w:val="30"/>
          <w:lang w:val="en-US" w:eastAsia="zh-CN" w:bidi="ar"/>
        </w:rPr>
        <w:t>深圳市福田区政务服务数据管理局（本级）2022年度“三</w:t>
      </w:r>
      <w:r>
        <w:rPr>
          <w:rFonts w:hint="eastAsia" w:ascii="仿宋" w:hAnsi="仿宋" w:eastAsia="仿宋" w:cs="仿宋"/>
          <w:color w:val="000000"/>
          <w:kern w:val="0"/>
          <w:sz w:val="30"/>
          <w:szCs w:val="30"/>
          <w:lang w:val="en-US" w:eastAsia="zh-CN" w:bidi="ar"/>
        </w:rPr>
        <w:t>公”经费财政拨款支出决算为22.45万元，完成全年预算22.84万元的98.3%，比上年决算数增加18.98万元，增长547%。其中：因公出国（境）费支出决算为0万元，完成全年预算0万元的0%，比上年决算数增加0万元，增长0%；公务用车购置及运行维护费支出决算为22.45万元，完成全年预算22.84万元的98.3%，比上年决算数增加18.98万元，增长547%；其中：公务用车购置支出决算为16.61万元，完成全年预算17万元的97.7%，比上年决算数增加16.61万元，增长--（基数为0，不可比）；公务用车运行维护费支出决算为5.84万元，完成全年预算5.84万元的100%，比上年决算数增加2.37万元，增长68.3%；公务接待费支出决算为0万元，完成全年预算0万元的0%，比上年决算数增加0万元，增长0%。</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 xml:space="preserve">2022年度“三公”经费支出决算小于预算数的主要情况：厉行节约，压紧开支。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 xml:space="preserve">2022年度“三公”经费支出决算大于上年决算数的主要情 </w:t>
      </w:r>
    </w:p>
    <w:p>
      <w:pPr>
        <w:keepNext w:val="0"/>
        <w:keepLines w:val="0"/>
        <w:pageBreakBefore w:val="0"/>
        <w:widowControl/>
        <w:suppressLineNumbers w:val="0"/>
        <w:kinsoku/>
        <w:wordWrap/>
        <w:overflowPunct/>
        <w:topLinePunct w:val="0"/>
        <w:autoSpaceDE/>
        <w:autoSpaceDN/>
        <w:bidi w:val="0"/>
        <w:adjustRightInd/>
        <w:snapToGrid/>
        <w:jc w:val="both"/>
        <w:textAlignment w:val="auto"/>
      </w:pPr>
      <w:r>
        <w:rPr>
          <w:rFonts w:hint="eastAsia" w:ascii="仿宋" w:hAnsi="仿宋" w:eastAsia="仿宋" w:cs="仿宋"/>
          <w:color w:val="000000"/>
          <w:kern w:val="0"/>
          <w:sz w:val="30"/>
          <w:szCs w:val="30"/>
          <w:lang w:val="en-US" w:eastAsia="zh-CN" w:bidi="ar"/>
        </w:rPr>
        <w:t>况：2022年9月2日区机关事务局批准我局更新购置1辆公务用车，以及民意速办智慧分拨中心新增1辆公务用车。</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（二）“三公”经费财政拨款支出决算具体情况说明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 xml:space="preserve">2022年度“三公”经费财政拨款支出决算中，因公出国（境）费0万元，占0%；公务用车购置及运行维护费支出22.45万元，占100%；公务接待费支出0万元，占0%。具体情况如下：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 xml:space="preserve">1.因公出国（境）费支出0万元。全年使用财政拨款安排出国（境）团组0个、累计0人次。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 xml:space="preserve">2.公务用车购置及运行维护费支出22.45万元，其中：公务用车购置支出为16.61万元，公务用车购置数1辆。公务用车运行维护费支出5.84万元，公务用车保有量为2辆，主要用于车辆的运行维护。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3.公务接待费支出0万元，主要用于按规定开支的各类公务接待支出，共接待国外、境外来访团组0个，来访外宾0人次；发生国内接待0次，接待人数共0人。主要包括根据厉行节约的原则，无公务接待费用支出。</w:t>
      </w:r>
    </w:p>
    <w:p/>
    <w:p>
      <w:pPr>
        <w:pStyle w:val="2"/>
      </w:pP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75"/>
        <w:gridCol w:w="750"/>
        <w:gridCol w:w="780"/>
        <w:gridCol w:w="711"/>
        <w:gridCol w:w="636"/>
        <w:gridCol w:w="741"/>
        <w:gridCol w:w="672"/>
        <w:gridCol w:w="705"/>
        <w:gridCol w:w="791"/>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22"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459" w:type="dxa"/>
            <w:gridSpan w:val="9"/>
            <w:tcBorders>
              <w:top w:val="nil"/>
              <w:left w:val="nil"/>
              <w:bottom w:val="single" w:color="auto" w:sz="4" w:space="0"/>
              <w:right w:val="nil"/>
            </w:tcBorders>
            <w:vAlign w:val="center"/>
          </w:tcPr>
          <w:p>
            <w:pPr>
              <w:spacing w:line="288" w:lineRule="auto"/>
              <w:jc w:val="left"/>
              <w:rPr>
                <w:rFonts w:hint="eastAsia" w:ascii="宋体" w:hAnsi="宋体" w:cs="宋体" w:eastAsiaTheme="minorEastAsia"/>
                <w:sz w:val="28"/>
                <w:szCs w:val="28"/>
                <w:lang w:eastAsia="zh-CN"/>
              </w:rPr>
            </w:pPr>
            <w:bookmarkStart w:id="0" w:name="PO_part2DivName7"/>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0"/>
            <w:r>
              <w:rPr>
                <w:rFonts w:hint="eastAsia" w:ascii="宋体" w:hAnsi="宋体" w:cs="宋体"/>
                <w:kern w:val="0"/>
                <w:sz w:val="20"/>
                <w:szCs w:val="20"/>
              </w:rPr>
              <w:t>：</w:t>
            </w:r>
            <w:r>
              <w:rPr>
                <w:rFonts w:hint="eastAsia" w:ascii="宋体" w:hAnsi="宋体" w:cs="宋体"/>
                <w:kern w:val="0"/>
                <w:sz w:val="20"/>
                <w:szCs w:val="20"/>
                <w:lang w:eastAsia="zh-CN"/>
              </w:rPr>
              <w:t>深圳市福田区政务服务数据管理局（本级）</w:t>
            </w:r>
          </w:p>
        </w:tc>
        <w:tc>
          <w:tcPr>
            <w:tcW w:w="2063"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34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41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89"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675"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2241"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636"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741"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67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2132"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636"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89" w:type="dxa"/>
            <w:vMerge w:val="continue"/>
          </w:tcPr>
          <w:p>
            <w:pPr>
              <w:spacing w:line="288" w:lineRule="auto"/>
              <w:rPr>
                <w:rFonts w:ascii="宋体" w:hAnsi="宋体" w:cs="宋体"/>
                <w:szCs w:val="21"/>
              </w:rPr>
            </w:pPr>
          </w:p>
        </w:tc>
        <w:tc>
          <w:tcPr>
            <w:tcW w:w="675" w:type="dxa"/>
            <w:vMerge w:val="continue"/>
          </w:tcPr>
          <w:p>
            <w:pPr>
              <w:spacing w:line="288" w:lineRule="auto"/>
              <w:rPr>
                <w:rFonts w:ascii="宋体" w:hAnsi="宋体" w:cs="宋体"/>
                <w:szCs w:val="21"/>
              </w:rPr>
            </w:pPr>
          </w:p>
        </w:tc>
        <w:tc>
          <w:tcPr>
            <w:tcW w:w="750"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780"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711"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636" w:type="dxa"/>
            <w:vMerge w:val="continue"/>
          </w:tcPr>
          <w:p>
            <w:pPr>
              <w:spacing w:line="288" w:lineRule="auto"/>
              <w:rPr>
                <w:rFonts w:ascii="宋体" w:hAnsi="宋体" w:cs="宋体"/>
                <w:szCs w:val="21"/>
              </w:rPr>
            </w:pPr>
          </w:p>
        </w:tc>
        <w:tc>
          <w:tcPr>
            <w:tcW w:w="741" w:type="dxa"/>
            <w:vMerge w:val="continue"/>
          </w:tcPr>
          <w:p>
            <w:pPr>
              <w:spacing w:line="288" w:lineRule="auto"/>
              <w:rPr>
                <w:rFonts w:ascii="宋体" w:hAnsi="宋体" w:cs="宋体"/>
                <w:szCs w:val="21"/>
              </w:rPr>
            </w:pPr>
          </w:p>
        </w:tc>
        <w:tc>
          <w:tcPr>
            <w:tcW w:w="672" w:type="dxa"/>
            <w:vMerge w:val="continue"/>
          </w:tcPr>
          <w:p>
            <w:pPr>
              <w:spacing w:line="288" w:lineRule="auto"/>
              <w:rPr>
                <w:rFonts w:ascii="宋体" w:hAnsi="宋体" w:cs="宋体"/>
                <w:szCs w:val="21"/>
              </w:rPr>
            </w:pPr>
          </w:p>
        </w:tc>
        <w:tc>
          <w:tcPr>
            <w:tcW w:w="705"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791"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636"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636"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89"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67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750"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780"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711"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636"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741"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67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705"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791"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636"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636"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89" w:type="dxa"/>
            <w:vAlign w:val="center"/>
          </w:tcPr>
          <w:p>
            <w:pPr>
              <w:widowControl/>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22.84</w:t>
            </w:r>
          </w:p>
        </w:tc>
        <w:tc>
          <w:tcPr>
            <w:tcW w:w="675" w:type="dxa"/>
            <w:vAlign w:val="center"/>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750" w:type="dxa"/>
            <w:vAlign w:val="center"/>
          </w:tcPr>
          <w:p>
            <w:pPr>
              <w:widowControl/>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22.84</w:t>
            </w:r>
          </w:p>
        </w:tc>
        <w:tc>
          <w:tcPr>
            <w:tcW w:w="780" w:type="dxa"/>
            <w:vAlign w:val="center"/>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17.00</w:t>
            </w:r>
          </w:p>
        </w:tc>
        <w:tc>
          <w:tcPr>
            <w:tcW w:w="711" w:type="dxa"/>
            <w:vAlign w:val="center"/>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5.84</w:t>
            </w:r>
          </w:p>
        </w:tc>
        <w:tc>
          <w:tcPr>
            <w:tcW w:w="636" w:type="dxa"/>
            <w:vAlign w:val="center"/>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741" w:type="dxa"/>
            <w:vAlign w:val="center"/>
          </w:tcPr>
          <w:p>
            <w:pPr>
              <w:widowControl/>
              <w:jc w:val="righ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22.45</w:t>
            </w:r>
          </w:p>
        </w:tc>
        <w:tc>
          <w:tcPr>
            <w:tcW w:w="672" w:type="dxa"/>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705" w:type="dxa"/>
            <w:vAlign w:val="center"/>
          </w:tcPr>
          <w:p>
            <w:pPr>
              <w:widowControl/>
              <w:jc w:val="right"/>
              <w:rPr>
                <w:rFonts w:hint="default" w:ascii="宋体" w:hAnsi="宋体" w:cs="宋体"/>
                <w:kern w:val="0"/>
                <w:sz w:val="18"/>
                <w:szCs w:val="18"/>
                <w:lang w:val="en-US"/>
              </w:rPr>
            </w:pPr>
            <w:r>
              <w:rPr>
                <w:rFonts w:hint="eastAsia" w:ascii="宋体" w:hAnsi="宋体" w:cs="宋体"/>
                <w:kern w:val="0"/>
                <w:sz w:val="18"/>
                <w:szCs w:val="18"/>
                <w:lang w:val="en-US" w:eastAsia="zh-CN"/>
              </w:rPr>
              <w:t>22.45</w:t>
            </w:r>
          </w:p>
        </w:tc>
        <w:tc>
          <w:tcPr>
            <w:tcW w:w="791" w:type="dxa"/>
            <w:vAlign w:val="center"/>
          </w:tcPr>
          <w:p>
            <w:pPr>
              <w:widowControl/>
              <w:jc w:val="righ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16.61</w:t>
            </w:r>
          </w:p>
        </w:tc>
        <w:tc>
          <w:tcPr>
            <w:tcW w:w="636" w:type="dxa"/>
            <w:vAlign w:val="center"/>
          </w:tcPr>
          <w:p>
            <w:pPr>
              <w:widowControl/>
              <w:jc w:val="right"/>
              <w:rPr>
                <w:rFonts w:hint="default" w:ascii="宋体" w:hAnsi="宋体" w:cs="宋体"/>
                <w:kern w:val="0"/>
                <w:sz w:val="18"/>
                <w:szCs w:val="18"/>
                <w:lang w:val="en-US"/>
              </w:rPr>
            </w:pPr>
            <w:r>
              <w:rPr>
                <w:rFonts w:hint="eastAsia" w:ascii="宋体" w:hAnsi="宋体" w:cs="宋体"/>
                <w:kern w:val="0"/>
                <w:sz w:val="18"/>
                <w:szCs w:val="18"/>
                <w:lang w:val="en-US" w:eastAsia="zh-CN"/>
              </w:rPr>
              <w:t>5.84</w:t>
            </w:r>
          </w:p>
        </w:tc>
        <w:tc>
          <w:tcPr>
            <w:tcW w:w="636" w:type="dxa"/>
            <w:vAlign w:val="center"/>
          </w:tcPr>
          <w:p>
            <w:pPr>
              <w:widowControl/>
              <w:jc w:val="right"/>
              <w:rPr>
                <w:rFonts w:hint="eastAsia" w:ascii="宋体" w:hAnsi="宋体" w:cs="宋体" w:eastAsiaTheme="minorEastAsia"/>
                <w:kern w:val="0"/>
                <w:sz w:val="18"/>
                <w:szCs w:val="18"/>
                <w:lang w:val="en-US" w:eastAsia="zh-CN"/>
              </w:rPr>
            </w:pPr>
            <w:r>
              <w:rPr>
                <w:rFonts w:ascii="宋体" w:hAnsi="宋体" w:cs="宋体"/>
                <w:kern w:val="0"/>
                <w:sz w:val="18"/>
                <w:szCs w:val="18"/>
              </w:rPr>
              <w:t>0.0</w:t>
            </w:r>
            <w:r>
              <w:rPr>
                <w:rFonts w:hint="eastAsia" w:ascii="宋体" w:hAnsi="宋体" w:cs="宋体"/>
                <w:kern w:val="0"/>
                <w:sz w:val="18"/>
                <w:szCs w:val="18"/>
                <w:lang w:val="en-US" w:eastAsia="zh-CN"/>
              </w:rPr>
              <w:t>0</w:t>
            </w:r>
          </w:p>
        </w:tc>
      </w:tr>
    </w:tbl>
    <w:p>
      <w:pPr>
        <w:spacing w:line="360" w:lineRule="auto"/>
        <w:ind w:firstLine="420" w:firstLineChars="200"/>
        <w:rPr>
          <w:rFonts w:hint="eastAsia" w:ascii="宋体" w:hAnsi="宋体" w:cs="宋体"/>
          <w:szCs w:val="21"/>
          <w:lang w:eastAsia="zh-CN"/>
        </w:rPr>
      </w:pPr>
      <w:r>
        <w:rPr>
          <w:rFonts w:hint="eastAsia" w:ascii="宋体" w:hAnsi="宋体" w:cs="宋体"/>
          <w:szCs w:val="21"/>
        </w:rPr>
        <w:t>注：本表反映单位本年度“三公”经费支出预决算情况。其中，预算数为“三公”经费全年预算数，反映按规定程序调整后的预算数；决算数是包括当年一般公共预算财政拨款和以前年度结转资金安排的实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YmMwOGFjYTBmOGFkYmU1Y2NkZjVjMDFmNGNiNTcifQ=="/>
  </w:docVars>
  <w:rsids>
    <w:rsidRoot w:val="604050DD"/>
    <w:rsid w:val="008256A0"/>
    <w:rsid w:val="01192C1F"/>
    <w:rsid w:val="019E3125"/>
    <w:rsid w:val="02401D36"/>
    <w:rsid w:val="03546191"/>
    <w:rsid w:val="053454A5"/>
    <w:rsid w:val="05CD222A"/>
    <w:rsid w:val="092B34F0"/>
    <w:rsid w:val="0CB15464"/>
    <w:rsid w:val="0D352B8F"/>
    <w:rsid w:val="0D556D8D"/>
    <w:rsid w:val="0F260026"/>
    <w:rsid w:val="0F743212"/>
    <w:rsid w:val="123F625E"/>
    <w:rsid w:val="13CB5FFB"/>
    <w:rsid w:val="14262D19"/>
    <w:rsid w:val="147A17CF"/>
    <w:rsid w:val="147E307E"/>
    <w:rsid w:val="1CFF0AC4"/>
    <w:rsid w:val="1D230C56"/>
    <w:rsid w:val="205367B5"/>
    <w:rsid w:val="20C95670"/>
    <w:rsid w:val="21C67E02"/>
    <w:rsid w:val="2416705B"/>
    <w:rsid w:val="259326F1"/>
    <w:rsid w:val="30760C45"/>
    <w:rsid w:val="311741D6"/>
    <w:rsid w:val="3292016B"/>
    <w:rsid w:val="378105FB"/>
    <w:rsid w:val="381256F7"/>
    <w:rsid w:val="39A44A75"/>
    <w:rsid w:val="3AD24B07"/>
    <w:rsid w:val="3AE315CD"/>
    <w:rsid w:val="3C406CD7"/>
    <w:rsid w:val="454D4212"/>
    <w:rsid w:val="48AE321A"/>
    <w:rsid w:val="492D1A53"/>
    <w:rsid w:val="49A07007"/>
    <w:rsid w:val="4D4D1254"/>
    <w:rsid w:val="500D5E0C"/>
    <w:rsid w:val="55B94FAC"/>
    <w:rsid w:val="55FC3817"/>
    <w:rsid w:val="604050DD"/>
    <w:rsid w:val="623E513D"/>
    <w:rsid w:val="626F5370"/>
    <w:rsid w:val="649E7516"/>
    <w:rsid w:val="69F150A0"/>
    <w:rsid w:val="6A70612A"/>
    <w:rsid w:val="6D8E7364"/>
    <w:rsid w:val="6E8C1058"/>
    <w:rsid w:val="6EB34D7A"/>
    <w:rsid w:val="7027728A"/>
    <w:rsid w:val="74AE7F7A"/>
    <w:rsid w:val="74B521D9"/>
    <w:rsid w:val="74C73BE1"/>
    <w:rsid w:val="755D1B8B"/>
    <w:rsid w:val="76397D18"/>
    <w:rsid w:val="781C169F"/>
    <w:rsid w:val="790A1FBE"/>
    <w:rsid w:val="7C605FFE"/>
    <w:rsid w:val="7DE75617"/>
    <w:rsid w:val="7FBA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ind w:firstLine="640" w:firstLineChars="200"/>
      <w:outlineLvl w:val="3"/>
    </w:pPr>
    <w:rPr>
      <w:rFonts w:ascii="仿宋_GB2312" w:hAnsi="仿宋_GB2312" w:eastAsia="仿宋_GB2312"/>
      <w:sz w:val="32"/>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1166</Words>
  <Characters>1309</Characters>
  <Lines>0</Lines>
  <Paragraphs>0</Paragraphs>
  <TotalTime>6</TotalTime>
  <ScaleCrop>false</ScaleCrop>
  <LinksUpToDate>false</LinksUpToDate>
  <CharactersWithSpaces>1316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2022-11-12T06:28:00Z</dcterms:created>
  <dc:creator>Gentle。</dc:creator>
  <cp:lastModifiedBy>Gentle。</cp:lastModifiedBy>
  <dcterms:modified xsi:type="dcterms:W3CDTF">2023-11-27T03:33:48Z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D051DD4AFAB641AA8AB9EE350D2BFC99_13</vt:lpwstr>
  </property>
</Properties>
</file>