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rPr>
          <w:rFonts w:ascii="仿宋_GB2312" w:eastAsia="仿宋_GB2312"/>
          <w:sz w:val="24"/>
        </w:rPr>
      </w:pP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spacing w:line="360" w:lineRule="auto"/>
        <w:rPr>
          <w:rFonts w:ascii="仿宋_GB2312" w:eastAsia="仿宋_GB2312"/>
          <w:sz w:val="32"/>
          <w:szCs w:val="32"/>
        </w:rPr>
      </w:pPr>
    </w:p>
    <w:p>
      <w:pPr>
        <w:spacing w:line="360" w:lineRule="auto"/>
        <w:rPr>
          <w:rFonts w:ascii="仿宋_GB2312" w:eastAsia="仿宋_GB2312"/>
          <w:sz w:val="44"/>
          <w:szCs w:val="44"/>
        </w:rPr>
      </w:pPr>
    </w:p>
    <w:p>
      <w:pPr>
        <w:numPr>
          <w:ins w:id="0" w:author="Unknown" w:date=""/>
        </w:numPr>
        <w:spacing w:line="360" w:lineRule="auto"/>
        <w:jc w:val="center"/>
        <w:rPr>
          <w:rFonts w:ascii="宋体" w:hAnsi="宋体"/>
          <w:sz w:val="44"/>
          <w:szCs w:val="44"/>
        </w:rPr>
      </w:pPr>
      <w:r>
        <w:rPr>
          <w:rFonts w:hint="eastAsia" w:ascii="宋体" w:hAnsi="宋体"/>
          <w:sz w:val="44"/>
          <w:szCs w:val="44"/>
        </w:rPr>
        <w:t>2020</w:t>
      </w:r>
      <w:r>
        <w:rPr>
          <w:rFonts w:ascii="宋体" w:hAnsi="宋体"/>
          <w:sz w:val="44"/>
          <w:szCs w:val="44"/>
        </w:rPr>
        <w:t>年</w:t>
      </w:r>
      <w:r>
        <w:rPr>
          <w:rFonts w:hint="eastAsia" w:ascii="宋体" w:hAnsi="宋体"/>
          <w:sz w:val="44"/>
          <w:szCs w:val="44"/>
        </w:rPr>
        <w:t>度部门</w:t>
      </w:r>
      <w:r>
        <w:rPr>
          <w:rFonts w:ascii="宋体" w:hAnsi="宋体"/>
          <w:sz w:val="44"/>
          <w:szCs w:val="44"/>
        </w:rPr>
        <w:t>整体绩效自评报告</w:t>
      </w: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ind w:firstLine="1760" w:firstLineChars="550"/>
        <w:rPr>
          <w:rFonts w:ascii="仿宋_GB2312" w:eastAsia="仿宋_GB2312"/>
          <w:sz w:val="32"/>
          <w:szCs w:val="32"/>
        </w:rPr>
      </w:pPr>
      <w:r>
        <w:rPr>
          <w:rFonts w:hint="eastAsia" w:ascii="仿宋_GB2312" w:eastAsia="仿宋_GB2312"/>
          <w:sz w:val="32"/>
          <w:szCs w:val="32"/>
        </w:rPr>
        <w:t>部门名称（公章）：深圳市福田区国库支付中心</w:t>
      </w:r>
    </w:p>
    <w:p>
      <w:pPr>
        <w:spacing w:line="360" w:lineRule="auto"/>
        <w:ind w:firstLine="1760" w:firstLineChars="550"/>
        <w:rPr>
          <w:rFonts w:ascii="仿宋_GB2312" w:eastAsia="仿宋_GB2312"/>
          <w:sz w:val="32"/>
          <w:szCs w:val="32"/>
        </w:rPr>
      </w:pPr>
      <w:r>
        <w:rPr>
          <w:rFonts w:hint="eastAsia" w:ascii="仿宋_GB2312" w:eastAsia="仿宋_GB2312"/>
          <w:sz w:val="32"/>
          <w:szCs w:val="32"/>
        </w:rPr>
        <w:t>单位负责人（签章）：王加林</w:t>
      </w:r>
    </w:p>
    <w:p>
      <w:pPr>
        <w:spacing w:line="360" w:lineRule="auto"/>
        <w:ind w:firstLine="1760" w:firstLineChars="550"/>
        <w:rPr>
          <w:rFonts w:ascii="仿宋_GB2312" w:eastAsia="仿宋_GB2312"/>
          <w:sz w:val="32"/>
          <w:szCs w:val="32"/>
        </w:rPr>
      </w:pPr>
      <w:r>
        <w:rPr>
          <w:rFonts w:hint="eastAsia" w:ascii="仿宋_GB2312" w:eastAsia="仿宋_GB2312"/>
          <w:sz w:val="32"/>
          <w:szCs w:val="32"/>
        </w:rPr>
        <w:t>填报人：方馨</w:t>
      </w:r>
    </w:p>
    <w:p>
      <w:pPr>
        <w:spacing w:line="360" w:lineRule="auto"/>
        <w:ind w:firstLine="1760" w:firstLineChars="550"/>
        <w:rPr>
          <w:rFonts w:ascii="仿宋" w:hAnsi="仿宋" w:eastAsia="仿宋" w:cs="仿宋"/>
          <w:sz w:val="32"/>
          <w:szCs w:val="32"/>
        </w:rPr>
      </w:pPr>
      <w:r>
        <w:rPr>
          <w:rFonts w:hint="eastAsia" w:ascii="仿宋_GB2312" w:eastAsia="仿宋_GB2312"/>
          <w:sz w:val="32"/>
          <w:szCs w:val="32"/>
        </w:rPr>
        <w:t>联系电话：</w:t>
      </w:r>
      <w:r>
        <w:rPr>
          <w:rFonts w:hint="eastAsia" w:ascii="仿宋_GB2312" w:eastAsia="仿宋_GB2312"/>
          <w:kern w:val="0"/>
          <w:sz w:val="32"/>
          <w:szCs w:val="32"/>
        </w:rPr>
        <w:t>0755-82918952</w:t>
      </w:r>
    </w:p>
    <w:p>
      <w:pPr>
        <w:spacing w:line="360" w:lineRule="auto"/>
        <w:jc w:val="center"/>
        <w:rPr>
          <w:rFonts w:ascii="仿宋_GB2312" w:eastAsia="仿宋_GB2312"/>
          <w:sz w:val="32"/>
          <w:szCs w:val="32"/>
        </w:rPr>
      </w:pPr>
    </w:p>
    <w:p>
      <w:pPr>
        <w:spacing w:line="360" w:lineRule="auto"/>
        <w:rPr>
          <w:rFonts w:ascii="宋体" w:hAnsi="宋体"/>
          <w:sz w:val="44"/>
          <w:szCs w:val="44"/>
        </w:rPr>
      </w:pPr>
    </w:p>
    <w:p>
      <w:pPr>
        <w:spacing w:line="360" w:lineRule="auto"/>
        <w:rPr>
          <w:rFonts w:ascii="宋体" w:hAnsi="宋体"/>
          <w:sz w:val="44"/>
          <w:szCs w:val="44"/>
        </w:rPr>
      </w:pPr>
    </w:p>
    <w:p>
      <w:pPr>
        <w:spacing w:line="360" w:lineRule="auto"/>
        <w:rPr>
          <w:rFonts w:ascii="宋体" w:hAnsi="宋体"/>
          <w:sz w:val="44"/>
          <w:szCs w:val="44"/>
        </w:rPr>
      </w:pPr>
    </w:p>
    <w:p>
      <w:pPr>
        <w:spacing w:line="360" w:lineRule="auto"/>
        <w:rPr>
          <w:rFonts w:ascii="宋体" w:hAnsi="宋体"/>
          <w:sz w:val="44"/>
          <w:szCs w:val="44"/>
        </w:rPr>
      </w:pPr>
    </w:p>
    <w:p>
      <w:pPr>
        <w:snapToGrid w:val="0"/>
        <w:spacing w:line="360" w:lineRule="auto"/>
        <w:ind w:firstLine="640" w:firstLineChars="200"/>
        <w:rPr>
          <w:rFonts w:ascii="黑体" w:hAnsi="黑体" w:eastAsia="黑体" w:cs="黑体"/>
          <w:bCs/>
          <w:sz w:val="32"/>
          <w:szCs w:val="32"/>
        </w:rPr>
      </w:pPr>
    </w:p>
    <w:p>
      <w:pPr>
        <w:snapToGrid w:val="0"/>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一、部门（单位）基本情况</w:t>
      </w:r>
    </w:p>
    <w:p>
      <w:pPr>
        <w:spacing w:line="360" w:lineRule="auto"/>
        <w:ind w:firstLine="643" w:firstLineChars="200"/>
        <w:rPr>
          <w:rFonts w:ascii="楷体" w:hAnsi="楷体" w:eastAsia="楷体_GB2312" w:cs="楷体"/>
          <w:b/>
          <w:bCs/>
          <w:sz w:val="32"/>
          <w:szCs w:val="32"/>
        </w:rPr>
      </w:pPr>
      <w:r>
        <w:rPr>
          <w:rFonts w:hint="eastAsia" w:ascii="楷体" w:hAnsi="楷体" w:eastAsia="楷体_GB2312" w:cs="楷体"/>
          <w:b/>
          <w:bCs/>
          <w:sz w:val="32"/>
          <w:szCs w:val="32"/>
        </w:rPr>
        <w:t>（一）部门主要职能（市级机构改革的涉改单位应简要说明职能变化情况）。</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1.根据经批复的各预算单位用款计划，负责审核、办理相关财政国库支付业务。</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2.依法监督预算单位的财务收支活动。管理预算单位支付信息，及时向财政部门提供财政资金支付和清算信息。</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3.贯彻执行有关法律、法规和制度，对纳入中心管理的预算单位进行财务集中核算，对各预算单位的经费账户进行统一管理。</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4.提供相关财务信息及预算执行分析报告。</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5.负责管理、维护相关会计档案和信息系统。</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6.承办区委、区政府和上级部门交办的其他事项。</w:t>
      </w:r>
    </w:p>
    <w:p>
      <w:pPr>
        <w:spacing w:line="360" w:lineRule="auto"/>
        <w:ind w:firstLine="643" w:firstLineChars="200"/>
        <w:rPr>
          <w:rFonts w:ascii="楷体" w:hAnsi="楷体" w:eastAsia="楷体_GB2312" w:cs="楷体"/>
          <w:b/>
          <w:bCs/>
          <w:sz w:val="32"/>
          <w:szCs w:val="32"/>
        </w:rPr>
      </w:pPr>
      <w:r>
        <w:rPr>
          <w:rFonts w:hint="eastAsia" w:ascii="楷体" w:hAnsi="楷体" w:eastAsia="楷体_GB2312" w:cs="楷体"/>
          <w:b/>
          <w:bCs/>
          <w:sz w:val="32"/>
          <w:szCs w:val="32"/>
        </w:rPr>
        <w:t>（二）年度总体工作和重点工作任务</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1.加强党的全面领导，提高思想认识。一是切实提高政治站位，强化思想认识，坚持和加强党的全面领导，积极发挥党组总揽全局、协调各方的领导核心作用，深入落实单位党组抓党建的主体责任。二是对《中共福田区国库支付中心党组工作规则（试行）》、《中共福田区国库支付中心党组集体议事决策工作规则（试行）》进行明确细化，进一步厘清党组会议、行政班子会议之间的关系，充分落实好“三重一大”工作制度。三是进一步强化理论学习，加强理论指导实践。四是深入推进我中心党风廉政建设。</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2.提高服务意识，做好业务工作。一是坚持“规范第一，服务至上，效率保障”的工作宗旨，做到既严格把好资金的使用关，又给核算单位提供优质的服务。二是修订完善各项规章制度。加快完成工作制度、党建工作制度、内部控制制度的修订工作，为各项业务工作提供制度保障。</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3.进一步攻坚克难，解决去年遗留难点。一是继续做好新政府会计制度改革各项工作，同时组织对各核算单位报账会计的业务培训，增强学习新知识、掌握新本领的自觉性和紧迫感，不断掌握新知识、熟悉新领域、开拓新视野，兼收并蓄，融会贯通。从而优化工作流程，提高工作效率，确保不折不扣按照新制度要求组织会计核算工作。二是探索智能财务云平台建设。借助高新信息技术发展的东风，我们在构建智能财务云平台时要从顶层设计出发，以“大会计理念”为指导，采用一体化设计理念，打破部门信息数据孤岛，对财务信息智能平台设置众多端口，以合理的业务流程为主线，分别进行系统建设。将预算编制审核、政府投资项目管理、政府采购管理、费用报销、财务支付、集中核算、财务监督、财务决算、电子档案等业务融合到数据管理平台，推进财政业务融合，形成业务流、资金流、信息流三流合一，实现财务信息资源对接与共享。</w:t>
      </w:r>
    </w:p>
    <w:p>
      <w:pPr>
        <w:spacing w:line="360" w:lineRule="auto"/>
        <w:ind w:firstLine="643" w:firstLineChars="200"/>
        <w:rPr>
          <w:rFonts w:ascii="楷体" w:hAnsi="楷体" w:eastAsia="楷体_GB2312" w:cs="楷体"/>
          <w:b/>
          <w:bCs/>
          <w:sz w:val="32"/>
          <w:szCs w:val="32"/>
        </w:rPr>
      </w:pPr>
      <w:r>
        <w:rPr>
          <w:rFonts w:hint="eastAsia" w:ascii="楷体" w:hAnsi="楷体" w:eastAsia="楷体_GB2312" w:cs="楷体"/>
          <w:b/>
          <w:bCs/>
          <w:sz w:val="32"/>
          <w:szCs w:val="32"/>
        </w:rPr>
        <w:t>（三）20</w:t>
      </w:r>
      <w:r>
        <w:rPr>
          <w:rFonts w:ascii="楷体" w:hAnsi="楷体" w:eastAsia="楷体_GB2312" w:cs="楷体"/>
          <w:b/>
          <w:bCs/>
          <w:sz w:val="32"/>
          <w:szCs w:val="32"/>
        </w:rPr>
        <w:t>20</w:t>
      </w:r>
      <w:r>
        <w:rPr>
          <w:rFonts w:hint="eastAsia" w:ascii="楷体" w:hAnsi="楷体" w:eastAsia="楷体_GB2312" w:cs="楷体"/>
          <w:b/>
          <w:bCs/>
          <w:sz w:val="32"/>
          <w:szCs w:val="32"/>
        </w:rPr>
        <w:t>年部门预算编制情况。</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我中心预算编制严格按照财政部门关于预算编制的相关要求，以工作计划为依据，预算指标与具体工作相对应，编制时符合项目支出预算编制管理要求，编制规范，细化程度合理。我中心按要求编报项目绩效目标，“信息系统维护”项目纳入重点预算绩效管理，明确项目年度预算绩效目标，填报《项目支出绩效目标申报表》。绩效指标清晰、细化，能够体现本单位履职效果的社会效益指标，绩效目标的目标值测算能符合客观实际情况。</w:t>
      </w:r>
    </w:p>
    <w:p>
      <w:pPr>
        <w:spacing w:line="360" w:lineRule="auto"/>
        <w:ind w:firstLine="643" w:firstLineChars="200"/>
        <w:rPr>
          <w:rFonts w:ascii="楷体" w:hAnsi="楷体" w:eastAsia="楷体_GB2312" w:cs="楷体"/>
          <w:b/>
          <w:bCs/>
          <w:sz w:val="32"/>
          <w:szCs w:val="32"/>
        </w:rPr>
      </w:pPr>
      <w:r>
        <w:rPr>
          <w:rFonts w:hint="eastAsia" w:ascii="楷体" w:hAnsi="楷体" w:eastAsia="楷体_GB2312" w:cs="楷体"/>
          <w:b/>
          <w:bCs/>
          <w:sz w:val="32"/>
          <w:szCs w:val="32"/>
        </w:rPr>
        <w:t>（四）20</w:t>
      </w:r>
      <w:r>
        <w:rPr>
          <w:rFonts w:ascii="楷体" w:hAnsi="楷体" w:eastAsia="楷体_GB2312" w:cs="楷体"/>
          <w:b/>
          <w:bCs/>
          <w:sz w:val="32"/>
          <w:szCs w:val="32"/>
        </w:rPr>
        <w:t>20</w:t>
      </w:r>
      <w:r>
        <w:rPr>
          <w:rFonts w:hint="eastAsia" w:ascii="楷体" w:hAnsi="楷体" w:eastAsia="楷体_GB2312" w:cs="楷体"/>
          <w:b/>
          <w:bCs/>
          <w:sz w:val="32"/>
          <w:szCs w:val="32"/>
        </w:rPr>
        <w:t>年部门预算执行情况。</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1.资金管理。我中心2020年度部门预算安排资金4,547万元，全年实际支出4,507万元，全年实际执行率为99.10%，其中人员经费预算安排2,124万元，实际支出2,110万元，完成比例为99.30%，全部用于工资福利支出以及对个人和家庭补助支出；日常公用经费预算安排15</w:t>
      </w:r>
      <w:r>
        <w:rPr>
          <w:rFonts w:ascii="仿宋_GB2312" w:eastAsia="仿宋_GB2312"/>
          <w:kern w:val="0"/>
          <w:sz w:val="32"/>
          <w:szCs w:val="32"/>
        </w:rPr>
        <w:t>3</w:t>
      </w:r>
      <w:r>
        <w:rPr>
          <w:rFonts w:hint="eastAsia" w:ascii="仿宋_GB2312" w:eastAsia="仿宋_GB2312"/>
          <w:kern w:val="0"/>
          <w:sz w:val="32"/>
          <w:szCs w:val="32"/>
        </w:rPr>
        <w:t>万元，实际支出150万元，完成比例为97.47%，本单位在严格执行中央八项规定，贯彻落实厉行勤俭节约的要求，节约和降低行政成本的情况下，保障了单位正常运转及日常工作任务的完成；项目支出预算安排2,270万元，实际支出2,247万元，完成比例为99.03%。本年度政府采购计划安排资金32.43万元，主要用于货物、工程、服务等项目，实际采购金额为30.43万元，预算执行率为93.83%。2020年度部门预算实际支付进度与时序支付进度基本匹配，预算执行及时，一至四季度支出进度分别为37.82%、55.54%、80.25%、99.10%,分季执行率分别为151.27%、111.09%、107%、99.1%，全年平均执行率为117.12%。</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我中心预算执行规范，按规定履行调整报批手续，资金管理、费用标准、支出范围严格按照预算批复、业务需求及相关财务制度规定执行，无超范围、超标准支出，不存在截留、挤占、挪用项目资金情况。规范执行政府会计制度，不存在支出依据不合规、虚列项目支出的情况。我中心2020年度预算按照政府信息公开有关规定，在规定时限和范围内公开相关预算信息,决算还未到公开时间。</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2.项目管理。我中心所有项目支出预算编制纳入项目库管理。2020年项目支出预算安排2,270万元，实际支出2,247万元，完成比例为99.03%。其中信息系统维护47万元纳入重点绩效目标管理，实际支出47万元，完成比例为100%，预算执行情况良好。所有资金使用严格按照合同要求及制定的管理考核标准按季度实施。项目支出预算的安排与单位履职相符合。</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3.资产管理。我中心2020年度总资产926.4万元，其中流动资产122.9万元，固定资产原值1648.4万元，无形资产原值329.5万元。实际在用固定资产原值1648.4万元，固定资产使用率为100%，资产使用管理规范、保管完整，运行安全。</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4.人员管理。我中心2020年度核定编制67人，实有在编人数52人。</w:t>
      </w:r>
    </w:p>
    <w:p>
      <w:pPr>
        <w:snapToGrid w:val="0"/>
        <w:spacing w:line="360" w:lineRule="auto"/>
        <w:ind w:firstLine="640" w:firstLineChars="200"/>
        <w:rPr>
          <w:rFonts w:ascii="仿宋_GB2312" w:eastAsia="仿宋_GB2312"/>
          <w:sz w:val="32"/>
          <w:szCs w:val="32"/>
        </w:rPr>
      </w:pPr>
      <w:r>
        <w:rPr>
          <w:rFonts w:hint="eastAsia" w:ascii="黑体" w:hAnsi="黑体" w:eastAsia="黑体" w:cs="黑体"/>
          <w:bCs/>
          <w:sz w:val="32"/>
          <w:szCs w:val="32"/>
        </w:rPr>
        <w:t>二、部门（单位）主要履职绩效分析</w:t>
      </w:r>
    </w:p>
    <w:p>
      <w:pPr>
        <w:spacing w:line="360" w:lineRule="auto"/>
        <w:ind w:firstLine="643" w:firstLineChars="200"/>
        <w:rPr>
          <w:rFonts w:ascii="楷体" w:hAnsi="楷体" w:eastAsia="楷体_GB2312" w:cs="楷体"/>
          <w:b/>
          <w:bCs/>
          <w:sz w:val="32"/>
          <w:szCs w:val="32"/>
        </w:rPr>
      </w:pPr>
      <w:r>
        <w:rPr>
          <w:rFonts w:hint="eastAsia" w:ascii="楷体" w:hAnsi="楷体" w:eastAsia="楷体_GB2312" w:cs="楷体"/>
          <w:b/>
          <w:bCs/>
          <w:sz w:val="32"/>
          <w:szCs w:val="32"/>
        </w:rPr>
        <w:t>（一）主要履职目标。</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国库支付中心的主要履职目标：区属各预算单位国库集中支付和会计集中核算的相关工作。</w:t>
      </w:r>
    </w:p>
    <w:p>
      <w:pPr>
        <w:spacing w:line="360" w:lineRule="auto"/>
        <w:ind w:firstLine="643" w:firstLineChars="200"/>
        <w:rPr>
          <w:rFonts w:ascii="楷体" w:hAnsi="楷体" w:eastAsia="楷体_GB2312" w:cs="楷体"/>
          <w:b/>
          <w:bCs/>
          <w:sz w:val="32"/>
          <w:szCs w:val="32"/>
        </w:rPr>
      </w:pPr>
      <w:r>
        <w:rPr>
          <w:rFonts w:hint="eastAsia" w:ascii="楷体" w:hAnsi="楷体" w:eastAsia="楷体_GB2312" w:cs="楷体"/>
          <w:b/>
          <w:bCs/>
          <w:sz w:val="32"/>
          <w:szCs w:val="32"/>
        </w:rPr>
        <w:t>（二）主要履职情况。</w:t>
      </w:r>
    </w:p>
    <w:p>
      <w:pPr>
        <w:spacing w:line="360" w:lineRule="auto"/>
        <w:ind w:firstLine="420" w:firstLineChars="200"/>
        <w:rPr>
          <w:rFonts w:ascii="仿宋_GB2312" w:eastAsia="仿宋_GB2312"/>
          <w:kern w:val="0"/>
          <w:sz w:val="32"/>
          <w:szCs w:val="32"/>
        </w:rPr>
      </w:pPr>
      <w:r>
        <w:rPr>
          <w:rFonts w:hint="eastAsia"/>
        </w:rPr>
        <w:t xml:space="preserve"> </w:t>
      </w:r>
      <w:r>
        <w:rPr>
          <w:rFonts w:hint="eastAsia" w:ascii="仿宋_GB2312" w:eastAsia="仿宋_GB2312"/>
          <w:kern w:val="0"/>
          <w:sz w:val="32"/>
          <w:szCs w:val="32"/>
        </w:rPr>
        <w:t>2020年，中心不断增强责任意识和服务意识，认真履行国库集中支付和会计集中核算职能，采取多项措施拓展支付核算工作新局面。截至11月30日，核算资金总额482.41亿元,其中核算收入资金288.09亿元,核算支出资金194.32亿元；截至11月30日，共完成国库直接支付43320笔，直接支付金额189.31亿元，有力地保障了区委区政府及各街道、部门重点工作的顺利开展。</w:t>
      </w:r>
    </w:p>
    <w:p>
      <w:pPr>
        <w:spacing w:line="360" w:lineRule="auto"/>
        <w:ind w:firstLine="643" w:firstLineChars="200"/>
        <w:rPr>
          <w:rFonts w:ascii="楷体" w:hAnsi="楷体" w:eastAsia="楷体_GB2312" w:cs="楷体"/>
          <w:b/>
          <w:bCs/>
          <w:sz w:val="32"/>
          <w:szCs w:val="32"/>
        </w:rPr>
      </w:pPr>
      <w:r>
        <w:rPr>
          <w:rFonts w:hint="eastAsia" w:ascii="楷体" w:hAnsi="楷体" w:eastAsia="楷体_GB2312" w:cs="楷体"/>
          <w:b/>
          <w:bCs/>
          <w:sz w:val="32"/>
          <w:szCs w:val="32"/>
        </w:rPr>
        <w:t>（三）部门履职绩效情况</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1.经济性</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三公”经费控制率。中心2020年“三公”经费预算数为11.67万元，其中，因公出国（境）费0万元，公务用车购置及运行维护费11.67万元，公务接待费0万元；实际支出7.28万元，其中，因公出国（境）费0万元，公务用车购置及运行维护费7.28万元，公务接待费0万元。“三公”经费实际支出数未超过预算安排的“三公”经费数，经费控制情况良好。</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2.效率性</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（1）预算执行率</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中心2020年部门预算数为4547万元，四季度预算执行总金额为450</w:t>
      </w:r>
      <w:r>
        <w:rPr>
          <w:rFonts w:ascii="仿宋_GB2312" w:eastAsia="仿宋_GB2312"/>
          <w:kern w:val="0"/>
          <w:sz w:val="32"/>
          <w:szCs w:val="32"/>
        </w:rPr>
        <w:t>7</w:t>
      </w:r>
      <w:r>
        <w:rPr>
          <w:rFonts w:hint="eastAsia" w:ascii="仿宋_GB2312" w:eastAsia="仿宋_GB2312"/>
          <w:kern w:val="0"/>
          <w:sz w:val="32"/>
          <w:szCs w:val="32"/>
        </w:rPr>
        <w:t xml:space="preserve">万元，一至四季度支出进度分别为37.82%、55.54%、80.25%、99.10%,分季执行率分别为151.27%、111.09%、107%、99.1%，全年平均执行率为117.12%。 </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（2）项目完成及时性</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中心所有部门预算安排的项目均按计划时间完成。</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3.效果性</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1）社会效益疫情期间在区委组织部的号召下，共计31名同志积极响应，提出参与一线抗疫申请，24名党员群众投身一线抗疫，主要负责下沉街道社区的抗疫宣传、企业复产复工、转运等有关工作。抗疫期间，中心一线党员群众充分发扬艰苦奋斗精神，迎难而上，为抗击疫情取得阶段性胜利贡献力量。其中，中心党员刘家祯同志，于香蜜湖街道侨香社区参与抗疫期间表现突出，在侨香社区获得“全国抗击新冠肺炎疫情先进集体”荣誉称号后，作为工作人员代表，接受了相关电视台的采访，彰显了国库人的责任与担当。</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（2）经济效益</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中心2020年度完满的完成了各项工作任务，具体如下： 一是完成“民转公”幼儿园纳入集中核算工作。根据区委区政府统一部署，今年上半年“民转公”幼儿园开始纳入集中核算，中心党组班子高度重视，精心安排，组建工作小组进行精细分工，认真梳理中心各部室工作量，测算人员需求情况，约谈中标会计师事务所、指导软件工程师增设账套等，目前已有50多家幼儿园开立账套进行集中核算。二是做好工会经费纳入集中核算工作。按上级要求，区行政事业单位工会组织经费需纳入中心集中核算。中心依照《工会会计制度》、《工会经费收支管理实施细则》等文件，通过与区总工会沟通、向其他区了解工会经费纳入集中核算情况等方式获取经验，最终与区总工会共同制定了《福田区行政事业单位工会会计集中核算实施意见》，并编写了《工会组织纳入集中核算操作指引》。同时做好服务工作：耐心指导基层工会组织做好银行开户、纳入集中核算资料准备等；对中心财务软件进行了再升级；对各工会组织财务人员进行了培训，对可能存在的业务问题详细讲解，做好前期服务工作。三是落实好直达资金支付工作。贯彻落实党中央、国务院</w:t>
      </w:r>
      <w:r>
        <w:rPr>
          <w:rFonts w:hint="eastAsia" w:ascii="仿宋_GB2312" w:eastAsia="仿宋_GB2312"/>
          <w:kern w:val="0"/>
          <w:sz w:val="32"/>
          <w:szCs w:val="32"/>
          <w:lang w:eastAsia="zh-CN"/>
        </w:rPr>
        <w:t>相关</w:t>
      </w:r>
      <w:bookmarkStart w:id="0" w:name="_GoBack"/>
      <w:bookmarkEnd w:id="0"/>
      <w:r>
        <w:rPr>
          <w:rFonts w:hint="eastAsia" w:ascii="仿宋_GB2312" w:eastAsia="仿宋_GB2312"/>
          <w:kern w:val="0"/>
          <w:sz w:val="32"/>
          <w:szCs w:val="32"/>
        </w:rPr>
        <w:t>工作部署，按照区委区政府要求，面对庞大的资金支付量，中心党组在人员极度短缺的情况下，周密部署、迎难而上，在短时间内完成了中央直达资金支付工作，确保资金支付项目、科目准确无误。四是做好信息系统维护工作。信息系统维护由第三方驻点进行维护，</w:t>
      </w:r>
      <w:r>
        <w:rPr>
          <w:rFonts w:ascii="仿宋_GB2312" w:eastAsia="仿宋_GB2312"/>
          <w:kern w:val="0"/>
          <w:sz w:val="32"/>
          <w:szCs w:val="32"/>
        </w:rPr>
        <w:t>2020</w:t>
      </w:r>
      <w:r>
        <w:rPr>
          <w:rFonts w:hint="eastAsia" w:ascii="仿宋_GB2312" w:eastAsia="仿宋_GB2312"/>
          <w:kern w:val="0"/>
          <w:sz w:val="32"/>
          <w:szCs w:val="32"/>
        </w:rPr>
        <w:t>年期间解决了业务问题1</w:t>
      </w:r>
      <w:r>
        <w:rPr>
          <w:rFonts w:ascii="仿宋_GB2312" w:eastAsia="仿宋_GB2312"/>
          <w:kern w:val="0"/>
          <w:sz w:val="32"/>
          <w:szCs w:val="32"/>
        </w:rPr>
        <w:t>55</w:t>
      </w:r>
      <w:r>
        <w:rPr>
          <w:rFonts w:hint="eastAsia" w:ascii="仿宋_GB2312" w:eastAsia="仿宋_GB2312"/>
          <w:kern w:val="0"/>
          <w:sz w:val="32"/>
          <w:szCs w:val="32"/>
        </w:rPr>
        <w:t>个，数据问题6</w:t>
      </w:r>
      <w:r>
        <w:rPr>
          <w:rFonts w:ascii="仿宋_GB2312" w:eastAsia="仿宋_GB2312"/>
          <w:kern w:val="0"/>
          <w:sz w:val="32"/>
          <w:szCs w:val="32"/>
        </w:rPr>
        <w:t>8</w:t>
      </w:r>
      <w:r>
        <w:rPr>
          <w:rFonts w:hint="eastAsia" w:ascii="仿宋_GB2312" w:eastAsia="仿宋_GB2312"/>
          <w:kern w:val="0"/>
          <w:sz w:val="32"/>
          <w:szCs w:val="32"/>
        </w:rPr>
        <w:t>个，并及时处理了系统B</w:t>
      </w:r>
      <w:r>
        <w:rPr>
          <w:rFonts w:ascii="仿宋_GB2312" w:eastAsia="仿宋_GB2312"/>
          <w:kern w:val="0"/>
          <w:sz w:val="32"/>
          <w:szCs w:val="32"/>
        </w:rPr>
        <w:t>UG</w:t>
      </w:r>
      <w:r>
        <w:rPr>
          <w:rFonts w:hint="eastAsia" w:ascii="仿宋_GB2312" w:eastAsia="仿宋_GB2312"/>
          <w:kern w:val="0"/>
          <w:sz w:val="32"/>
          <w:szCs w:val="32"/>
        </w:rPr>
        <w:t>，进一步的完善系统功能，高效解决了前台会计遇到的系统相关问题，提高了会计核算的准确性。系统的平稳运行保障了中心各业务的如期的开展。</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（3）生态效益</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中心部门项目未涉及生态效益指标，此项不适用。</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（4）可持续影响</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为紧密契合现代财政体系和改革发展需要，更好地理顺我区财务系统存在多个系统独立运行、系统间缺少互联互通、部分系统功能缺失、流程运行不够顺畅、数据共享困难等问题，中心开展财务共享及数字化建设规划课题研究，并经近一年的调研、走访，最终形成《福田区国库支付中心财务共享及数字化建设规划课题报告》，为中心未来财务系统建设做出蓝图规划建议。</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（5）满意度</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中心已建立意见反映渠道和意见办理回复机制。2020年度未收到投诉。</w:t>
      </w:r>
    </w:p>
    <w:p>
      <w:pPr>
        <w:spacing w:line="360" w:lineRule="auto"/>
        <w:ind w:firstLine="627" w:firstLineChars="196"/>
        <w:rPr>
          <w:rFonts w:ascii="黑体" w:hAnsi="黑体" w:eastAsia="黑体"/>
          <w:sz w:val="32"/>
          <w:szCs w:val="32"/>
        </w:rPr>
      </w:pPr>
      <w:r>
        <w:rPr>
          <w:rFonts w:hint="eastAsia" w:ascii="黑体" w:hAnsi="黑体" w:eastAsia="黑体"/>
          <w:sz w:val="32"/>
          <w:szCs w:val="32"/>
        </w:rPr>
        <w:t xml:space="preserve"> 三、总体评价和整改措施</w:t>
      </w:r>
    </w:p>
    <w:p>
      <w:pPr>
        <w:spacing w:line="360" w:lineRule="auto"/>
        <w:ind w:firstLine="803" w:firstLineChars="250"/>
        <w:rPr>
          <w:rFonts w:ascii="楷体" w:hAnsi="楷体" w:eastAsia="楷体" w:cs="楷体"/>
          <w:b/>
          <w:bCs/>
          <w:sz w:val="32"/>
          <w:szCs w:val="32"/>
        </w:rPr>
      </w:pPr>
      <w:r>
        <w:rPr>
          <w:rFonts w:hint="eastAsia" w:ascii="楷体" w:hAnsi="楷体" w:eastAsia="楷体_GB2312" w:cs="楷体"/>
          <w:b/>
          <w:bCs/>
          <w:sz w:val="32"/>
          <w:szCs w:val="32"/>
        </w:rPr>
        <w:t>（一）预算绩效管理工作主要经验、做法。</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预算绩效管理是政府绩效管理组成部分，以财政支出结果为导向，将绩效理念和管理方法融入预算编制、预算执行、预算监督的全过程管理中，建立“预算编制有目标、预算执行有监控、预算完成有评价、评价结果有反馈、反馈结果有应用”的管理机制。中心在学习和借鉴优秀单位对于预算绩效管理的基础上，不断完善、提高预算绩效管理水平，主要做法有：</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1.绩效管理意识较强。中心全面贯彻落实党的十九大“全面实施绩效管理”的精神和《中共中央 国务院关于全面实施预算绩效管理的意见》要求，深入学习预算绩效管理有关政策文件，形成绩效管理理念，切实增强资金使用单位的支出责任和效率意识，并有效开展绩效管理工作。</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2.项目绩效目标设定合理。中心在申报2020年度项目支出绩效目标时，根据工作目标、履职效能、社会效益等方面设定相关评价指标，从多方面反复论证，确定科学合理的指标，高质量完成项目绩效目标申报工作。</w:t>
      </w:r>
    </w:p>
    <w:p>
      <w:pPr>
        <w:spacing w:line="360" w:lineRule="auto"/>
        <w:ind w:firstLine="803" w:firstLineChars="250"/>
        <w:rPr>
          <w:rFonts w:ascii="楷体" w:hAnsi="楷体" w:eastAsia="楷体_GB2312" w:cs="楷体"/>
          <w:b/>
          <w:bCs/>
          <w:sz w:val="32"/>
          <w:szCs w:val="32"/>
        </w:rPr>
      </w:pPr>
      <w:r>
        <w:rPr>
          <w:rFonts w:hint="eastAsia" w:ascii="楷体" w:hAnsi="楷体" w:eastAsia="楷体_GB2312" w:cs="楷体"/>
          <w:b/>
          <w:bCs/>
          <w:sz w:val="32"/>
          <w:szCs w:val="32"/>
        </w:rPr>
        <w:t>（二）部门整体支出绩效存在问题及改进措施。</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存在的问题：</w:t>
      </w:r>
    </w:p>
    <w:p>
      <w:pPr>
        <w:spacing w:line="360" w:lineRule="auto"/>
        <w:ind w:firstLine="640"/>
        <w:rPr>
          <w:rFonts w:ascii="仿宋_GB2312" w:eastAsia="仿宋_GB2312"/>
          <w:kern w:val="0"/>
          <w:sz w:val="32"/>
          <w:szCs w:val="32"/>
        </w:rPr>
      </w:pPr>
      <w:r>
        <w:rPr>
          <w:rFonts w:hint="eastAsia" w:ascii="仿宋_GB2312" w:eastAsia="仿宋_GB2312"/>
          <w:kern w:val="0"/>
          <w:sz w:val="32"/>
          <w:szCs w:val="32"/>
        </w:rPr>
        <w:t>1</w:t>
      </w:r>
      <w:r>
        <w:rPr>
          <w:rFonts w:ascii="仿宋_GB2312" w:eastAsia="仿宋_GB2312"/>
          <w:kern w:val="0"/>
          <w:sz w:val="32"/>
          <w:szCs w:val="32"/>
        </w:rPr>
        <w:t>.</w:t>
      </w:r>
      <w:r>
        <w:rPr>
          <w:rFonts w:hint="eastAsia" w:ascii="仿宋_GB2312" w:eastAsia="仿宋_GB2312"/>
          <w:kern w:val="0"/>
          <w:sz w:val="32"/>
          <w:szCs w:val="32"/>
        </w:rPr>
        <w:t>编外人员控制有待加强。中心2020年度在职人员总数（在编+编外）88人，使用劳务派遣人员（含直接聘用的编外人员）36人，编外人员控制率40.90%，大于评价标准10%，此项得0分，编外人员数量有待控制。</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改进措施：</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加强用工管理，控制编外人员总体规模 一是制定出台编外聘用人员管理办法，对编外用人的适用范围、原则、计划、方式、待遇、监督检查等方面做出明确规定；二是在对编外人员摸底调查的基础上，按照需要、精干、高效、合理的原则，对编外人员进行清理规范。</w:t>
      </w:r>
    </w:p>
    <w:p>
      <w:pPr>
        <w:spacing w:line="360" w:lineRule="auto"/>
        <w:ind w:firstLine="803" w:firstLineChars="250"/>
        <w:rPr>
          <w:rFonts w:ascii="楷体" w:hAnsi="楷体" w:eastAsia="楷体_GB2312" w:cs="楷体"/>
          <w:b/>
          <w:bCs/>
          <w:sz w:val="32"/>
          <w:szCs w:val="32"/>
        </w:rPr>
      </w:pPr>
      <w:r>
        <w:rPr>
          <w:rFonts w:hint="eastAsia" w:ascii="楷体" w:hAnsi="楷体" w:eastAsia="楷体_GB2312" w:cs="楷体"/>
          <w:b/>
          <w:bCs/>
          <w:sz w:val="32"/>
          <w:szCs w:val="32"/>
        </w:rPr>
        <w:t>（三）后续工作计划、相关建议等。</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加快推进绩效评价结果的应用。通过对部门自评结果和财政评价结果的分析，发现资金管理存在的问题，进行科学分析，建立整改机制，加强资金管理。</w:t>
      </w:r>
    </w:p>
    <w:p>
      <w:pPr>
        <w:spacing w:line="360" w:lineRule="auto"/>
        <w:ind w:firstLine="640" w:firstLineChars="200"/>
        <w:rPr>
          <w:rFonts w:ascii="仿宋_GB2312" w:eastAsia="仿宋_GB2312"/>
          <w:kern w:val="0"/>
          <w:sz w:val="32"/>
          <w:szCs w:val="32"/>
        </w:rPr>
      </w:pPr>
      <w:r>
        <w:rPr>
          <w:rFonts w:hint="eastAsia" w:ascii="仿宋_GB2312" w:eastAsia="仿宋_GB2312"/>
          <w:kern w:val="0"/>
          <w:sz w:val="32"/>
          <w:szCs w:val="32"/>
        </w:rPr>
        <w:t>相关建议：建议区财政局推进绩效评价指标及绩效评价标准的数据库的完善，形成各单位系统的绩效评价指标和评价标准。同时加强预算绩效管理业务指导，对预算绩效全过程管理的内容、要求、绩效体系的优化和最新政策要求进行详细解读。</w:t>
      </w:r>
    </w:p>
    <w:p>
      <w:pPr>
        <w:spacing w:line="360" w:lineRule="auto"/>
        <w:ind w:firstLine="800" w:firstLineChars="250"/>
        <w:rPr>
          <w:rFonts w:ascii="黑体" w:hAnsi="黑体" w:eastAsia="黑体"/>
          <w:sz w:val="32"/>
          <w:szCs w:val="32"/>
        </w:rPr>
      </w:pPr>
      <w:r>
        <w:rPr>
          <w:rFonts w:hint="eastAsia" w:ascii="黑体" w:hAnsi="黑体" w:eastAsia="黑体"/>
          <w:sz w:val="32"/>
          <w:szCs w:val="32"/>
        </w:rPr>
        <w:t>四、部门整体支出绩效评价指标评分情况</w:t>
      </w:r>
    </w:p>
    <w:p>
      <w:pPr>
        <w:spacing w:line="360" w:lineRule="auto"/>
        <w:ind w:firstLine="800" w:firstLineChars="250"/>
        <w:rPr>
          <w:rFonts w:ascii="仿宋_GB2312" w:eastAsia="仿宋_GB2312"/>
          <w:sz w:val="32"/>
          <w:szCs w:val="32"/>
        </w:rPr>
        <w:sectPr>
          <w:footerReference r:id="rId3" w:type="default"/>
          <w:pgSz w:w="11906" w:h="16838"/>
          <w:pgMar w:top="2041" w:right="1417" w:bottom="1417" w:left="1531" w:header="851" w:footer="992" w:gutter="0"/>
          <w:cols w:space="425" w:num="1"/>
          <w:docGrid w:type="lines" w:linePitch="312" w:charSpace="0"/>
        </w:sectPr>
      </w:pPr>
    </w:p>
    <w:p>
      <w:pPr>
        <w:keepNext/>
        <w:keepLines/>
        <w:jc w:val="center"/>
        <w:rPr>
          <w:rFonts w:hint="eastAsia" w:ascii="黑体" w:hAnsi="黑体" w:eastAsia="黑体" w:cs="黑体"/>
          <w:sz w:val="28"/>
          <w:szCs w:val="28"/>
        </w:rPr>
      </w:pPr>
      <w:r>
        <w:rPr>
          <w:rFonts w:hint="eastAsia" w:ascii="黑体" w:hAnsi="黑体" w:eastAsia="黑体" w:cs="黑体"/>
          <w:sz w:val="28"/>
          <w:szCs w:val="28"/>
        </w:rPr>
        <w:t>2020年度部门整体支出绩效评价指标评分表</w:t>
      </w:r>
    </w:p>
    <w:tbl>
      <w:tblPr>
        <w:tblStyle w:val="7"/>
        <w:tblpPr w:leftFromText="180" w:rightFromText="180" w:vertAnchor="text" w:horzAnchor="page" w:tblpXSpec="center" w:tblpY="262"/>
        <w:tblOverlap w:val="never"/>
        <w:tblW w:w="132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5"/>
        <w:gridCol w:w="660"/>
        <w:gridCol w:w="752"/>
        <w:gridCol w:w="652"/>
        <w:gridCol w:w="705"/>
        <w:gridCol w:w="733"/>
        <w:gridCol w:w="2500"/>
        <w:gridCol w:w="5815"/>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blHeader/>
          <w:jc w:val="center"/>
        </w:trPr>
        <w:tc>
          <w:tcPr>
            <w:tcW w:w="4257" w:type="dxa"/>
            <w:gridSpan w:val="6"/>
            <w:tcBorders>
              <w:tl2br w:val="nil"/>
              <w:tr2bl w:val="nil"/>
            </w:tcBorders>
            <w:vAlign w:val="center"/>
          </w:tcPr>
          <w:p>
            <w:pPr>
              <w:keepNext/>
              <w:keepLines/>
              <w:spacing w:line="360" w:lineRule="auto"/>
              <w:jc w:val="center"/>
              <w:rPr>
                <w:rFonts w:ascii="仿宋_GB2312" w:eastAsia="仿宋_GB2312"/>
                <w:kern w:val="0"/>
                <w:sz w:val="24"/>
              </w:rPr>
            </w:pPr>
            <w:r>
              <w:rPr>
                <w:rFonts w:hint="eastAsia" w:ascii="仿宋_GB2312" w:eastAsia="仿宋_GB2312"/>
                <w:kern w:val="0"/>
                <w:sz w:val="24"/>
              </w:rPr>
              <w:t>评价指标</w:t>
            </w:r>
          </w:p>
        </w:tc>
        <w:tc>
          <w:tcPr>
            <w:tcW w:w="2500" w:type="dxa"/>
            <w:tcBorders>
              <w:tl2br w:val="nil"/>
              <w:tr2bl w:val="nil"/>
            </w:tcBorders>
          </w:tcPr>
          <w:p>
            <w:pPr>
              <w:keepNext/>
              <w:keepLines/>
              <w:spacing w:line="360" w:lineRule="auto"/>
              <w:jc w:val="center"/>
              <w:rPr>
                <w:rFonts w:ascii="仿宋_GB2312" w:eastAsia="仿宋_GB2312"/>
                <w:kern w:val="0"/>
                <w:sz w:val="24"/>
              </w:rPr>
            </w:pPr>
            <w:r>
              <w:rPr>
                <w:rFonts w:hint="eastAsia" w:ascii="仿宋_GB2312" w:eastAsia="仿宋_GB2312"/>
                <w:kern w:val="0"/>
                <w:sz w:val="24"/>
              </w:rPr>
              <w:t>指标说明</w:t>
            </w:r>
          </w:p>
        </w:tc>
        <w:tc>
          <w:tcPr>
            <w:tcW w:w="5815" w:type="dxa"/>
            <w:tcBorders>
              <w:tl2br w:val="nil"/>
              <w:tr2bl w:val="nil"/>
            </w:tcBorders>
          </w:tcPr>
          <w:p>
            <w:pPr>
              <w:keepNext/>
              <w:keepLines/>
              <w:spacing w:line="360" w:lineRule="auto"/>
              <w:jc w:val="center"/>
              <w:rPr>
                <w:rFonts w:ascii="仿宋_GB2312" w:eastAsia="仿宋_GB2312"/>
                <w:kern w:val="0"/>
                <w:sz w:val="24"/>
              </w:rPr>
            </w:pPr>
            <w:r>
              <w:rPr>
                <w:rFonts w:hint="eastAsia" w:ascii="仿宋_GB2312" w:eastAsia="仿宋_GB2312"/>
                <w:kern w:val="0"/>
                <w:sz w:val="24"/>
              </w:rPr>
              <w:t>评分标准</w:t>
            </w:r>
          </w:p>
        </w:tc>
        <w:tc>
          <w:tcPr>
            <w:tcW w:w="721" w:type="dxa"/>
            <w:vMerge w:val="restart"/>
            <w:tcBorders>
              <w:tl2br w:val="nil"/>
              <w:tr2bl w:val="nil"/>
            </w:tcBorders>
            <w:vAlign w:val="center"/>
          </w:tcPr>
          <w:p>
            <w:pPr>
              <w:keepNext/>
              <w:keepLines/>
              <w:spacing w:line="360" w:lineRule="auto"/>
              <w:rPr>
                <w:rFonts w:ascii="仿宋_GB2312" w:eastAsia="仿宋_GB2312"/>
                <w:kern w:val="0"/>
                <w:sz w:val="24"/>
              </w:rPr>
            </w:pPr>
            <w:r>
              <w:rPr>
                <w:rFonts w:hint="eastAsia" w:ascii="仿宋_GB2312" w:eastAsia="仿宋_GB2312"/>
                <w:kern w:val="0"/>
                <w:sz w:val="24"/>
              </w:rPr>
              <w:t>自评</w:t>
            </w:r>
          </w:p>
          <w:p>
            <w:pPr>
              <w:keepNext/>
              <w:keepLines/>
              <w:spacing w:line="360" w:lineRule="auto"/>
              <w:rPr>
                <w:rFonts w:ascii="仿宋_GB2312" w:eastAsia="仿宋_GB2312"/>
                <w:kern w:val="0"/>
                <w:sz w:val="24"/>
              </w:rPr>
            </w:pPr>
            <w:r>
              <w:rPr>
                <w:rFonts w:hint="eastAsia" w:ascii="仿宋_GB2312" w:eastAsia="仿宋_GB2312"/>
                <w:kern w:val="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blHeader/>
          <w:jc w:val="center"/>
        </w:trPr>
        <w:tc>
          <w:tcPr>
            <w:tcW w:w="1415" w:type="dxa"/>
            <w:gridSpan w:val="2"/>
            <w:tcBorders>
              <w:tl2br w:val="nil"/>
              <w:tr2bl w:val="nil"/>
            </w:tcBorders>
            <w:vAlign w:val="center"/>
          </w:tcPr>
          <w:p>
            <w:pPr>
              <w:keepNext/>
              <w:keepLines/>
              <w:spacing w:line="360" w:lineRule="auto"/>
              <w:jc w:val="center"/>
              <w:rPr>
                <w:rFonts w:ascii="仿宋_GB2312" w:eastAsia="仿宋_GB2312"/>
                <w:kern w:val="0"/>
                <w:sz w:val="24"/>
              </w:rPr>
            </w:pPr>
            <w:r>
              <w:rPr>
                <w:rFonts w:hint="eastAsia" w:ascii="仿宋_GB2312" w:eastAsia="仿宋_GB2312"/>
                <w:kern w:val="0"/>
                <w:sz w:val="24"/>
              </w:rPr>
              <w:t>一级指标</w:t>
            </w:r>
          </w:p>
        </w:tc>
        <w:tc>
          <w:tcPr>
            <w:tcW w:w="1404" w:type="dxa"/>
            <w:gridSpan w:val="2"/>
            <w:tcBorders>
              <w:tl2br w:val="nil"/>
              <w:tr2bl w:val="nil"/>
            </w:tcBorders>
            <w:vAlign w:val="center"/>
          </w:tcPr>
          <w:p>
            <w:pPr>
              <w:keepNext/>
              <w:keepLines/>
              <w:spacing w:line="360" w:lineRule="auto"/>
              <w:jc w:val="center"/>
              <w:rPr>
                <w:rFonts w:ascii="仿宋_GB2312" w:eastAsia="仿宋_GB2312"/>
                <w:kern w:val="0"/>
                <w:sz w:val="24"/>
              </w:rPr>
            </w:pPr>
            <w:r>
              <w:rPr>
                <w:rFonts w:hint="eastAsia" w:ascii="仿宋_GB2312" w:eastAsia="仿宋_GB2312"/>
                <w:kern w:val="0"/>
                <w:sz w:val="24"/>
              </w:rPr>
              <w:t>二级指标</w:t>
            </w:r>
          </w:p>
        </w:tc>
        <w:tc>
          <w:tcPr>
            <w:tcW w:w="1438" w:type="dxa"/>
            <w:gridSpan w:val="2"/>
            <w:tcBorders>
              <w:tl2br w:val="nil"/>
              <w:tr2bl w:val="nil"/>
            </w:tcBorders>
            <w:vAlign w:val="center"/>
          </w:tcPr>
          <w:p>
            <w:pPr>
              <w:keepNext/>
              <w:keepLines/>
              <w:spacing w:line="360" w:lineRule="auto"/>
              <w:jc w:val="center"/>
              <w:rPr>
                <w:rFonts w:ascii="仿宋_GB2312" w:eastAsia="仿宋_GB2312"/>
                <w:kern w:val="0"/>
                <w:sz w:val="24"/>
              </w:rPr>
            </w:pPr>
            <w:r>
              <w:rPr>
                <w:rFonts w:hint="eastAsia" w:ascii="仿宋_GB2312" w:eastAsia="仿宋_GB2312"/>
                <w:kern w:val="0"/>
                <w:sz w:val="24"/>
              </w:rPr>
              <w:t>三级指标　</w:t>
            </w:r>
          </w:p>
        </w:tc>
        <w:tc>
          <w:tcPr>
            <w:tcW w:w="2500" w:type="dxa"/>
            <w:tcBorders>
              <w:tl2br w:val="nil"/>
              <w:tr2bl w:val="nil"/>
            </w:tcBorders>
            <w:vAlign w:val="center"/>
          </w:tcPr>
          <w:p>
            <w:pPr>
              <w:keepNext/>
              <w:keepLines/>
              <w:spacing w:line="360" w:lineRule="auto"/>
              <w:jc w:val="center"/>
              <w:rPr>
                <w:rFonts w:ascii="仿宋_GB2312" w:eastAsia="仿宋_GB2312"/>
                <w:kern w:val="0"/>
                <w:sz w:val="24"/>
              </w:rPr>
            </w:pPr>
            <w:r>
              <w:rPr>
                <w:rFonts w:hint="eastAsia" w:ascii="仿宋_GB2312" w:eastAsia="仿宋_GB2312"/>
                <w:kern w:val="0"/>
                <w:sz w:val="24"/>
              </w:rPr>
              <w:t>——</w:t>
            </w:r>
          </w:p>
        </w:tc>
        <w:tc>
          <w:tcPr>
            <w:tcW w:w="5815" w:type="dxa"/>
            <w:tcBorders>
              <w:tl2br w:val="nil"/>
              <w:tr2bl w:val="nil"/>
            </w:tcBorders>
            <w:vAlign w:val="center"/>
          </w:tcPr>
          <w:p>
            <w:pPr>
              <w:keepNext/>
              <w:keepLines/>
              <w:spacing w:line="360" w:lineRule="auto"/>
              <w:jc w:val="center"/>
              <w:rPr>
                <w:rFonts w:ascii="仿宋_GB2312" w:eastAsia="仿宋_GB2312"/>
                <w:kern w:val="0"/>
                <w:sz w:val="24"/>
              </w:rPr>
            </w:pPr>
            <w:r>
              <w:rPr>
                <w:rFonts w:hint="eastAsia" w:ascii="仿宋_GB2312" w:eastAsia="仿宋_GB2312"/>
                <w:kern w:val="0"/>
                <w:sz w:val="24"/>
              </w:rPr>
              <w:t>——</w:t>
            </w:r>
          </w:p>
        </w:tc>
        <w:tc>
          <w:tcPr>
            <w:tcW w:w="721" w:type="dxa"/>
            <w:vMerge w:val="continue"/>
            <w:tcBorders>
              <w:tl2br w:val="nil"/>
              <w:tr2bl w:val="nil"/>
            </w:tcBorders>
            <w:vAlign w:val="center"/>
          </w:tcPr>
          <w:p>
            <w:pPr>
              <w:keepNext/>
              <w:keepLines/>
              <w:spacing w:line="360" w:lineRule="auto"/>
              <w:jc w:val="center"/>
              <w:rPr>
                <w:rFonts w:ascii="仿宋_GB2312"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blHeader/>
          <w:jc w:val="center"/>
        </w:trPr>
        <w:tc>
          <w:tcPr>
            <w:tcW w:w="755" w:type="dxa"/>
            <w:tcBorders>
              <w:tl2br w:val="nil"/>
              <w:tr2bl w:val="nil"/>
            </w:tcBorders>
            <w:vAlign w:val="center"/>
          </w:tcPr>
          <w:p>
            <w:pPr>
              <w:keepNext/>
              <w:keepLines/>
              <w:spacing w:line="360" w:lineRule="auto"/>
              <w:jc w:val="center"/>
              <w:rPr>
                <w:rFonts w:ascii="仿宋_GB2312" w:eastAsia="仿宋_GB2312"/>
                <w:kern w:val="0"/>
                <w:sz w:val="24"/>
              </w:rPr>
            </w:pPr>
            <w:r>
              <w:rPr>
                <w:rFonts w:hint="eastAsia" w:ascii="仿宋_GB2312" w:eastAsia="仿宋_GB2312"/>
                <w:kern w:val="0"/>
                <w:sz w:val="24"/>
              </w:rPr>
              <w:t>名称</w:t>
            </w:r>
          </w:p>
        </w:tc>
        <w:tc>
          <w:tcPr>
            <w:tcW w:w="659" w:type="dxa"/>
            <w:tcBorders>
              <w:tl2br w:val="nil"/>
              <w:tr2bl w:val="nil"/>
            </w:tcBorders>
            <w:vAlign w:val="center"/>
          </w:tcPr>
          <w:p>
            <w:pPr>
              <w:keepNext/>
              <w:keepLines/>
              <w:spacing w:line="360" w:lineRule="auto"/>
              <w:jc w:val="center"/>
              <w:rPr>
                <w:rFonts w:ascii="仿宋_GB2312" w:eastAsia="仿宋_GB2312"/>
                <w:kern w:val="0"/>
                <w:sz w:val="24"/>
              </w:rPr>
            </w:pPr>
            <w:r>
              <w:rPr>
                <w:rFonts w:hint="eastAsia" w:ascii="仿宋_GB2312" w:eastAsia="仿宋_GB2312"/>
                <w:kern w:val="0"/>
                <w:sz w:val="24"/>
              </w:rPr>
              <w:t>分值</w:t>
            </w:r>
          </w:p>
        </w:tc>
        <w:tc>
          <w:tcPr>
            <w:tcW w:w="752" w:type="dxa"/>
            <w:tcBorders>
              <w:tl2br w:val="nil"/>
              <w:tr2bl w:val="nil"/>
            </w:tcBorders>
            <w:vAlign w:val="center"/>
          </w:tcPr>
          <w:p>
            <w:pPr>
              <w:keepNext/>
              <w:keepLines/>
              <w:spacing w:line="360" w:lineRule="auto"/>
              <w:jc w:val="center"/>
              <w:rPr>
                <w:rFonts w:ascii="仿宋_GB2312" w:eastAsia="仿宋_GB2312"/>
                <w:kern w:val="0"/>
                <w:sz w:val="24"/>
              </w:rPr>
            </w:pPr>
            <w:r>
              <w:rPr>
                <w:rFonts w:hint="eastAsia" w:ascii="仿宋_GB2312" w:eastAsia="仿宋_GB2312"/>
                <w:kern w:val="0"/>
                <w:sz w:val="24"/>
              </w:rPr>
              <w:t>名称</w:t>
            </w:r>
          </w:p>
        </w:tc>
        <w:tc>
          <w:tcPr>
            <w:tcW w:w="652" w:type="dxa"/>
            <w:tcBorders>
              <w:tl2br w:val="nil"/>
              <w:tr2bl w:val="nil"/>
            </w:tcBorders>
            <w:vAlign w:val="center"/>
          </w:tcPr>
          <w:p>
            <w:pPr>
              <w:keepNext/>
              <w:keepLines/>
              <w:spacing w:line="360" w:lineRule="auto"/>
              <w:jc w:val="center"/>
              <w:rPr>
                <w:rFonts w:ascii="仿宋_GB2312" w:eastAsia="仿宋_GB2312"/>
                <w:kern w:val="0"/>
                <w:sz w:val="24"/>
              </w:rPr>
            </w:pPr>
            <w:r>
              <w:rPr>
                <w:rFonts w:hint="eastAsia" w:ascii="仿宋_GB2312" w:eastAsia="仿宋_GB2312"/>
                <w:kern w:val="0"/>
                <w:sz w:val="24"/>
              </w:rPr>
              <w:t>分值</w:t>
            </w:r>
          </w:p>
        </w:tc>
        <w:tc>
          <w:tcPr>
            <w:tcW w:w="705" w:type="dxa"/>
            <w:tcBorders>
              <w:tl2br w:val="nil"/>
              <w:tr2bl w:val="nil"/>
            </w:tcBorders>
            <w:vAlign w:val="center"/>
          </w:tcPr>
          <w:p>
            <w:pPr>
              <w:keepNext/>
              <w:keepLines/>
              <w:spacing w:line="360" w:lineRule="auto"/>
              <w:jc w:val="center"/>
              <w:rPr>
                <w:rFonts w:ascii="仿宋_GB2312" w:eastAsia="仿宋_GB2312"/>
                <w:kern w:val="0"/>
                <w:sz w:val="24"/>
              </w:rPr>
            </w:pPr>
            <w:r>
              <w:rPr>
                <w:rFonts w:hint="eastAsia" w:ascii="仿宋_GB2312" w:eastAsia="仿宋_GB2312"/>
                <w:kern w:val="0"/>
                <w:sz w:val="24"/>
              </w:rPr>
              <w:t>名称</w:t>
            </w:r>
          </w:p>
        </w:tc>
        <w:tc>
          <w:tcPr>
            <w:tcW w:w="733" w:type="dxa"/>
            <w:tcBorders>
              <w:tl2br w:val="nil"/>
              <w:tr2bl w:val="nil"/>
            </w:tcBorders>
            <w:vAlign w:val="center"/>
          </w:tcPr>
          <w:p>
            <w:pPr>
              <w:keepNext/>
              <w:keepLines/>
              <w:spacing w:line="360" w:lineRule="auto"/>
              <w:jc w:val="center"/>
              <w:rPr>
                <w:rFonts w:ascii="仿宋_GB2312" w:eastAsia="仿宋_GB2312"/>
                <w:kern w:val="0"/>
                <w:sz w:val="24"/>
              </w:rPr>
            </w:pPr>
            <w:r>
              <w:rPr>
                <w:rFonts w:hint="eastAsia" w:ascii="仿宋_GB2312" w:eastAsia="仿宋_GB2312"/>
                <w:kern w:val="0"/>
                <w:sz w:val="24"/>
              </w:rPr>
              <w:t>分值</w:t>
            </w:r>
          </w:p>
        </w:tc>
        <w:tc>
          <w:tcPr>
            <w:tcW w:w="2500" w:type="dxa"/>
            <w:tcBorders>
              <w:tl2br w:val="nil"/>
              <w:tr2bl w:val="nil"/>
            </w:tcBorders>
            <w:vAlign w:val="center"/>
          </w:tcPr>
          <w:p>
            <w:pPr>
              <w:keepNext/>
              <w:keepLines/>
              <w:spacing w:line="360" w:lineRule="auto"/>
              <w:jc w:val="center"/>
              <w:rPr>
                <w:rFonts w:ascii="仿宋_GB2312" w:eastAsia="仿宋_GB2312"/>
                <w:kern w:val="0"/>
                <w:sz w:val="24"/>
              </w:rPr>
            </w:pPr>
            <w:r>
              <w:rPr>
                <w:rFonts w:hint="eastAsia" w:ascii="仿宋_GB2312" w:eastAsia="仿宋_GB2312"/>
                <w:kern w:val="0"/>
                <w:sz w:val="24"/>
              </w:rPr>
              <w:t>——</w:t>
            </w:r>
          </w:p>
        </w:tc>
        <w:tc>
          <w:tcPr>
            <w:tcW w:w="5815" w:type="dxa"/>
            <w:tcBorders>
              <w:tl2br w:val="nil"/>
              <w:tr2bl w:val="nil"/>
            </w:tcBorders>
            <w:vAlign w:val="center"/>
          </w:tcPr>
          <w:p>
            <w:pPr>
              <w:keepNext/>
              <w:keepLines/>
              <w:spacing w:line="360" w:lineRule="auto"/>
              <w:jc w:val="center"/>
              <w:rPr>
                <w:rFonts w:ascii="仿宋_GB2312" w:eastAsia="仿宋_GB2312"/>
                <w:kern w:val="0"/>
                <w:sz w:val="24"/>
              </w:rPr>
            </w:pPr>
            <w:r>
              <w:rPr>
                <w:rFonts w:hint="eastAsia" w:ascii="仿宋_GB2312" w:eastAsia="仿宋_GB2312"/>
                <w:kern w:val="0"/>
                <w:sz w:val="24"/>
              </w:rPr>
              <w:t>——</w:t>
            </w:r>
          </w:p>
        </w:tc>
        <w:tc>
          <w:tcPr>
            <w:tcW w:w="721" w:type="dxa"/>
            <w:vMerge w:val="continue"/>
            <w:tcBorders>
              <w:tl2br w:val="nil"/>
              <w:tr2bl w:val="nil"/>
            </w:tcBorders>
            <w:vAlign w:val="center"/>
          </w:tcPr>
          <w:p>
            <w:pPr>
              <w:keepNext/>
              <w:keepLines/>
              <w:spacing w:line="360" w:lineRule="auto"/>
              <w:jc w:val="center"/>
              <w:rPr>
                <w:rFonts w:ascii="仿宋_GB2312"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blHeader/>
          <w:jc w:val="center"/>
        </w:trPr>
        <w:tc>
          <w:tcPr>
            <w:tcW w:w="755"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部门决策</w:t>
            </w:r>
          </w:p>
        </w:tc>
        <w:tc>
          <w:tcPr>
            <w:tcW w:w="659"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25</w:t>
            </w:r>
          </w:p>
        </w:tc>
        <w:tc>
          <w:tcPr>
            <w:tcW w:w="752"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预算编制</w:t>
            </w:r>
          </w:p>
        </w:tc>
        <w:tc>
          <w:tcPr>
            <w:tcW w:w="652"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10</w:t>
            </w:r>
          </w:p>
        </w:tc>
        <w:tc>
          <w:tcPr>
            <w:tcW w:w="705"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预算编制合理性</w:t>
            </w:r>
          </w:p>
        </w:tc>
        <w:tc>
          <w:tcPr>
            <w:tcW w:w="733"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5</w:t>
            </w:r>
          </w:p>
        </w:tc>
        <w:tc>
          <w:tcPr>
            <w:tcW w:w="2500" w:type="dxa"/>
            <w:tcBorders>
              <w:tl2br w:val="nil"/>
              <w:tr2bl w:val="nil"/>
            </w:tcBorders>
            <w:vAlign w:val="center"/>
          </w:tcPr>
          <w:p>
            <w:pPr>
              <w:keepNext/>
              <w:keepLines/>
              <w:spacing w:line="420" w:lineRule="exact"/>
              <w:jc w:val="center"/>
              <w:rPr>
                <w:rFonts w:ascii="仿宋_GB2312" w:eastAsia="仿宋_GB2312"/>
                <w:kern w:val="0"/>
                <w:sz w:val="24"/>
              </w:rPr>
            </w:pPr>
            <w:r>
              <w:rPr>
                <w:rFonts w:hint="eastAsia" w:ascii="仿宋_GB2312" w:eastAsia="仿宋_GB2312"/>
                <w:kern w:val="0"/>
                <w:sz w:val="24"/>
              </w:rPr>
              <w:t>部门（单位）预算的合理性，即是否符合本部门职责、是否符合区委区政府的方针政策和工作要求，资金有无根据项目的轻重缓急进行分配。</w:t>
            </w:r>
          </w:p>
        </w:tc>
        <w:tc>
          <w:tcPr>
            <w:tcW w:w="5815" w:type="dxa"/>
            <w:tcBorders>
              <w:tl2br w:val="nil"/>
              <w:tr2bl w:val="nil"/>
            </w:tcBorders>
            <w:vAlign w:val="center"/>
          </w:tcPr>
          <w:p>
            <w:pPr>
              <w:keepNext/>
              <w:keepLines/>
              <w:spacing w:line="420" w:lineRule="exact"/>
              <w:jc w:val="left"/>
              <w:rPr>
                <w:rFonts w:ascii="仿宋_GB2312" w:eastAsia="仿宋_GB2312"/>
                <w:kern w:val="0"/>
                <w:sz w:val="24"/>
              </w:rPr>
            </w:pPr>
            <w:r>
              <w:rPr>
                <w:rFonts w:hint="eastAsia" w:ascii="仿宋_GB2312" w:eastAsia="仿宋_GB2312"/>
                <w:kern w:val="0"/>
                <w:sz w:val="24"/>
              </w:rPr>
              <w:t>1.部门预算编制、分配符合本部门职责、符合区委区政府方针政策和工作要求（1分）； 2.部门预算资金能根据年度工作重点，在不同项目、不同用途之间合理分配（1分）；                                                3.专项资金编制细化程度合理，未出现因年中调剂导致部门预决算差异过大问题（1分）；                                                                                 4.功能分类和经济分类编制准确，年度中间无大量调剂，未发生项目之间频繁调剂（1分）； 5.部门预算分配不固化，能根据实际情况合理调整，不存在项目支出进度慢、完成率低、绩效较差，但连年持续安排预算等不合理的情况（1分）。</w:t>
            </w:r>
          </w:p>
        </w:tc>
        <w:tc>
          <w:tcPr>
            <w:tcW w:w="721"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blHeader/>
          <w:jc w:val="center"/>
        </w:trPr>
        <w:tc>
          <w:tcPr>
            <w:tcW w:w="755"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部门决策</w:t>
            </w:r>
          </w:p>
        </w:tc>
        <w:tc>
          <w:tcPr>
            <w:tcW w:w="659"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25</w:t>
            </w:r>
          </w:p>
        </w:tc>
        <w:tc>
          <w:tcPr>
            <w:tcW w:w="752"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预算编制</w:t>
            </w:r>
          </w:p>
        </w:tc>
        <w:tc>
          <w:tcPr>
            <w:tcW w:w="652"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10</w:t>
            </w:r>
          </w:p>
        </w:tc>
        <w:tc>
          <w:tcPr>
            <w:tcW w:w="705"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预算编制规范性</w:t>
            </w:r>
          </w:p>
        </w:tc>
        <w:tc>
          <w:tcPr>
            <w:tcW w:w="733"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5</w:t>
            </w:r>
          </w:p>
        </w:tc>
        <w:tc>
          <w:tcPr>
            <w:tcW w:w="2500" w:type="dxa"/>
            <w:tcBorders>
              <w:tl2br w:val="nil"/>
              <w:tr2bl w:val="nil"/>
            </w:tcBorders>
            <w:vAlign w:val="center"/>
          </w:tcPr>
          <w:p>
            <w:pPr>
              <w:keepNext/>
              <w:keepLines/>
              <w:spacing w:line="420" w:lineRule="exact"/>
              <w:jc w:val="center"/>
              <w:rPr>
                <w:rFonts w:ascii="仿宋_GB2312" w:eastAsia="仿宋_GB2312"/>
                <w:kern w:val="0"/>
                <w:sz w:val="24"/>
              </w:rPr>
            </w:pPr>
            <w:r>
              <w:rPr>
                <w:rFonts w:hint="eastAsia" w:ascii="仿宋_GB2312" w:eastAsia="仿宋_GB2312"/>
                <w:kern w:val="0"/>
                <w:sz w:val="24"/>
              </w:rPr>
              <w:t>部门（单位）预算编制是否符合财政部门当年度关于预算编制在规范性、完整性、细化程度等方面的原则和要求。</w:t>
            </w:r>
          </w:p>
        </w:tc>
        <w:tc>
          <w:tcPr>
            <w:tcW w:w="5815" w:type="dxa"/>
            <w:tcBorders>
              <w:tl2br w:val="nil"/>
              <w:tr2bl w:val="nil"/>
            </w:tcBorders>
            <w:vAlign w:val="center"/>
          </w:tcPr>
          <w:p>
            <w:pPr>
              <w:keepNext/>
              <w:keepLines/>
              <w:spacing w:line="420" w:lineRule="exact"/>
              <w:jc w:val="left"/>
              <w:rPr>
                <w:rFonts w:ascii="仿宋_GB2312" w:eastAsia="仿宋_GB2312"/>
                <w:kern w:val="0"/>
                <w:sz w:val="24"/>
              </w:rPr>
            </w:pPr>
            <w:r>
              <w:rPr>
                <w:rFonts w:hint="eastAsia" w:ascii="仿宋_GB2312" w:eastAsia="仿宋_GB2312"/>
                <w:kern w:val="0"/>
                <w:sz w:val="24"/>
              </w:rPr>
              <w:t>1.部门（单位）预算编制符合财政部门当年度关于预算编制的各项原则和要求，符合专项资金预算编制、项目库管理、新增项目事前绩效评估等要求（5分）； 2.发现一项不符合的扣1分，扣完为止。 本指标需对照相应年度由财政部门印发的部门预算编制工作方案、通知和有关制度文件，根据实际情况评分。</w:t>
            </w:r>
          </w:p>
        </w:tc>
        <w:tc>
          <w:tcPr>
            <w:tcW w:w="721"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blHeader/>
          <w:jc w:val="center"/>
        </w:trPr>
        <w:tc>
          <w:tcPr>
            <w:tcW w:w="755"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部门决策</w:t>
            </w:r>
          </w:p>
        </w:tc>
        <w:tc>
          <w:tcPr>
            <w:tcW w:w="659"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25</w:t>
            </w:r>
          </w:p>
        </w:tc>
        <w:tc>
          <w:tcPr>
            <w:tcW w:w="752"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目标设置</w:t>
            </w:r>
          </w:p>
        </w:tc>
        <w:tc>
          <w:tcPr>
            <w:tcW w:w="652"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15</w:t>
            </w:r>
          </w:p>
        </w:tc>
        <w:tc>
          <w:tcPr>
            <w:tcW w:w="705"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绩效目标完整性</w:t>
            </w:r>
          </w:p>
        </w:tc>
        <w:tc>
          <w:tcPr>
            <w:tcW w:w="733"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8</w:t>
            </w:r>
          </w:p>
        </w:tc>
        <w:tc>
          <w:tcPr>
            <w:tcW w:w="2500" w:type="dxa"/>
            <w:tcBorders>
              <w:tl2br w:val="nil"/>
              <w:tr2bl w:val="nil"/>
            </w:tcBorders>
            <w:vAlign w:val="center"/>
          </w:tcPr>
          <w:p>
            <w:pPr>
              <w:keepNext/>
              <w:keepLines/>
              <w:spacing w:line="420" w:lineRule="exact"/>
              <w:jc w:val="center"/>
              <w:rPr>
                <w:rFonts w:ascii="仿宋_GB2312" w:eastAsia="仿宋_GB2312"/>
                <w:kern w:val="0"/>
                <w:sz w:val="24"/>
              </w:rPr>
            </w:pPr>
            <w:r>
              <w:rPr>
                <w:rFonts w:hint="eastAsia" w:ascii="仿宋_GB2312" w:eastAsia="仿宋_GB2312"/>
                <w:kern w:val="0"/>
                <w:sz w:val="24"/>
              </w:rPr>
              <w:t>部门（单位）是否按要求编报项目绩效目标，是否依据充分、内容完整、覆盖全面、符合实际。</w:t>
            </w:r>
          </w:p>
        </w:tc>
        <w:tc>
          <w:tcPr>
            <w:tcW w:w="5815" w:type="dxa"/>
            <w:tcBorders>
              <w:tl2br w:val="nil"/>
              <w:tr2bl w:val="nil"/>
            </w:tcBorders>
            <w:vAlign w:val="center"/>
          </w:tcPr>
          <w:p>
            <w:pPr>
              <w:keepNext/>
              <w:keepLines/>
              <w:spacing w:line="420" w:lineRule="exact"/>
              <w:jc w:val="left"/>
              <w:rPr>
                <w:rFonts w:ascii="仿宋_GB2312" w:eastAsia="仿宋_GB2312"/>
                <w:kern w:val="0"/>
                <w:sz w:val="24"/>
              </w:rPr>
            </w:pPr>
            <w:r>
              <w:rPr>
                <w:rFonts w:hint="eastAsia" w:ascii="仿宋_GB2312" w:eastAsia="仿宋_GB2312"/>
                <w:kern w:val="0"/>
                <w:sz w:val="24"/>
              </w:rPr>
              <w:t>1.部门（单位）按要求编报部门整体和项目的绩效目标，实现绩效目标全覆盖（8分）； 2.没按要求编报绩效目标或绩效目标不符合要求的，一项扣1分，扣完为止。</w:t>
            </w:r>
          </w:p>
        </w:tc>
        <w:tc>
          <w:tcPr>
            <w:tcW w:w="721"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blHeader/>
          <w:jc w:val="center"/>
        </w:trPr>
        <w:tc>
          <w:tcPr>
            <w:tcW w:w="755"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部门决策</w:t>
            </w:r>
          </w:p>
        </w:tc>
        <w:tc>
          <w:tcPr>
            <w:tcW w:w="659"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25</w:t>
            </w:r>
          </w:p>
        </w:tc>
        <w:tc>
          <w:tcPr>
            <w:tcW w:w="752"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目标设置</w:t>
            </w:r>
          </w:p>
        </w:tc>
        <w:tc>
          <w:tcPr>
            <w:tcW w:w="652"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15</w:t>
            </w:r>
          </w:p>
        </w:tc>
        <w:tc>
          <w:tcPr>
            <w:tcW w:w="705"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绩效指标明确性</w:t>
            </w:r>
          </w:p>
        </w:tc>
        <w:tc>
          <w:tcPr>
            <w:tcW w:w="733"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7</w:t>
            </w:r>
          </w:p>
        </w:tc>
        <w:tc>
          <w:tcPr>
            <w:tcW w:w="2500" w:type="dxa"/>
            <w:tcBorders>
              <w:tl2br w:val="nil"/>
              <w:tr2bl w:val="nil"/>
            </w:tcBorders>
            <w:vAlign w:val="center"/>
          </w:tcPr>
          <w:p>
            <w:pPr>
              <w:keepNext/>
              <w:keepLines/>
              <w:spacing w:line="420" w:lineRule="exact"/>
              <w:jc w:val="center"/>
              <w:rPr>
                <w:rFonts w:ascii="仿宋_GB2312" w:eastAsia="仿宋_GB2312"/>
                <w:kern w:val="0"/>
                <w:sz w:val="24"/>
              </w:rPr>
            </w:pPr>
            <w:r>
              <w:rPr>
                <w:rFonts w:hint="eastAsia" w:ascii="仿宋_GB2312" w:eastAsia="仿宋_GB2312"/>
                <w:kern w:val="0"/>
                <w:sz w:val="24"/>
              </w:rPr>
              <w:t>部门（单位）设定的绩效指标是否清晰、细化、可量化，用以反映和考核部门（单位）项目绩效目标的明细化情况。</w:t>
            </w:r>
          </w:p>
        </w:tc>
        <w:tc>
          <w:tcPr>
            <w:tcW w:w="5815" w:type="dxa"/>
            <w:tcBorders>
              <w:tl2br w:val="nil"/>
              <w:tr2bl w:val="nil"/>
            </w:tcBorders>
            <w:vAlign w:val="center"/>
          </w:tcPr>
          <w:p>
            <w:pPr>
              <w:keepNext/>
              <w:keepLines/>
              <w:spacing w:line="420" w:lineRule="exact"/>
              <w:jc w:val="left"/>
              <w:rPr>
                <w:rFonts w:ascii="仿宋_GB2312" w:eastAsia="仿宋_GB2312"/>
                <w:kern w:val="0"/>
                <w:sz w:val="24"/>
              </w:rPr>
            </w:pPr>
            <w:r>
              <w:rPr>
                <w:rFonts w:hint="eastAsia" w:ascii="仿宋_GB2312" w:eastAsia="仿宋_GB2312"/>
                <w:kern w:val="0"/>
                <w:sz w:val="24"/>
              </w:rPr>
              <w:t>1.绩效指标将部门整体绩效目标细化分解为具体工作任务，与部门年度任务数或计划数相对应（2分）； 2.绩效指标中包含能够明确体现部门（单位）履职效果的社会、经济、生态效益指标（2分）； 3.绩效指标具有清晰、可衡量的指标值（1分）； 4.绩效目标包含可量化的指标（1分）；   5.绩效目标的目标值测算能提供相关依据或符合客观实际情况（1分）。</w:t>
            </w:r>
          </w:p>
        </w:tc>
        <w:tc>
          <w:tcPr>
            <w:tcW w:w="721"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blHeader/>
          <w:jc w:val="center"/>
        </w:trPr>
        <w:tc>
          <w:tcPr>
            <w:tcW w:w="755"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部门管理</w:t>
            </w:r>
          </w:p>
        </w:tc>
        <w:tc>
          <w:tcPr>
            <w:tcW w:w="659"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20</w:t>
            </w:r>
          </w:p>
        </w:tc>
        <w:tc>
          <w:tcPr>
            <w:tcW w:w="752"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资金管理</w:t>
            </w:r>
          </w:p>
        </w:tc>
        <w:tc>
          <w:tcPr>
            <w:tcW w:w="652"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8</w:t>
            </w:r>
          </w:p>
        </w:tc>
        <w:tc>
          <w:tcPr>
            <w:tcW w:w="705"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政府采购执行情况</w:t>
            </w:r>
          </w:p>
        </w:tc>
        <w:tc>
          <w:tcPr>
            <w:tcW w:w="733"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w:t>
            </w:r>
          </w:p>
        </w:tc>
        <w:tc>
          <w:tcPr>
            <w:tcW w:w="2500" w:type="dxa"/>
            <w:tcBorders>
              <w:tl2br w:val="nil"/>
              <w:tr2bl w:val="nil"/>
            </w:tcBorders>
            <w:vAlign w:val="center"/>
          </w:tcPr>
          <w:p>
            <w:pPr>
              <w:keepNext/>
              <w:keepLines/>
              <w:spacing w:line="420" w:lineRule="exact"/>
              <w:jc w:val="center"/>
              <w:rPr>
                <w:rFonts w:ascii="仿宋_GB2312" w:eastAsia="仿宋_GB2312"/>
                <w:kern w:val="0"/>
                <w:sz w:val="24"/>
              </w:rPr>
            </w:pPr>
            <w:r>
              <w:rPr>
                <w:rFonts w:hint="eastAsia" w:ascii="仿宋_GB2312" w:eastAsia="仿宋_GB2312"/>
                <w:kern w:val="0"/>
                <w:sz w:val="24"/>
              </w:rPr>
              <w:t>部门（单位）本年度实际政府采购金额与年度政府采购预算的比率，用以反映和考核部门（单位）政府采购预算执行情况；政府采购政策功能的执行和落实情况。</w:t>
            </w:r>
          </w:p>
        </w:tc>
        <w:tc>
          <w:tcPr>
            <w:tcW w:w="5815" w:type="dxa"/>
            <w:tcBorders>
              <w:tl2br w:val="nil"/>
              <w:tr2bl w:val="nil"/>
            </w:tcBorders>
            <w:vAlign w:val="center"/>
          </w:tcPr>
          <w:p>
            <w:pPr>
              <w:keepNext/>
              <w:keepLines/>
              <w:spacing w:line="420" w:lineRule="exact"/>
              <w:jc w:val="left"/>
              <w:rPr>
                <w:rFonts w:ascii="仿宋_GB2312" w:eastAsia="仿宋_GB2312"/>
                <w:kern w:val="0"/>
                <w:sz w:val="24"/>
              </w:rPr>
            </w:pPr>
            <w:r>
              <w:rPr>
                <w:rFonts w:hint="eastAsia" w:ascii="仿宋_GB2312" w:eastAsia="仿宋_GB2312"/>
                <w:kern w:val="0"/>
                <w:sz w:val="24"/>
              </w:rPr>
              <w:t>1.政府采购执行率得分=政府采购执行率X1分 政府采购执行率=（实际采购金额合计数/采购计划金额合计数）X100% 如实际采购金额大于采购计划金额，本项得0分。 政府采购预算是指采购机关根据事业发展计划和行政任务编制的、并经过规定程序批准的年度政府采购计划。 2.政府采购政策功能的执行和落实情况（1分），落实不到位的酌情扣分。</w:t>
            </w:r>
          </w:p>
        </w:tc>
        <w:tc>
          <w:tcPr>
            <w:tcW w:w="721"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blHeader/>
          <w:jc w:val="center"/>
        </w:trPr>
        <w:tc>
          <w:tcPr>
            <w:tcW w:w="755"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部门管理</w:t>
            </w:r>
          </w:p>
        </w:tc>
        <w:tc>
          <w:tcPr>
            <w:tcW w:w="659"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20</w:t>
            </w:r>
          </w:p>
        </w:tc>
        <w:tc>
          <w:tcPr>
            <w:tcW w:w="752"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资金管理</w:t>
            </w:r>
          </w:p>
        </w:tc>
        <w:tc>
          <w:tcPr>
            <w:tcW w:w="652"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8</w:t>
            </w:r>
          </w:p>
        </w:tc>
        <w:tc>
          <w:tcPr>
            <w:tcW w:w="705"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财务合规性</w:t>
            </w:r>
          </w:p>
        </w:tc>
        <w:tc>
          <w:tcPr>
            <w:tcW w:w="733"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3</w:t>
            </w:r>
          </w:p>
        </w:tc>
        <w:tc>
          <w:tcPr>
            <w:tcW w:w="2500" w:type="dxa"/>
            <w:tcBorders>
              <w:tl2br w:val="nil"/>
              <w:tr2bl w:val="nil"/>
            </w:tcBorders>
            <w:vAlign w:val="center"/>
          </w:tcPr>
          <w:p>
            <w:pPr>
              <w:keepNext/>
              <w:keepLines/>
              <w:spacing w:line="420" w:lineRule="exact"/>
              <w:jc w:val="center"/>
              <w:rPr>
                <w:rFonts w:ascii="仿宋_GB2312" w:eastAsia="仿宋_GB2312"/>
                <w:kern w:val="0"/>
                <w:sz w:val="24"/>
              </w:rPr>
            </w:pPr>
            <w:r>
              <w:rPr>
                <w:rFonts w:hint="eastAsia" w:ascii="仿宋_GB2312" w:eastAsia="仿宋_GB2312"/>
                <w:kern w:val="0"/>
                <w:sz w:val="24"/>
              </w:rPr>
              <w:t>部门（单位）资金支出规范性，包括资金管理、费用支出等制度是否严格执行；资金调整、调剂是否规范；会计核算是否规范、是否存在支出依据不合规、虚列项目支出的情况；是否存在截留、挤占、挪用项目资金情况。</w:t>
            </w:r>
          </w:p>
        </w:tc>
        <w:tc>
          <w:tcPr>
            <w:tcW w:w="5815" w:type="dxa"/>
            <w:tcBorders>
              <w:tl2br w:val="nil"/>
              <w:tr2bl w:val="nil"/>
            </w:tcBorders>
            <w:vAlign w:val="center"/>
          </w:tcPr>
          <w:p>
            <w:pPr>
              <w:keepNext/>
              <w:keepLines/>
              <w:spacing w:line="420" w:lineRule="exact"/>
              <w:jc w:val="left"/>
              <w:rPr>
                <w:rFonts w:ascii="仿宋_GB2312" w:eastAsia="仿宋_GB2312"/>
                <w:kern w:val="0"/>
                <w:sz w:val="24"/>
              </w:rPr>
            </w:pPr>
            <w:r>
              <w:rPr>
                <w:rFonts w:hint="eastAsia" w:ascii="仿宋_GB2312" w:eastAsia="仿宋_GB2312"/>
                <w:kern w:val="0"/>
                <w:sz w:val="24"/>
              </w:rPr>
              <w:t>1.资金支出规范性（1分）。资金管理、费用标准、支付符合有关制度规定，按事项完成进度支付资金的，得1分，否则酌情扣分。 2.资金调整、调剂规范性（1分）。调整、调剂资金累计在本单位部门预算总规模10%的，得1分；超出10%的，超出一个百分点扣0.1分，直至1分扣完为止。 3.会计核算规范性（1分）。规范执行会计核算制度得1分，未按规定设专账核算、支出凭证不符合规定或其他核算不规范，酌情扣分。 4.发生超范围、超标准支出，虚列支出，截留、挤占、挪用资金的，以及其他不符合制度规定支出，本项指标得0分。</w:t>
            </w:r>
          </w:p>
        </w:tc>
        <w:tc>
          <w:tcPr>
            <w:tcW w:w="721"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blHeader/>
          <w:jc w:val="center"/>
        </w:trPr>
        <w:tc>
          <w:tcPr>
            <w:tcW w:w="755"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部门管理</w:t>
            </w:r>
          </w:p>
        </w:tc>
        <w:tc>
          <w:tcPr>
            <w:tcW w:w="659"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20</w:t>
            </w:r>
          </w:p>
        </w:tc>
        <w:tc>
          <w:tcPr>
            <w:tcW w:w="752"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资金管理</w:t>
            </w:r>
          </w:p>
        </w:tc>
        <w:tc>
          <w:tcPr>
            <w:tcW w:w="652"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8</w:t>
            </w:r>
          </w:p>
        </w:tc>
        <w:tc>
          <w:tcPr>
            <w:tcW w:w="705"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预决算信息公开</w:t>
            </w:r>
          </w:p>
        </w:tc>
        <w:tc>
          <w:tcPr>
            <w:tcW w:w="733"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3</w:t>
            </w:r>
          </w:p>
        </w:tc>
        <w:tc>
          <w:tcPr>
            <w:tcW w:w="2500" w:type="dxa"/>
            <w:tcBorders>
              <w:tl2br w:val="nil"/>
              <w:tr2bl w:val="nil"/>
            </w:tcBorders>
            <w:vAlign w:val="center"/>
          </w:tcPr>
          <w:p>
            <w:pPr>
              <w:keepNext/>
              <w:keepLines/>
              <w:spacing w:line="420" w:lineRule="exact"/>
              <w:jc w:val="center"/>
              <w:rPr>
                <w:rFonts w:ascii="仿宋_GB2312" w:eastAsia="仿宋_GB2312"/>
                <w:kern w:val="0"/>
                <w:sz w:val="24"/>
              </w:rPr>
            </w:pPr>
            <w:r>
              <w:rPr>
                <w:rFonts w:hint="eastAsia" w:ascii="仿宋_GB2312" w:eastAsia="仿宋_GB2312"/>
                <w:kern w:val="0"/>
                <w:sz w:val="24"/>
              </w:rPr>
              <w:t>部门（单位）在被评价年度是否按照政府信息公开有关规定公开相关预决算信息，用以反映部门（单位）预决算管理的公开透明情况。</w:t>
            </w:r>
          </w:p>
        </w:tc>
        <w:tc>
          <w:tcPr>
            <w:tcW w:w="5815" w:type="dxa"/>
            <w:tcBorders>
              <w:tl2br w:val="nil"/>
              <w:tr2bl w:val="nil"/>
            </w:tcBorders>
            <w:vAlign w:val="center"/>
          </w:tcPr>
          <w:p>
            <w:pPr>
              <w:keepNext/>
              <w:keepLines/>
              <w:spacing w:line="420" w:lineRule="exact"/>
              <w:jc w:val="left"/>
              <w:rPr>
                <w:rFonts w:ascii="仿宋_GB2312" w:eastAsia="仿宋_GB2312"/>
                <w:kern w:val="0"/>
                <w:sz w:val="24"/>
              </w:rPr>
            </w:pPr>
            <w:r>
              <w:rPr>
                <w:rFonts w:hint="eastAsia" w:ascii="仿宋_GB2312" w:eastAsia="仿宋_GB2312"/>
                <w:kern w:val="0"/>
                <w:sz w:val="24"/>
              </w:rPr>
              <w:t>1.部门预算公开（1.5分），按以下标准分档计分； （1）按规定内容、时限、范围等各项要求进行公开的，得1.5分。 （2）进行了公开，存在不符合时限、内容、范围等要求的，得1分。 （3）没有进行公开的，得0分。 2.部门决算公开（1.5分），按一下标准分档计分； （1）按规定内容、时限、范围等各项要求进行公开的，得1.5分。 （2）进行了公开，存在不符合时限、内容、范围等要求的，得1分。 （3）没有进行公开的，得0分。 3.涉密部门（单位）按规定不需要公开相关预决算信息的直接得分。</w:t>
            </w:r>
          </w:p>
        </w:tc>
        <w:tc>
          <w:tcPr>
            <w:tcW w:w="721"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blHeader/>
          <w:jc w:val="center"/>
        </w:trPr>
        <w:tc>
          <w:tcPr>
            <w:tcW w:w="755"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部门管理</w:t>
            </w:r>
          </w:p>
        </w:tc>
        <w:tc>
          <w:tcPr>
            <w:tcW w:w="659"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20</w:t>
            </w:r>
          </w:p>
        </w:tc>
        <w:tc>
          <w:tcPr>
            <w:tcW w:w="752"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项目管理</w:t>
            </w:r>
          </w:p>
        </w:tc>
        <w:tc>
          <w:tcPr>
            <w:tcW w:w="652"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4</w:t>
            </w:r>
          </w:p>
        </w:tc>
        <w:tc>
          <w:tcPr>
            <w:tcW w:w="705"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项目实施程序</w:t>
            </w:r>
          </w:p>
        </w:tc>
        <w:tc>
          <w:tcPr>
            <w:tcW w:w="733"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w:t>
            </w:r>
          </w:p>
        </w:tc>
        <w:tc>
          <w:tcPr>
            <w:tcW w:w="2500" w:type="dxa"/>
            <w:tcBorders>
              <w:tl2br w:val="nil"/>
              <w:tr2bl w:val="nil"/>
            </w:tcBorders>
            <w:vAlign w:val="center"/>
          </w:tcPr>
          <w:p>
            <w:pPr>
              <w:keepNext/>
              <w:keepLines/>
              <w:spacing w:line="420" w:lineRule="exact"/>
              <w:jc w:val="center"/>
              <w:rPr>
                <w:rFonts w:ascii="仿宋_GB2312" w:eastAsia="仿宋_GB2312"/>
                <w:kern w:val="0"/>
                <w:sz w:val="24"/>
              </w:rPr>
            </w:pPr>
            <w:r>
              <w:rPr>
                <w:rFonts w:hint="eastAsia" w:ascii="仿宋_GB2312" w:eastAsia="仿宋_GB2312"/>
                <w:kern w:val="0"/>
                <w:sz w:val="24"/>
              </w:rPr>
              <w:t>部门（单位）所有项目支出实施过程是否规范，包括是都符合申报条件；申报、批复程序是否符合相关管理办法；项目招投标、调整、完成验收等是否履行相关手续等。</w:t>
            </w:r>
          </w:p>
        </w:tc>
        <w:tc>
          <w:tcPr>
            <w:tcW w:w="5815" w:type="dxa"/>
            <w:tcBorders>
              <w:tl2br w:val="nil"/>
              <w:tr2bl w:val="nil"/>
            </w:tcBorders>
            <w:vAlign w:val="center"/>
          </w:tcPr>
          <w:p>
            <w:pPr>
              <w:keepNext/>
              <w:keepLines/>
              <w:spacing w:line="420" w:lineRule="exact"/>
              <w:jc w:val="left"/>
              <w:rPr>
                <w:rFonts w:ascii="仿宋_GB2312" w:eastAsia="仿宋_GB2312"/>
                <w:kern w:val="0"/>
                <w:sz w:val="24"/>
              </w:rPr>
            </w:pPr>
            <w:r>
              <w:rPr>
                <w:rFonts w:hint="eastAsia" w:ascii="仿宋_GB2312" w:eastAsia="仿宋_GB2312"/>
                <w:kern w:val="0"/>
                <w:sz w:val="24"/>
              </w:rPr>
              <w:t>1.项目的设立、调整按规定履行报批程序（1分）； 2.项目招投标、建设、验收以及方案实施均严格执行相关制度规定（1分）。</w:t>
            </w:r>
          </w:p>
        </w:tc>
        <w:tc>
          <w:tcPr>
            <w:tcW w:w="721"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blHeader/>
          <w:jc w:val="center"/>
        </w:trPr>
        <w:tc>
          <w:tcPr>
            <w:tcW w:w="755"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部门管理</w:t>
            </w:r>
          </w:p>
        </w:tc>
        <w:tc>
          <w:tcPr>
            <w:tcW w:w="659"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20</w:t>
            </w:r>
          </w:p>
        </w:tc>
        <w:tc>
          <w:tcPr>
            <w:tcW w:w="752"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项目管理</w:t>
            </w:r>
          </w:p>
        </w:tc>
        <w:tc>
          <w:tcPr>
            <w:tcW w:w="652"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4</w:t>
            </w:r>
          </w:p>
        </w:tc>
        <w:tc>
          <w:tcPr>
            <w:tcW w:w="705"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项目监管</w:t>
            </w:r>
          </w:p>
        </w:tc>
        <w:tc>
          <w:tcPr>
            <w:tcW w:w="733"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w:t>
            </w:r>
          </w:p>
        </w:tc>
        <w:tc>
          <w:tcPr>
            <w:tcW w:w="2500" w:type="dxa"/>
            <w:tcBorders>
              <w:tl2br w:val="nil"/>
              <w:tr2bl w:val="nil"/>
            </w:tcBorders>
            <w:vAlign w:val="center"/>
          </w:tcPr>
          <w:p>
            <w:pPr>
              <w:keepNext/>
              <w:keepLines/>
              <w:spacing w:line="420" w:lineRule="exact"/>
              <w:jc w:val="center"/>
              <w:rPr>
                <w:rFonts w:ascii="仿宋_GB2312" w:eastAsia="仿宋_GB2312"/>
                <w:kern w:val="0"/>
                <w:sz w:val="24"/>
              </w:rPr>
            </w:pPr>
            <w:r>
              <w:rPr>
                <w:rFonts w:hint="eastAsia" w:ascii="仿宋_GB2312" w:eastAsia="仿宋_GB2312"/>
                <w:kern w:val="0"/>
                <w:sz w:val="24"/>
              </w:rPr>
              <w:t>部门（单位）对所实施项目（包括部门主管的专项资金和专项经费分配给市、区实施的项目）的检查、监控、督促整改等管理情况。</w:t>
            </w:r>
          </w:p>
        </w:tc>
        <w:tc>
          <w:tcPr>
            <w:tcW w:w="5815" w:type="dxa"/>
            <w:tcBorders>
              <w:tl2br w:val="nil"/>
              <w:tr2bl w:val="nil"/>
            </w:tcBorders>
            <w:vAlign w:val="center"/>
          </w:tcPr>
          <w:p>
            <w:pPr>
              <w:keepNext/>
              <w:keepLines/>
              <w:spacing w:line="420" w:lineRule="exact"/>
              <w:jc w:val="left"/>
              <w:rPr>
                <w:rFonts w:ascii="仿宋_GB2312" w:eastAsia="仿宋_GB2312"/>
                <w:kern w:val="0"/>
                <w:sz w:val="24"/>
              </w:rPr>
            </w:pPr>
            <w:r>
              <w:rPr>
                <w:rFonts w:hint="eastAsia" w:ascii="仿宋_GB2312" w:eastAsia="仿宋_GB2312"/>
                <w:kern w:val="0"/>
                <w:sz w:val="24"/>
              </w:rPr>
              <w:t>1.资金使用单位、基层资金管理单位建立有效资金管理和绩效运行监控机制，且执行情况良好（1分）； 2.各主管部门按照规定对主管的财政资金（含专项资金和专项经费）开展有效的检查、监控、督促整改（1分），如无法提供开展检查监督相关证明材料，或被评价年度部门主管的专项资金绩效评价结果为差的，得0分。</w:t>
            </w:r>
          </w:p>
        </w:tc>
        <w:tc>
          <w:tcPr>
            <w:tcW w:w="721"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blHeader/>
          <w:jc w:val="center"/>
        </w:trPr>
        <w:tc>
          <w:tcPr>
            <w:tcW w:w="755"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部门管理</w:t>
            </w:r>
          </w:p>
        </w:tc>
        <w:tc>
          <w:tcPr>
            <w:tcW w:w="659"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20</w:t>
            </w:r>
          </w:p>
        </w:tc>
        <w:tc>
          <w:tcPr>
            <w:tcW w:w="752"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资产管理</w:t>
            </w:r>
          </w:p>
        </w:tc>
        <w:tc>
          <w:tcPr>
            <w:tcW w:w="652"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3</w:t>
            </w:r>
          </w:p>
        </w:tc>
        <w:tc>
          <w:tcPr>
            <w:tcW w:w="705"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资产管理安全性</w:t>
            </w:r>
          </w:p>
        </w:tc>
        <w:tc>
          <w:tcPr>
            <w:tcW w:w="733"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w:t>
            </w:r>
          </w:p>
        </w:tc>
        <w:tc>
          <w:tcPr>
            <w:tcW w:w="2500" w:type="dxa"/>
            <w:tcBorders>
              <w:tl2br w:val="nil"/>
              <w:tr2bl w:val="nil"/>
            </w:tcBorders>
            <w:vAlign w:val="center"/>
          </w:tcPr>
          <w:p>
            <w:pPr>
              <w:keepNext/>
              <w:keepLines/>
              <w:spacing w:line="420" w:lineRule="exact"/>
              <w:jc w:val="center"/>
              <w:rPr>
                <w:rFonts w:ascii="仿宋_GB2312" w:eastAsia="仿宋_GB2312"/>
                <w:kern w:val="0"/>
                <w:sz w:val="24"/>
              </w:rPr>
            </w:pPr>
            <w:r>
              <w:rPr>
                <w:rFonts w:hint="eastAsia" w:ascii="仿宋_GB2312" w:eastAsia="仿宋_GB2312"/>
                <w:kern w:val="0"/>
                <w:sz w:val="24"/>
              </w:rPr>
              <w:t>部门（单位）的资产是否保存完整、使用合规、配置合理、处置规范、收入及时足额上缴，用于反映和考核部门（单位）资产安全运行情况。</w:t>
            </w:r>
          </w:p>
        </w:tc>
        <w:tc>
          <w:tcPr>
            <w:tcW w:w="5815" w:type="dxa"/>
            <w:tcBorders>
              <w:tl2br w:val="nil"/>
              <w:tr2bl w:val="nil"/>
            </w:tcBorders>
            <w:vAlign w:val="center"/>
          </w:tcPr>
          <w:p>
            <w:pPr>
              <w:keepNext/>
              <w:keepLines/>
              <w:spacing w:line="420" w:lineRule="exact"/>
              <w:jc w:val="left"/>
              <w:rPr>
                <w:rFonts w:ascii="仿宋_GB2312" w:eastAsia="仿宋_GB2312"/>
                <w:kern w:val="0"/>
                <w:sz w:val="24"/>
              </w:rPr>
            </w:pPr>
            <w:r>
              <w:rPr>
                <w:rFonts w:hint="eastAsia" w:ascii="仿宋_GB2312" w:eastAsia="仿宋_GB2312"/>
                <w:kern w:val="0"/>
                <w:sz w:val="24"/>
              </w:rPr>
              <w:t>1.资产配置合理、保存完整，账实相符（1分）；2.资产处置规范，有偿使用及处置收入及时足额上缴（1分）。</w:t>
            </w:r>
          </w:p>
        </w:tc>
        <w:tc>
          <w:tcPr>
            <w:tcW w:w="721"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blHeader/>
          <w:jc w:val="center"/>
        </w:trPr>
        <w:tc>
          <w:tcPr>
            <w:tcW w:w="755"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部门管理</w:t>
            </w:r>
          </w:p>
        </w:tc>
        <w:tc>
          <w:tcPr>
            <w:tcW w:w="659"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20</w:t>
            </w:r>
          </w:p>
        </w:tc>
        <w:tc>
          <w:tcPr>
            <w:tcW w:w="752"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资产管理</w:t>
            </w:r>
          </w:p>
        </w:tc>
        <w:tc>
          <w:tcPr>
            <w:tcW w:w="652"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3</w:t>
            </w:r>
          </w:p>
        </w:tc>
        <w:tc>
          <w:tcPr>
            <w:tcW w:w="705"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固定资产利用率</w:t>
            </w:r>
          </w:p>
        </w:tc>
        <w:tc>
          <w:tcPr>
            <w:tcW w:w="733"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1</w:t>
            </w:r>
          </w:p>
        </w:tc>
        <w:tc>
          <w:tcPr>
            <w:tcW w:w="2500" w:type="dxa"/>
            <w:tcBorders>
              <w:tl2br w:val="nil"/>
              <w:tr2bl w:val="nil"/>
            </w:tcBorders>
            <w:vAlign w:val="center"/>
          </w:tcPr>
          <w:p>
            <w:pPr>
              <w:keepNext/>
              <w:keepLines/>
              <w:spacing w:line="420" w:lineRule="exact"/>
              <w:jc w:val="center"/>
              <w:rPr>
                <w:rFonts w:ascii="仿宋_GB2312" w:eastAsia="仿宋_GB2312"/>
                <w:kern w:val="0"/>
                <w:sz w:val="24"/>
              </w:rPr>
            </w:pPr>
            <w:r>
              <w:rPr>
                <w:rFonts w:hint="eastAsia" w:ascii="仿宋_GB2312" w:eastAsia="仿宋_GB2312"/>
                <w:kern w:val="0"/>
                <w:sz w:val="24"/>
              </w:rPr>
              <w:t>部门（单位）实际在用固定资产总额与所有固定资产总额的比例，用以反映和考核部门（单位）固定资产使用效率程度。</w:t>
            </w:r>
          </w:p>
        </w:tc>
        <w:tc>
          <w:tcPr>
            <w:tcW w:w="5815" w:type="dxa"/>
            <w:tcBorders>
              <w:tl2br w:val="nil"/>
              <w:tr2bl w:val="nil"/>
            </w:tcBorders>
            <w:vAlign w:val="center"/>
          </w:tcPr>
          <w:p>
            <w:pPr>
              <w:keepNext/>
              <w:keepLines/>
              <w:spacing w:line="420" w:lineRule="exact"/>
              <w:jc w:val="left"/>
              <w:rPr>
                <w:rFonts w:ascii="仿宋_GB2312" w:eastAsia="仿宋_GB2312"/>
                <w:kern w:val="0"/>
                <w:sz w:val="24"/>
              </w:rPr>
            </w:pPr>
            <w:r>
              <w:rPr>
                <w:rFonts w:hint="eastAsia" w:ascii="仿宋_GB2312" w:eastAsia="仿宋_GB2312"/>
                <w:kern w:val="0"/>
                <w:sz w:val="24"/>
              </w:rPr>
              <w:t>固定资产利用率=（实际在用固定资产总额/所有固定资产总额）×100%1.固定资产利用率≥90%的，得1分；2.90%＞固定资产利用率≥75%的，得0.7分；3.75%＞固定资产利用率≥60%的，得0.4分；4.固定资产利用率＜60%的，得0分。</w:t>
            </w:r>
          </w:p>
        </w:tc>
        <w:tc>
          <w:tcPr>
            <w:tcW w:w="721"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blHeader/>
          <w:jc w:val="center"/>
        </w:trPr>
        <w:tc>
          <w:tcPr>
            <w:tcW w:w="755"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部门管理</w:t>
            </w:r>
          </w:p>
        </w:tc>
        <w:tc>
          <w:tcPr>
            <w:tcW w:w="659"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20</w:t>
            </w:r>
          </w:p>
        </w:tc>
        <w:tc>
          <w:tcPr>
            <w:tcW w:w="752"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人员管理</w:t>
            </w:r>
          </w:p>
        </w:tc>
        <w:tc>
          <w:tcPr>
            <w:tcW w:w="652"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w:t>
            </w:r>
          </w:p>
        </w:tc>
        <w:tc>
          <w:tcPr>
            <w:tcW w:w="705"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财政供养人员控制率</w:t>
            </w:r>
          </w:p>
        </w:tc>
        <w:tc>
          <w:tcPr>
            <w:tcW w:w="733"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1</w:t>
            </w:r>
          </w:p>
        </w:tc>
        <w:tc>
          <w:tcPr>
            <w:tcW w:w="2500" w:type="dxa"/>
            <w:tcBorders>
              <w:tl2br w:val="nil"/>
              <w:tr2bl w:val="nil"/>
            </w:tcBorders>
            <w:vAlign w:val="center"/>
          </w:tcPr>
          <w:p>
            <w:pPr>
              <w:keepNext/>
              <w:keepLines/>
              <w:spacing w:line="420" w:lineRule="exact"/>
              <w:jc w:val="center"/>
              <w:rPr>
                <w:rFonts w:ascii="仿宋_GB2312" w:eastAsia="仿宋_GB2312"/>
                <w:kern w:val="0"/>
                <w:sz w:val="24"/>
              </w:rPr>
            </w:pPr>
            <w:r>
              <w:rPr>
                <w:rFonts w:hint="eastAsia" w:ascii="仿宋_GB2312" w:eastAsia="仿宋_GB2312"/>
                <w:kern w:val="0"/>
                <w:sz w:val="24"/>
              </w:rPr>
              <w:t>部门（单位）本年度在编人数（含工勤人员）与核定编制数（含工勤人员）的比率。</w:t>
            </w:r>
          </w:p>
        </w:tc>
        <w:tc>
          <w:tcPr>
            <w:tcW w:w="5815" w:type="dxa"/>
            <w:tcBorders>
              <w:tl2br w:val="nil"/>
              <w:tr2bl w:val="nil"/>
            </w:tcBorders>
            <w:vAlign w:val="center"/>
          </w:tcPr>
          <w:p>
            <w:pPr>
              <w:keepNext/>
              <w:keepLines/>
              <w:spacing w:line="420" w:lineRule="exact"/>
              <w:jc w:val="left"/>
              <w:rPr>
                <w:rFonts w:ascii="仿宋_GB2312" w:eastAsia="仿宋_GB2312"/>
                <w:kern w:val="0"/>
                <w:sz w:val="24"/>
              </w:rPr>
            </w:pPr>
            <w:r>
              <w:rPr>
                <w:rFonts w:hint="eastAsia" w:ascii="仿宋_GB2312" w:eastAsia="仿宋_GB2312"/>
                <w:kern w:val="0"/>
                <w:sz w:val="24"/>
              </w:rPr>
              <w:t>财政供养人员控制率=本年度在编人数（含工勤人员）/核定编制数（含工勤人员） 1.财政供养人员控制率≤100%的，得1分； 2.财政供养人员控制率＞100%的，得0分。</w:t>
            </w:r>
          </w:p>
        </w:tc>
        <w:tc>
          <w:tcPr>
            <w:tcW w:w="721"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blHeader/>
          <w:jc w:val="center"/>
        </w:trPr>
        <w:tc>
          <w:tcPr>
            <w:tcW w:w="755"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部门管理</w:t>
            </w:r>
          </w:p>
        </w:tc>
        <w:tc>
          <w:tcPr>
            <w:tcW w:w="659"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20</w:t>
            </w:r>
          </w:p>
        </w:tc>
        <w:tc>
          <w:tcPr>
            <w:tcW w:w="752"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人员管理</w:t>
            </w:r>
          </w:p>
        </w:tc>
        <w:tc>
          <w:tcPr>
            <w:tcW w:w="652"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w:t>
            </w:r>
          </w:p>
        </w:tc>
        <w:tc>
          <w:tcPr>
            <w:tcW w:w="705"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编外人员控制率</w:t>
            </w:r>
          </w:p>
        </w:tc>
        <w:tc>
          <w:tcPr>
            <w:tcW w:w="733"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1</w:t>
            </w:r>
          </w:p>
        </w:tc>
        <w:tc>
          <w:tcPr>
            <w:tcW w:w="2500" w:type="dxa"/>
            <w:tcBorders>
              <w:tl2br w:val="nil"/>
              <w:tr2bl w:val="nil"/>
            </w:tcBorders>
            <w:vAlign w:val="center"/>
          </w:tcPr>
          <w:p>
            <w:pPr>
              <w:keepNext/>
              <w:keepLines/>
              <w:spacing w:line="420" w:lineRule="exact"/>
              <w:jc w:val="center"/>
              <w:rPr>
                <w:rFonts w:ascii="仿宋_GB2312" w:eastAsia="仿宋_GB2312"/>
                <w:kern w:val="0"/>
                <w:sz w:val="24"/>
              </w:rPr>
            </w:pPr>
            <w:r>
              <w:rPr>
                <w:rFonts w:hint="eastAsia" w:ascii="仿宋_GB2312" w:eastAsia="仿宋_GB2312"/>
                <w:kern w:val="0"/>
                <w:sz w:val="24"/>
              </w:rPr>
              <w:t>部门（单位）本年度使用劳务派遣人员数量（含直接聘用的编外人员）与在职人员总数（在编+编外）的比率。</w:t>
            </w:r>
          </w:p>
        </w:tc>
        <w:tc>
          <w:tcPr>
            <w:tcW w:w="5815" w:type="dxa"/>
            <w:tcBorders>
              <w:tl2br w:val="nil"/>
              <w:tr2bl w:val="nil"/>
            </w:tcBorders>
            <w:vAlign w:val="center"/>
          </w:tcPr>
          <w:p>
            <w:pPr>
              <w:keepNext/>
              <w:keepLines/>
              <w:spacing w:line="420" w:lineRule="exact"/>
              <w:jc w:val="left"/>
              <w:rPr>
                <w:rFonts w:ascii="仿宋_GB2312" w:eastAsia="仿宋_GB2312"/>
                <w:kern w:val="0"/>
                <w:sz w:val="24"/>
              </w:rPr>
            </w:pPr>
            <w:r>
              <w:rPr>
                <w:rFonts w:hint="eastAsia" w:ascii="仿宋_GB2312" w:eastAsia="仿宋_GB2312"/>
                <w:kern w:val="0"/>
                <w:sz w:val="24"/>
              </w:rPr>
              <w:t>1.比率＜5%的，得1分； 2.5%≤比率≤10%的，得0.5分； 3.比率＞10%的，得0分。</w:t>
            </w:r>
          </w:p>
        </w:tc>
        <w:tc>
          <w:tcPr>
            <w:tcW w:w="721"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blHeader/>
          <w:jc w:val="center"/>
        </w:trPr>
        <w:tc>
          <w:tcPr>
            <w:tcW w:w="755"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部门管理</w:t>
            </w:r>
          </w:p>
        </w:tc>
        <w:tc>
          <w:tcPr>
            <w:tcW w:w="659"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20</w:t>
            </w:r>
          </w:p>
        </w:tc>
        <w:tc>
          <w:tcPr>
            <w:tcW w:w="752"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制度管理</w:t>
            </w:r>
          </w:p>
        </w:tc>
        <w:tc>
          <w:tcPr>
            <w:tcW w:w="652"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3</w:t>
            </w:r>
          </w:p>
        </w:tc>
        <w:tc>
          <w:tcPr>
            <w:tcW w:w="705"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管理制度健全性</w:t>
            </w:r>
          </w:p>
        </w:tc>
        <w:tc>
          <w:tcPr>
            <w:tcW w:w="733"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3</w:t>
            </w:r>
          </w:p>
        </w:tc>
        <w:tc>
          <w:tcPr>
            <w:tcW w:w="2500" w:type="dxa"/>
            <w:tcBorders>
              <w:tl2br w:val="nil"/>
              <w:tr2bl w:val="nil"/>
            </w:tcBorders>
            <w:vAlign w:val="center"/>
          </w:tcPr>
          <w:p>
            <w:pPr>
              <w:keepNext/>
              <w:keepLines/>
              <w:spacing w:line="420" w:lineRule="exact"/>
              <w:jc w:val="center"/>
              <w:rPr>
                <w:rFonts w:ascii="仿宋_GB2312" w:eastAsia="仿宋_GB2312"/>
                <w:kern w:val="0"/>
                <w:sz w:val="24"/>
              </w:rPr>
            </w:pPr>
            <w:r>
              <w:rPr>
                <w:rFonts w:hint="eastAsia" w:ascii="仿宋_GB2312" w:eastAsia="仿宋_GB2312"/>
                <w:kern w:val="0"/>
                <w:sz w:val="24"/>
              </w:rPr>
              <w:t>部门（单位）制定了相应的预算资金、财务管理和预算绩效管理等制度并严格执行，用以反映部门（单位）的管理制度对其完成主要职责和促进事业发展的保障情况。</w:t>
            </w:r>
          </w:p>
        </w:tc>
        <w:tc>
          <w:tcPr>
            <w:tcW w:w="5815" w:type="dxa"/>
            <w:tcBorders>
              <w:tl2br w:val="nil"/>
              <w:tr2bl w:val="nil"/>
            </w:tcBorders>
            <w:vAlign w:val="center"/>
          </w:tcPr>
          <w:p>
            <w:pPr>
              <w:keepNext/>
              <w:keepLines/>
              <w:spacing w:line="420" w:lineRule="exact"/>
              <w:jc w:val="left"/>
              <w:rPr>
                <w:rFonts w:ascii="仿宋_GB2312" w:eastAsia="仿宋_GB2312"/>
                <w:kern w:val="0"/>
                <w:sz w:val="24"/>
              </w:rPr>
            </w:pPr>
            <w:r>
              <w:rPr>
                <w:rFonts w:hint="eastAsia" w:ascii="仿宋_GB2312" w:eastAsia="仿宋_GB2312"/>
                <w:kern w:val="0"/>
                <w:sz w:val="24"/>
              </w:rPr>
              <w:t>1.部门制定了财政资金管理、财务关凯、内部控制等制度（0.5分）； 2.上述财政资金管理、财务管理、内部控制等制度得到有效执行（1.5分）； 3.部门按照预算和绩效管理一体化的要求制定本部门全面实施预算绩效管理的制度或工作方案，组织指导本级及下属单位开展事前及评估、绩效目标编报、绩效监控、绩效评价和评价结果应用等工作（1分）。</w:t>
            </w:r>
          </w:p>
        </w:tc>
        <w:tc>
          <w:tcPr>
            <w:tcW w:w="721"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blHeader/>
          <w:jc w:val="center"/>
        </w:trPr>
        <w:tc>
          <w:tcPr>
            <w:tcW w:w="755"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部门绩效</w:t>
            </w:r>
          </w:p>
        </w:tc>
        <w:tc>
          <w:tcPr>
            <w:tcW w:w="659"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55</w:t>
            </w:r>
          </w:p>
        </w:tc>
        <w:tc>
          <w:tcPr>
            <w:tcW w:w="752"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经济性</w:t>
            </w:r>
          </w:p>
        </w:tc>
        <w:tc>
          <w:tcPr>
            <w:tcW w:w="652"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6</w:t>
            </w:r>
          </w:p>
        </w:tc>
        <w:tc>
          <w:tcPr>
            <w:tcW w:w="705"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公用经费控制率</w:t>
            </w:r>
          </w:p>
        </w:tc>
        <w:tc>
          <w:tcPr>
            <w:tcW w:w="733"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6</w:t>
            </w:r>
          </w:p>
        </w:tc>
        <w:tc>
          <w:tcPr>
            <w:tcW w:w="2500" w:type="dxa"/>
            <w:tcBorders>
              <w:tl2br w:val="nil"/>
              <w:tr2bl w:val="nil"/>
            </w:tcBorders>
            <w:vAlign w:val="center"/>
          </w:tcPr>
          <w:p>
            <w:pPr>
              <w:keepNext/>
              <w:keepLines/>
              <w:spacing w:line="420" w:lineRule="exact"/>
              <w:jc w:val="center"/>
              <w:rPr>
                <w:rFonts w:ascii="仿宋_GB2312" w:eastAsia="仿宋_GB2312"/>
                <w:kern w:val="0"/>
                <w:sz w:val="24"/>
              </w:rPr>
            </w:pPr>
            <w:r>
              <w:rPr>
                <w:rFonts w:hint="eastAsia" w:ascii="仿宋_GB2312" w:eastAsia="仿宋_GB2312"/>
                <w:kern w:val="0"/>
                <w:sz w:val="24"/>
              </w:rPr>
              <w:t>部门（单位）本年度实际支出的公用经费总额与预算安排的公用经费总额的比率，用以反映和考核部门（单位）对机构运转成本的实际控制程度。</w:t>
            </w:r>
          </w:p>
        </w:tc>
        <w:tc>
          <w:tcPr>
            <w:tcW w:w="5815" w:type="dxa"/>
            <w:tcBorders>
              <w:tl2br w:val="nil"/>
              <w:tr2bl w:val="nil"/>
            </w:tcBorders>
            <w:vAlign w:val="center"/>
          </w:tcPr>
          <w:p>
            <w:pPr>
              <w:keepNext/>
              <w:keepLines/>
              <w:spacing w:line="420" w:lineRule="exact"/>
              <w:jc w:val="left"/>
              <w:rPr>
                <w:rFonts w:ascii="仿宋_GB2312" w:eastAsia="仿宋_GB2312"/>
                <w:kern w:val="0"/>
                <w:sz w:val="24"/>
              </w:rPr>
            </w:pPr>
            <w:r>
              <w:rPr>
                <w:rFonts w:hint="eastAsia" w:ascii="仿宋_GB2312" w:eastAsia="仿宋_GB2312"/>
                <w:kern w:val="0"/>
                <w:sz w:val="24"/>
              </w:rPr>
              <w:t>1.“三公”经费控制=“三公”经费实际支出/“三公”经费预算安排数X100% （1）“三公”经费控制率＜90%的，得3分； （2）90%≤“三公”经费控制率≤100%的，得2分； （3）“三公”经费控制率＞100%的，得0分。 2.日常公用经费控制率=日常公用经费决算数/日常公用经费调整预算数X100% （1）日常公用经费控制率＜90%的，得3分； （2）90%≤日常公用经费控制率≤100%的，得2分； （3）日常公用经费控制率＞100%的，得0分。</w:t>
            </w:r>
          </w:p>
        </w:tc>
        <w:tc>
          <w:tcPr>
            <w:tcW w:w="721"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blHeader/>
          <w:jc w:val="center"/>
        </w:trPr>
        <w:tc>
          <w:tcPr>
            <w:tcW w:w="755"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部门绩效</w:t>
            </w:r>
          </w:p>
        </w:tc>
        <w:tc>
          <w:tcPr>
            <w:tcW w:w="659"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55</w:t>
            </w:r>
          </w:p>
        </w:tc>
        <w:tc>
          <w:tcPr>
            <w:tcW w:w="752"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效率性</w:t>
            </w:r>
          </w:p>
        </w:tc>
        <w:tc>
          <w:tcPr>
            <w:tcW w:w="652"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20</w:t>
            </w:r>
          </w:p>
        </w:tc>
        <w:tc>
          <w:tcPr>
            <w:tcW w:w="705"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预算执行率</w:t>
            </w:r>
          </w:p>
        </w:tc>
        <w:tc>
          <w:tcPr>
            <w:tcW w:w="733"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6</w:t>
            </w:r>
          </w:p>
        </w:tc>
        <w:tc>
          <w:tcPr>
            <w:tcW w:w="2500" w:type="dxa"/>
            <w:tcBorders>
              <w:tl2br w:val="nil"/>
              <w:tr2bl w:val="nil"/>
            </w:tcBorders>
            <w:vAlign w:val="center"/>
          </w:tcPr>
          <w:p>
            <w:pPr>
              <w:keepNext/>
              <w:keepLines/>
              <w:spacing w:line="420" w:lineRule="exact"/>
              <w:jc w:val="center"/>
              <w:rPr>
                <w:rFonts w:ascii="仿宋_GB2312" w:eastAsia="仿宋_GB2312"/>
                <w:kern w:val="0"/>
                <w:sz w:val="24"/>
              </w:rPr>
            </w:pPr>
            <w:r>
              <w:rPr>
                <w:rFonts w:hint="eastAsia" w:ascii="仿宋_GB2312" w:eastAsia="仿宋_GB2312"/>
                <w:kern w:val="0"/>
                <w:sz w:val="24"/>
              </w:rPr>
              <w:t>部门（单位）部门预算实际支付进度和既定支付进度的匹配情况，反映和考核部门（单位）预算执行的及时性和均衡性。</w:t>
            </w:r>
          </w:p>
        </w:tc>
        <w:tc>
          <w:tcPr>
            <w:tcW w:w="5815" w:type="dxa"/>
            <w:tcBorders>
              <w:tl2br w:val="nil"/>
              <w:tr2bl w:val="nil"/>
            </w:tcBorders>
            <w:vAlign w:val="center"/>
          </w:tcPr>
          <w:p>
            <w:pPr>
              <w:keepNext/>
              <w:keepLines/>
              <w:spacing w:line="420" w:lineRule="exact"/>
              <w:jc w:val="left"/>
              <w:rPr>
                <w:rFonts w:ascii="仿宋_GB2312" w:eastAsia="仿宋_GB2312"/>
                <w:kern w:val="0"/>
                <w:sz w:val="24"/>
              </w:rPr>
            </w:pPr>
            <w:r>
              <w:rPr>
                <w:rFonts w:hint="eastAsia" w:ascii="仿宋_GB2312" w:eastAsia="仿宋_GB2312"/>
                <w:kern w:val="0"/>
                <w:sz w:val="24"/>
              </w:rPr>
              <w:t>1.一季度预算执行率得分=（一季度部门预算支出进度/序时进度25%）X1分； 2.二季度预算执行率得分=（二季度部门预算支出进度/序时进度50%）X1分； 3.三季度预算执行率得分=（三季度部门预算支出进度/序时进度75%）X1分； 4.四季度预算执行率得分=（四季度部门预算支出进度/序时进度100%）X1分； 5.全年平均支出进度得分=全年平均执行率X2分 其中：全年平均执行率=每个季度的执行率/4</w:t>
            </w:r>
          </w:p>
        </w:tc>
        <w:tc>
          <w:tcPr>
            <w:tcW w:w="721"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blHeader/>
          <w:jc w:val="center"/>
        </w:trPr>
        <w:tc>
          <w:tcPr>
            <w:tcW w:w="755"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部门绩效</w:t>
            </w:r>
          </w:p>
        </w:tc>
        <w:tc>
          <w:tcPr>
            <w:tcW w:w="659"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55</w:t>
            </w:r>
          </w:p>
        </w:tc>
        <w:tc>
          <w:tcPr>
            <w:tcW w:w="752"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效率性</w:t>
            </w:r>
          </w:p>
        </w:tc>
        <w:tc>
          <w:tcPr>
            <w:tcW w:w="652"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20</w:t>
            </w:r>
          </w:p>
        </w:tc>
        <w:tc>
          <w:tcPr>
            <w:tcW w:w="705"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重点工作完成情况</w:t>
            </w:r>
          </w:p>
        </w:tc>
        <w:tc>
          <w:tcPr>
            <w:tcW w:w="733"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8</w:t>
            </w:r>
          </w:p>
        </w:tc>
        <w:tc>
          <w:tcPr>
            <w:tcW w:w="2500" w:type="dxa"/>
            <w:tcBorders>
              <w:tl2br w:val="nil"/>
              <w:tr2bl w:val="nil"/>
            </w:tcBorders>
            <w:vAlign w:val="center"/>
          </w:tcPr>
          <w:p>
            <w:pPr>
              <w:keepNext/>
              <w:keepLines/>
              <w:spacing w:line="420" w:lineRule="exact"/>
              <w:jc w:val="center"/>
              <w:rPr>
                <w:rFonts w:ascii="仿宋_GB2312" w:eastAsia="仿宋_GB2312"/>
                <w:kern w:val="0"/>
                <w:sz w:val="24"/>
              </w:rPr>
            </w:pPr>
            <w:r>
              <w:rPr>
                <w:rFonts w:hint="eastAsia" w:ascii="仿宋_GB2312" w:eastAsia="仿宋_GB2312"/>
                <w:kern w:val="0"/>
                <w:sz w:val="24"/>
              </w:rPr>
              <w:t>部门（单位）完成党委、政府、人大和上级部门下达或交办的重要事项或工作的完成情况，反映部门对重点工作的办理落实程度。</w:t>
            </w:r>
          </w:p>
        </w:tc>
        <w:tc>
          <w:tcPr>
            <w:tcW w:w="5815" w:type="dxa"/>
            <w:tcBorders>
              <w:tl2br w:val="nil"/>
              <w:tr2bl w:val="nil"/>
            </w:tcBorders>
            <w:vAlign w:val="center"/>
          </w:tcPr>
          <w:p>
            <w:pPr>
              <w:keepNext/>
              <w:keepLines/>
              <w:spacing w:line="420" w:lineRule="exact"/>
              <w:jc w:val="left"/>
              <w:rPr>
                <w:rFonts w:ascii="仿宋_GB2312" w:eastAsia="仿宋_GB2312"/>
                <w:kern w:val="0"/>
                <w:sz w:val="24"/>
              </w:rPr>
            </w:pPr>
            <w:r>
              <w:rPr>
                <w:rFonts w:hint="eastAsia" w:ascii="仿宋_GB2312" w:eastAsia="仿宋_GB2312"/>
                <w:kern w:val="0"/>
                <w:sz w:val="24"/>
              </w:rPr>
              <w:t>重点工作是指中央和省相关部门、市委、市人大交办或下达的工作任务。全部按期保质保量完成得8分；一项重点工作没有完成扣4分，扣完为止。 注：重点工作完成情况可以参考市委市政府督查部门或其他权威部门的统计数据（如有）。</w:t>
            </w:r>
          </w:p>
        </w:tc>
        <w:tc>
          <w:tcPr>
            <w:tcW w:w="721"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blHeader/>
          <w:jc w:val="center"/>
        </w:trPr>
        <w:tc>
          <w:tcPr>
            <w:tcW w:w="755"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部门绩效</w:t>
            </w:r>
          </w:p>
        </w:tc>
        <w:tc>
          <w:tcPr>
            <w:tcW w:w="659"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55</w:t>
            </w:r>
          </w:p>
        </w:tc>
        <w:tc>
          <w:tcPr>
            <w:tcW w:w="752"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效率性</w:t>
            </w:r>
          </w:p>
        </w:tc>
        <w:tc>
          <w:tcPr>
            <w:tcW w:w="652"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20</w:t>
            </w:r>
          </w:p>
        </w:tc>
        <w:tc>
          <w:tcPr>
            <w:tcW w:w="705"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项目完成及时性</w:t>
            </w:r>
          </w:p>
        </w:tc>
        <w:tc>
          <w:tcPr>
            <w:tcW w:w="733"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6</w:t>
            </w:r>
          </w:p>
        </w:tc>
        <w:tc>
          <w:tcPr>
            <w:tcW w:w="2500" w:type="dxa"/>
            <w:tcBorders>
              <w:tl2br w:val="nil"/>
              <w:tr2bl w:val="nil"/>
            </w:tcBorders>
            <w:vAlign w:val="center"/>
          </w:tcPr>
          <w:p>
            <w:pPr>
              <w:keepNext/>
              <w:keepLines/>
              <w:spacing w:line="420" w:lineRule="exact"/>
              <w:jc w:val="center"/>
              <w:rPr>
                <w:rFonts w:ascii="仿宋_GB2312" w:eastAsia="仿宋_GB2312"/>
                <w:kern w:val="0"/>
                <w:sz w:val="24"/>
              </w:rPr>
            </w:pPr>
            <w:r>
              <w:rPr>
                <w:rFonts w:hint="eastAsia" w:ascii="仿宋_GB2312" w:eastAsia="仿宋_GB2312"/>
                <w:kern w:val="0"/>
                <w:sz w:val="24"/>
              </w:rPr>
              <w:t>部门（单位）项目完成情况与预期时间对比的情况。</w:t>
            </w:r>
          </w:p>
        </w:tc>
        <w:tc>
          <w:tcPr>
            <w:tcW w:w="5815" w:type="dxa"/>
            <w:tcBorders>
              <w:tl2br w:val="nil"/>
              <w:tr2bl w:val="nil"/>
            </w:tcBorders>
            <w:vAlign w:val="center"/>
          </w:tcPr>
          <w:p>
            <w:pPr>
              <w:keepNext/>
              <w:keepLines/>
              <w:spacing w:line="420" w:lineRule="exact"/>
              <w:jc w:val="left"/>
              <w:rPr>
                <w:rFonts w:ascii="仿宋_GB2312" w:eastAsia="仿宋_GB2312"/>
                <w:kern w:val="0"/>
                <w:sz w:val="24"/>
              </w:rPr>
            </w:pPr>
            <w:r>
              <w:rPr>
                <w:rFonts w:hint="eastAsia" w:ascii="仿宋_GB2312" w:eastAsia="仿宋_GB2312"/>
                <w:kern w:val="0"/>
                <w:sz w:val="24"/>
              </w:rPr>
              <w:t>1.所有部门预算安排的项目均按计划时间完成（6分）； 2.部分项目未按计划时间完成的，本指标得分=已完成项目数/计划完成项目总数X6分。</w:t>
            </w:r>
          </w:p>
        </w:tc>
        <w:tc>
          <w:tcPr>
            <w:tcW w:w="721"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blHeader/>
          <w:jc w:val="center"/>
        </w:trPr>
        <w:tc>
          <w:tcPr>
            <w:tcW w:w="755"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部门绩效</w:t>
            </w:r>
          </w:p>
        </w:tc>
        <w:tc>
          <w:tcPr>
            <w:tcW w:w="659"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55</w:t>
            </w:r>
          </w:p>
        </w:tc>
        <w:tc>
          <w:tcPr>
            <w:tcW w:w="752"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效果性</w:t>
            </w:r>
          </w:p>
        </w:tc>
        <w:tc>
          <w:tcPr>
            <w:tcW w:w="652"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20</w:t>
            </w:r>
          </w:p>
        </w:tc>
        <w:tc>
          <w:tcPr>
            <w:tcW w:w="705"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社会效益、经济效益、生态效益及可持续影响等</w:t>
            </w:r>
          </w:p>
        </w:tc>
        <w:tc>
          <w:tcPr>
            <w:tcW w:w="733"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20</w:t>
            </w:r>
          </w:p>
        </w:tc>
        <w:tc>
          <w:tcPr>
            <w:tcW w:w="2500" w:type="dxa"/>
            <w:tcBorders>
              <w:tl2br w:val="nil"/>
              <w:tr2bl w:val="nil"/>
            </w:tcBorders>
            <w:vAlign w:val="center"/>
          </w:tcPr>
          <w:p>
            <w:pPr>
              <w:keepNext/>
              <w:keepLines/>
              <w:spacing w:line="420" w:lineRule="exact"/>
              <w:jc w:val="center"/>
              <w:rPr>
                <w:rFonts w:ascii="仿宋_GB2312" w:eastAsia="仿宋_GB2312"/>
                <w:kern w:val="0"/>
                <w:sz w:val="24"/>
              </w:rPr>
            </w:pPr>
            <w:r>
              <w:rPr>
                <w:rFonts w:hint="eastAsia" w:ascii="仿宋_GB2312" w:eastAsia="仿宋_GB2312"/>
                <w:kern w:val="0"/>
                <w:sz w:val="24"/>
              </w:rPr>
              <w:t>部门（单位）履行职责、完成各项重大政策和项目的效果，以及对经济发展、社会发展、生态环境所带来的直接或间接影响。</w:t>
            </w:r>
          </w:p>
        </w:tc>
        <w:tc>
          <w:tcPr>
            <w:tcW w:w="5815" w:type="dxa"/>
            <w:tcBorders>
              <w:tl2br w:val="nil"/>
              <w:tr2bl w:val="nil"/>
            </w:tcBorders>
            <w:vAlign w:val="center"/>
          </w:tcPr>
          <w:p>
            <w:pPr>
              <w:keepNext/>
              <w:keepLines/>
              <w:spacing w:line="420" w:lineRule="exact"/>
              <w:jc w:val="left"/>
              <w:rPr>
                <w:rFonts w:ascii="仿宋_GB2312" w:eastAsia="仿宋_GB2312"/>
                <w:kern w:val="0"/>
                <w:sz w:val="24"/>
              </w:rPr>
            </w:pPr>
            <w:r>
              <w:rPr>
                <w:rFonts w:hint="eastAsia" w:ascii="仿宋_GB2312" w:eastAsia="仿宋_GB2312"/>
                <w:kern w:val="0"/>
                <w:sz w:val="24"/>
              </w:rPr>
              <w:t>根据部门（单位）职责，结合部门整体支出绩效目标，合理设置个性化绩效指标，通过绩效指标完成情况与目标值对比分析进行评分，未实现绩效目标的酌情扣分。根据部门（单位）履职内容和性质，从社会效益、经济效益、生态效益、可持续影响等方面，至少选择三个方面对工作实效和效益进行评价。</w:t>
            </w:r>
          </w:p>
        </w:tc>
        <w:tc>
          <w:tcPr>
            <w:tcW w:w="721"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blHeader/>
          <w:jc w:val="center"/>
        </w:trPr>
        <w:tc>
          <w:tcPr>
            <w:tcW w:w="755"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部门绩效</w:t>
            </w:r>
          </w:p>
        </w:tc>
        <w:tc>
          <w:tcPr>
            <w:tcW w:w="659"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55</w:t>
            </w:r>
          </w:p>
        </w:tc>
        <w:tc>
          <w:tcPr>
            <w:tcW w:w="752"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公平性</w:t>
            </w:r>
          </w:p>
        </w:tc>
        <w:tc>
          <w:tcPr>
            <w:tcW w:w="652"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9</w:t>
            </w:r>
          </w:p>
        </w:tc>
        <w:tc>
          <w:tcPr>
            <w:tcW w:w="705"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群众信访办理情况</w:t>
            </w:r>
          </w:p>
        </w:tc>
        <w:tc>
          <w:tcPr>
            <w:tcW w:w="733"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3</w:t>
            </w:r>
          </w:p>
        </w:tc>
        <w:tc>
          <w:tcPr>
            <w:tcW w:w="2500" w:type="dxa"/>
            <w:tcBorders>
              <w:tl2br w:val="nil"/>
              <w:tr2bl w:val="nil"/>
            </w:tcBorders>
            <w:vAlign w:val="center"/>
          </w:tcPr>
          <w:p>
            <w:pPr>
              <w:keepNext/>
              <w:keepLines/>
              <w:spacing w:line="420" w:lineRule="exact"/>
              <w:jc w:val="center"/>
              <w:rPr>
                <w:rFonts w:ascii="仿宋_GB2312" w:eastAsia="仿宋_GB2312"/>
                <w:kern w:val="0"/>
                <w:sz w:val="24"/>
              </w:rPr>
            </w:pPr>
            <w:r>
              <w:rPr>
                <w:rFonts w:hint="eastAsia" w:ascii="仿宋_GB2312" w:eastAsia="仿宋_GB2312"/>
                <w:kern w:val="0"/>
                <w:sz w:val="24"/>
              </w:rPr>
              <w:t>部门（单位）对群众信访意见的完成情况及及时性，反映部门（单位）对服务群众的重视程度。</w:t>
            </w:r>
          </w:p>
        </w:tc>
        <w:tc>
          <w:tcPr>
            <w:tcW w:w="5815" w:type="dxa"/>
            <w:tcBorders>
              <w:tl2br w:val="nil"/>
              <w:tr2bl w:val="nil"/>
            </w:tcBorders>
            <w:vAlign w:val="center"/>
          </w:tcPr>
          <w:p>
            <w:pPr>
              <w:keepNext/>
              <w:keepLines/>
              <w:spacing w:line="420" w:lineRule="exact"/>
              <w:jc w:val="left"/>
              <w:rPr>
                <w:rFonts w:ascii="仿宋_GB2312" w:eastAsia="仿宋_GB2312"/>
                <w:kern w:val="0"/>
                <w:sz w:val="24"/>
              </w:rPr>
            </w:pPr>
            <w:r>
              <w:rPr>
                <w:rFonts w:hint="eastAsia" w:ascii="仿宋_GB2312" w:eastAsia="仿宋_GB2312"/>
                <w:kern w:val="0"/>
                <w:sz w:val="24"/>
              </w:rPr>
              <w:t>1.建立了便利的群众意见反映渠道和群众意见办理回复机制（1分）； 2.当年度群众信访办理回复率达100%（1分）； 3.当年度群众信访及时办理回复率达100%，未发生超期（1分）。</w:t>
            </w:r>
          </w:p>
        </w:tc>
        <w:tc>
          <w:tcPr>
            <w:tcW w:w="721"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blHeader/>
          <w:jc w:val="center"/>
        </w:trPr>
        <w:tc>
          <w:tcPr>
            <w:tcW w:w="755"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部门绩效</w:t>
            </w:r>
          </w:p>
        </w:tc>
        <w:tc>
          <w:tcPr>
            <w:tcW w:w="659"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55</w:t>
            </w:r>
          </w:p>
        </w:tc>
        <w:tc>
          <w:tcPr>
            <w:tcW w:w="752"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公平性</w:t>
            </w:r>
          </w:p>
        </w:tc>
        <w:tc>
          <w:tcPr>
            <w:tcW w:w="652" w:type="dxa"/>
            <w:vMerge w:val="continue"/>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9</w:t>
            </w:r>
          </w:p>
        </w:tc>
        <w:tc>
          <w:tcPr>
            <w:tcW w:w="705"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公众或服务对象满意度</w:t>
            </w:r>
          </w:p>
        </w:tc>
        <w:tc>
          <w:tcPr>
            <w:tcW w:w="733"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6</w:t>
            </w:r>
          </w:p>
        </w:tc>
        <w:tc>
          <w:tcPr>
            <w:tcW w:w="2500" w:type="dxa"/>
            <w:tcBorders>
              <w:tl2br w:val="nil"/>
              <w:tr2bl w:val="nil"/>
            </w:tcBorders>
            <w:vAlign w:val="center"/>
          </w:tcPr>
          <w:p>
            <w:pPr>
              <w:keepNext/>
              <w:keepLines/>
              <w:spacing w:line="420" w:lineRule="exact"/>
              <w:jc w:val="center"/>
              <w:rPr>
                <w:rFonts w:ascii="仿宋_GB2312" w:eastAsia="仿宋_GB2312"/>
                <w:kern w:val="0"/>
                <w:sz w:val="24"/>
              </w:rPr>
            </w:pPr>
            <w:r>
              <w:rPr>
                <w:rFonts w:hint="eastAsia" w:ascii="仿宋_GB2312" w:eastAsia="仿宋_GB2312"/>
                <w:kern w:val="0"/>
                <w:sz w:val="24"/>
              </w:rPr>
              <w:t>反映社会公众或部门（单位）的服务对象对部门履职效果的满意度。</w:t>
            </w:r>
          </w:p>
        </w:tc>
        <w:tc>
          <w:tcPr>
            <w:tcW w:w="5815" w:type="dxa"/>
            <w:tcBorders>
              <w:tl2br w:val="nil"/>
              <w:tr2bl w:val="nil"/>
            </w:tcBorders>
            <w:vAlign w:val="center"/>
          </w:tcPr>
          <w:p>
            <w:pPr>
              <w:keepNext/>
              <w:keepLines/>
              <w:spacing w:line="420" w:lineRule="exact"/>
              <w:jc w:val="left"/>
              <w:rPr>
                <w:rFonts w:ascii="仿宋_GB2312" w:eastAsia="仿宋_GB2312"/>
                <w:kern w:val="0"/>
                <w:sz w:val="24"/>
              </w:rPr>
            </w:pPr>
            <w:r>
              <w:rPr>
                <w:rFonts w:hint="eastAsia" w:ascii="仿宋_GB2312" w:eastAsia="仿宋_GB2312"/>
                <w:kern w:val="0"/>
                <w:sz w:val="24"/>
              </w:rPr>
              <w:t>社会公众或服务对象是指部门（单位）履行职责而影响到的部门、群众或个人，一般采取社会调查的方式。如难以单独开展满意度调查的，可参照考市统计部门的数据、年度市直民主评议政风行风评价结果等数据，或者参考群众信访反馈的普遍性问题、本部门或权威第三方机构的开展满意度调查等进行分档计分。 1.满意度≥95%，得6分； 2.90%≤满意度＜95%的，得4分； 3.80%≤满意度＜90%的，得2分； 4.满意度＜80%的，得1分。</w:t>
            </w:r>
          </w:p>
        </w:tc>
        <w:tc>
          <w:tcPr>
            <w:tcW w:w="721" w:type="dxa"/>
            <w:tcBorders>
              <w:tl2br w:val="nil"/>
              <w:tr2bl w:val="nil"/>
            </w:tcBorders>
            <w:vAlign w:val="center"/>
          </w:tcPr>
          <w:p>
            <w:pPr>
              <w:keepNext/>
              <w:keepLines/>
              <w:spacing w:line="420" w:lineRule="exact"/>
              <w:rPr>
                <w:rFonts w:ascii="仿宋_GB2312" w:eastAsia="仿宋_GB2312"/>
                <w:kern w:val="0"/>
                <w:sz w:val="24"/>
              </w:rPr>
            </w:pPr>
            <w:r>
              <w:rPr>
                <w:rFonts w:hint="eastAsia" w:ascii="仿宋_GB2312" w:eastAsia="仿宋_GB2312"/>
                <w:kern w:val="0"/>
                <w:sz w:val="24"/>
              </w:rPr>
              <w:t>6.00</w:t>
            </w:r>
          </w:p>
        </w:tc>
      </w:tr>
    </w:tbl>
    <w:p>
      <w:pPr>
        <w:spacing w:line="360" w:lineRule="auto"/>
        <w:jc w:val="left"/>
        <w:rPr>
          <w:sz w:val="44"/>
          <w:szCs w:val="44"/>
        </w:rPr>
      </w:pPr>
    </w:p>
    <w:sectPr>
      <w:pgSz w:w="16783" w:h="11850" w:orient="landscape"/>
      <w:pgMar w:top="2041" w:right="1417" w:bottom="1417"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817382"/>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3E7"/>
    <w:rsid w:val="00015287"/>
    <w:rsid w:val="000757DF"/>
    <w:rsid w:val="000C1693"/>
    <w:rsid w:val="000C7F39"/>
    <w:rsid w:val="000D5ECC"/>
    <w:rsid w:val="00156F7B"/>
    <w:rsid w:val="00172A27"/>
    <w:rsid w:val="00186083"/>
    <w:rsid w:val="001A4FCA"/>
    <w:rsid w:val="001E1A5E"/>
    <w:rsid w:val="001E702E"/>
    <w:rsid w:val="001F5AA4"/>
    <w:rsid w:val="00235966"/>
    <w:rsid w:val="002460C2"/>
    <w:rsid w:val="00264A3A"/>
    <w:rsid w:val="002A7700"/>
    <w:rsid w:val="002C5431"/>
    <w:rsid w:val="002E0FBC"/>
    <w:rsid w:val="00323B8D"/>
    <w:rsid w:val="00340EF3"/>
    <w:rsid w:val="003577C2"/>
    <w:rsid w:val="00382649"/>
    <w:rsid w:val="003877CC"/>
    <w:rsid w:val="00394B68"/>
    <w:rsid w:val="003B1900"/>
    <w:rsid w:val="003D5362"/>
    <w:rsid w:val="003F3BCB"/>
    <w:rsid w:val="00447BDD"/>
    <w:rsid w:val="004817DE"/>
    <w:rsid w:val="004A3245"/>
    <w:rsid w:val="004A58EB"/>
    <w:rsid w:val="004B47F6"/>
    <w:rsid w:val="004C7A53"/>
    <w:rsid w:val="00550B49"/>
    <w:rsid w:val="00564628"/>
    <w:rsid w:val="00567EEA"/>
    <w:rsid w:val="0058344B"/>
    <w:rsid w:val="005A7B7C"/>
    <w:rsid w:val="005C793D"/>
    <w:rsid w:val="005D6FD8"/>
    <w:rsid w:val="006668F7"/>
    <w:rsid w:val="00670E00"/>
    <w:rsid w:val="006A08E5"/>
    <w:rsid w:val="006A0B18"/>
    <w:rsid w:val="006E2C6E"/>
    <w:rsid w:val="006F0724"/>
    <w:rsid w:val="00742447"/>
    <w:rsid w:val="007B1093"/>
    <w:rsid w:val="007C6A8D"/>
    <w:rsid w:val="007C77C0"/>
    <w:rsid w:val="007D3E30"/>
    <w:rsid w:val="007E03B1"/>
    <w:rsid w:val="007E16C0"/>
    <w:rsid w:val="007F11FC"/>
    <w:rsid w:val="00840F1B"/>
    <w:rsid w:val="0085384E"/>
    <w:rsid w:val="00866D4F"/>
    <w:rsid w:val="00886EBB"/>
    <w:rsid w:val="008C01DD"/>
    <w:rsid w:val="008C5E9F"/>
    <w:rsid w:val="008D3C34"/>
    <w:rsid w:val="00907B9F"/>
    <w:rsid w:val="009254A3"/>
    <w:rsid w:val="009374E9"/>
    <w:rsid w:val="0094704A"/>
    <w:rsid w:val="009803FA"/>
    <w:rsid w:val="009B6BB4"/>
    <w:rsid w:val="00A327AA"/>
    <w:rsid w:val="00AA5338"/>
    <w:rsid w:val="00AC140F"/>
    <w:rsid w:val="00AC5DE3"/>
    <w:rsid w:val="00AD4C3B"/>
    <w:rsid w:val="00AD7537"/>
    <w:rsid w:val="00AD7BBB"/>
    <w:rsid w:val="00B012E2"/>
    <w:rsid w:val="00B16374"/>
    <w:rsid w:val="00B9050E"/>
    <w:rsid w:val="00BB6C6E"/>
    <w:rsid w:val="00BB7A05"/>
    <w:rsid w:val="00BD192D"/>
    <w:rsid w:val="00C2157C"/>
    <w:rsid w:val="00C409C6"/>
    <w:rsid w:val="00C702B8"/>
    <w:rsid w:val="00C90F3C"/>
    <w:rsid w:val="00CB6C81"/>
    <w:rsid w:val="00CB7FE9"/>
    <w:rsid w:val="00CC0E1B"/>
    <w:rsid w:val="00CC7C71"/>
    <w:rsid w:val="00CD69A4"/>
    <w:rsid w:val="00D50E3A"/>
    <w:rsid w:val="00D86FE6"/>
    <w:rsid w:val="00DA65E1"/>
    <w:rsid w:val="00DC002F"/>
    <w:rsid w:val="00DD1293"/>
    <w:rsid w:val="00E274F2"/>
    <w:rsid w:val="00E61598"/>
    <w:rsid w:val="00E975EF"/>
    <w:rsid w:val="00F05CC5"/>
    <w:rsid w:val="00F85BCF"/>
    <w:rsid w:val="00FA665A"/>
    <w:rsid w:val="00FC0D46"/>
    <w:rsid w:val="01315401"/>
    <w:rsid w:val="01C52DAE"/>
    <w:rsid w:val="01F257FF"/>
    <w:rsid w:val="024F5014"/>
    <w:rsid w:val="03090A40"/>
    <w:rsid w:val="040F6B47"/>
    <w:rsid w:val="04654A26"/>
    <w:rsid w:val="04A76D2B"/>
    <w:rsid w:val="04BC47BA"/>
    <w:rsid w:val="054914CD"/>
    <w:rsid w:val="064523B8"/>
    <w:rsid w:val="06FC5169"/>
    <w:rsid w:val="079E1339"/>
    <w:rsid w:val="07A148DF"/>
    <w:rsid w:val="087B1A00"/>
    <w:rsid w:val="08C211F5"/>
    <w:rsid w:val="08DB3FEB"/>
    <w:rsid w:val="092C2C5C"/>
    <w:rsid w:val="0BD14FDF"/>
    <w:rsid w:val="0FDA3FB1"/>
    <w:rsid w:val="120B3C28"/>
    <w:rsid w:val="12643712"/>
    <w:rsid w:val="130D0AD3"/>
    <w:rsid w:val="131D4351"/>
    <w:rsid w:val="13617F8B"/>
    <w:rsid w:val="13647805"/>
    <w:rsid w:val="13A51F2D"/>
    <w:rsid w:val="145D50FF"/>
    <w:rsid w:val="14C3054C"/>
    <w:rsid w:val="16202893"/>
    <w:rsid w:val="166B11AF"/>
    <w:rsid w:val="166F4F7C"/>
    <w:rsid w:val="167A180F"/>
    <w:rsid w:val="16983690"/>
    <w:rsid w:val="16B60E6F"/>
    <w:rsid w:val="16EE2585"/>
    <w:rsid w:val="17341669"/>
    <w:rsid w:val="178848F8"/>
    <w:rsid w:val="17922658"/>
    <w:rsid w:val="17B0067F"/>
    <w:rsid w:val="17F55919"/>
    <w:rsid w:val="18FA5516"/>
    <w:rsid w:val="19801DD1"/>
    <w:rsid w:val="19E50885"/>
    <w:rsid w:val="1A174F8B"/>
    <w:rsid w:val="1A9D03C5"/>
    <w:rsid w:val="1AAD647C"/>
    <w:rsid w:val="1AED43EC"/>
    <w:rsid w:val="1AFF5C82"/>
    <w:rsid w:val="1B015642"/>
    <w:rsid w:val="1B3E0E21"/>
    <w:rsid w:val="1BBF2A02"/>
    <w:rsid w:val="1BC07C50"/>
    <w:rsid w:val="1BF721BA"/>
    <w:rsid w:val="1D1D3A0C"/>
    <w:rsid w:val="1F7C7240"/>
    <w:rsid w:val="1FBB2378"/>
    <w:rsid w:val="20B02492"/>
    <w:rsid w:val="21004085"/>
    <w:rsid w:val="211E3E28"/>
    <w:rsid w:val="21C11C74"/>
    <w:rsid w:val="22890228"/>
    <w:rsid w:val="238A5C78"/>
    <w:rsid w:val="23F701CF"/>
    <w:rsid w:val="25007531"/>
    <w:rsid w:val="25090E8A"/>
    <w:rsid w:val="259C1647"/>
    <w:rsid w:val="25CD5080"/>
    <w:rsid w:val="261003D9"/>
    <w:rsid w:val="261D1596"/>
    <w:rsid w:val="27050621"/>
    <w:rsid w:val="29E41E1A"/>
    <w:rsid w:val="29FD6AFF"/>
    <w:rsid w:val="2A3F18B8"/>
    <w:rsid w:val="2A3F46A8"/>
    <w:rsid w:val="2A616AB6"/>
    <w:rsid w:val="2A9F4CCD"/>
    <w:rsid w:val="2AA12193"/>
    <w:rsid w:val="2AE40311"/>
    <w:rsid w:val="2CDB5D89"/>
    <w:rsid w:val="2DEB4B97"/>
    <w:rsid w:val="2F6A7B69"/>
    <w:rsid w:val="306848D0"/>
    <w:rsid w:val="30796F21"/>
    <w:rsid w:val="30895479"/>
    <w:rsid w:val="30920502"/>
    <w:rsid w:val="30AC29D0"/>
    <w:rsid w:val="31407928"/>
    <w:rsid w:val="318766DF"/>
    <w:rsid w:val="31E107F3"/>
    <w:rsid w:val="320E1DD7"/>
    <w:rsid w:val="32851C21"/>
    <w:rsid w:val="32E02A2A"/>
    <w:rsid w:val="346A1A09"/>
    <w:rsid w:val="35127919"/>
    <w:rsid w:val="360779F4"/>
    <w:rsid w:val="36225A92"/>
    <w:rsid w:val="362B2995"/>
    <w:rsid w:val="36481AFC"/>
    <w:rsid w:val="36785F15"/>
    <w:rsid w:val="370A27F5"/>
    <w:rsid w:val="372332F0"/>
    <w:rsid w:val="398C7096"/>
    <w:rsid w:val="399437C5"/>
    <w:rsid w:val="3B78211E"/>
    <w:rsid w:val="3C115D53"/>
    <w:rsid w:val="3C6807F4"/>
    <w:rsid w:val="3D0361B6"/>
    <w:rsid w:val="3D54701F"/>
    <w:rsid w:val="3DBA3628"/>
    <w:rsid w:val="3E277B5C"/>
    <w:rsid w:val="3E580BF2"/>
    <w:rsid w:val="3EC97316"/>
    <w:rsid w:val="3FB843BE"/>
    <w:rsid w:val="3FCC13AB"/>
    <w:rsid w:val="3FD43F01"/>
    <w:rsid w:val="404A6983"/>
    <w:rsid w:val="4067655B"/>
    <w:rsid w:val="409942DD"/>
    <w:rsid w:val="41735C50"/>
    <w:rsid w:val="42A479DE"/>
    <w:rsid w:val="42D37E9D"/>
    <w:rsid w:val="430C466C"/>
    <w:rsid w:val="439215A2"/>
    <w:rsid w:val="43954FEC"/>
    <w:rsid w:val="44914687"/>
    <w:rsid w:val="44EE7BEE"/>
    <w:rsid w:val="45156A5A"/>
    <w:rsid w:val="45231602"/>
    <w:rsid w:val="45BE5167"/>
    <w:rsid w:val="463D122D"/>
    <w:rsid w:val="47192F85"/>
    <w:rsid w:val="474E7F8D"/>
    <w:rsid w:val="48983A38"/>
    <w:rsid w:val="48E73DD6"/>
    <w:rsid w:val="4A014EFC"/>
    <w:rsid w:val="4AC20405"/>
    <w:rsid w:val="4AEC1E08"/>
    <w:rsid w:val="4AFC33A8"/>
    <w:rsid w:val="4B01383C"/>
    <w:rsid w:val="4B3600F1"/>
    <w:rsid w:val="4C22261D"/>
    <w:rsid w:val="4C807C9D"/>
    <w:rsid w:val="4D00170B"/>
    <w:rsid w:val="4D1B4AC9"/>
    <w:rsid w:val="4E46227D"/>
    <w:rsid w:val="4E4628DD"/>
    <w:rsid w:val="4F6E6B3A"/>
    <w:rsid w:val="4F8A6D45"/>
    <w:rsid w:val="500C7857"/>
    <w:rsid w:val="50591F64"/>
    <w:rsid w:val="507736D4"/>
    <w:rsid w:val="520061E6"/>
    <w:rsid w:val="529818A0"/>
    <w:rsid w:val="53975F4F"/>
    <w:rsid w:val="53FD2806"/>
    <w:rsid w:val="55CA328F"/>
    <w:rsid w:val="562F69F1"/>
    <w:rsid w:val="5714441E"/>
    <w:rsid w:val="580F7E8C"/>
    <w:rsid w:val="59CC3F33"/>
    <w:rsid w:val="5AA010A2"/>
    <w:rsid w:val="5ACC3B4E"/>
    <w:rsid w:val="5C184E04"/>
    <w:rsid w:val="5C726A8E"/>
    <w:rsid w:val="5C741D27"/>
    <w:rsid w:val="5DCD48B3"/>
    <w:rsid w:val="5DF3149D"/>
    <w:rsid w:val="5F060D90"/>
    <w:rsid w:val="5F565103"/>
    <w:rsid w:val="609E3D6C"/>
    <w:rsid w:val="60CC0687"/>
    <w:rsid w:val="60F73BE1"/>
    <w:rsid w:val="60FD296B"/>
    <w:rsid w:val="61D0548F"/>
    <w:rsid w:val="628545D2"/>
    <w:rsid w:val="6371551B"/>
    <w:rsid w:val="63B07207"/>
    <w:rsid w:val="63CC6425"/>
    <w:rsid w:val="640E3D37"/>
    <w:rsid w:val="6411544C"/>
    <w:rsid w:val="6454445D"/>
    <w:rsid w:val="64DB0A3C"/>
    <w:rsid w:val="65042013"/>
    <w:rsid w:val="656335B7"/>
    <w:rsid w:val="658C6018"/>
    <w:rsid w:val="65A12101"/>
    <w:rsid w:val="65CC526F"/>
    <w:rsid w:val="669A2F88"/>
    <w:rsid w:val="66D02E03"/>
    <w:rsid w:val="6737069F"/>
    <w:rsid w:val="684C5853"/>
    <w:rsid w:val="68682C3D"/>
    <w:rsid w:val="6922400A"/>
    <w:rsid w:val="695C20D2"/>
    <w:rsid w:val="69B4379F"/>
    <w:rsid w:val="6A325C66"/>
    <w:rsid w:val="6A6404BB"/>
    <w:rsid w:val="6AD80402"/>
    <w:rsid w:val="6BDB6691"/>
    <w:rsid w:val="6C7905D3"/>
    <w:rsid w:val="6D312B35"/>
    <w:rsid w:val="6E325674"/>
    <w:rsid w:val="6F1A33FE"/>
    <w:rsid w:val="70AF7ED0"/>
    <w:rsid w:val="70B41313"/>
    <w:rsid w:val="711B051C"/>
    <w:rsid w:val="711B7801"/>
    <w:rsid w:val="72776604"/>
    <w:rsid w:val="741E0D7B"/>
    <w:rsid w:val="7430034C"/>
    <w:rsid w:val="744704C2"/>
    <w:rsid w:val="74F5491B"/>
    <w:rsid w:val="757333FF"/>
    <w:rsid w:val="767F2FFA"/>
    <w:rsid w:val="76F62D99"/>
    <w:rsid w:val="78630A1F"/>
    <w:rsid w:val="78630EF4"/>
    <w:rsid w:val="78664914"/>
    <w:rsid w:val="786E6317"/>
    <w:rsid w:val="78CC5CF2"/>
    <w:rsid w:val="79596FCD"/>
    <w:rsid w:val="7AAB17CA"/>
    <w:rsid w:val="7AF35504"/>
    <w:rsid w:val="7BED5BA9"/>
    <w:rsid w:val="7C3A014E"/>
    <w:rsid w:val="7C5C077E"/>
    <w:rsid w:val="7C6361F9"/>
    <w:rsid w:val="7CFE360B"/>
    <w:rsid w:val="7D7007C0"/>
    <w:rsid w:val="7DEB13D9"/>
    <w:rsid w:val="7EB97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annotation reference"/>
    <w:basedOn w:val="9"/>
    <w:semiHidden/>
    <w:unhideWhenUsed/>
    <w:qFormat/>
    <w:uiPriority w:val="99"/>
    <w:rPr>
      <w:sz w:val="21"/>
      <w:szCs w:val="21"/>
    </w:rPr>
  </w:style>
  <w:style w:type="character" w:customStyle="1" w:styleId="12">
    <w:name w:val="批注框文本 字符"/>
    <w:basedOn w:val="9"/>
    <w:link w:val="3"/>
    <w:semiHidden/>
    <w:qFormat/>
    <w:uiPriority w:val="99"/>
    <w:rPr>
      <w:rFonts w:ascii="Times New Roman" w:hAnsi="Times New Roman" w:eastAsia="宋体" w:cs="Times New Roman"/>
      <w:sz w:val="18"/>
      <w:szCs w:val="18"/>
    </w:rPr>
  </w:style>
  <w:style w:type="character" w:customStyle="1" w:styleId="13">
    <w:name w:val="页眉 字符"/>
    <w:basedOn w:val="9"/>
    <w:link w:val="5"/>
    <w:qFormat/>
    <w:uiPriority w:val="99"/>
    <w:rPr>
      <w:rFonts w:ascii="Times New Roman" w:hAnsi="Times New Roman" w:eastAsia="宋体" w:cs="Times New Roman"/>
      <w:sz w:val="18"/>
      <w:szCs w:val="18"/>
    </w:rPr>
  </w:style>
  <w:style w:type="character" w:customStyle="1" w:styleId="14">
    <w:name w:val="页脚 字符"/>
    <w:basedOn w:val="9"/>
    <w:link w:val="4"/>
    <w:qFormat/>
    <w:uiPriority w:val="99"/>
    <w:rPr>
      <w:rFonts w:ascii="Times New Roman" w:hAnsi="Times New Roman" w:eastAsia="宋体" w:cs="Times New Roman"/>
      <w:sz w:val="18"/>
      <w:szCs w:val="18"/>
    </w:rPr>
  </w:style>
  <w:style w:type="character" w:customStyle="1" w:styleId="15">
    <w:name w:val="批注文字 字符"/>
    <w:basedOn w:val="9"/>
    <w:link w:val="2"/>
    <w:semiHidden/>
    <w:qFormat/>
    <w:uiPriority w:val="99"/>
    <w:rPr>
      <w:kern w:val="2"/>
      <w:sz w:val="21"/>
      <w:szCs w:val="24"/>
    </w:rPr>
  </w:style>
  <w:style w:type="character" w:customStyle="1" w:styleId="16">
    <w:name w:val="批注主题 字符"/>
    <w:basedOn w:val="15"/>
    <w:link w:val="6"/>
    <w:semiHidden/>
    <w:qFormat/>
    <w:uiPriority w:val="99"/>
    <w:rPr>
      <w:b/>
      <w:bCs/>
      <w:kern w:val="2"/>
      <w:sz w:val="21"/>
      <w:szCs w:val="24"/>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1506</Words>
  <Characters>8586</Characters>
  <Lines>71</Lines>
  <Paragraphs>20</Paragraphs>
  <TotalTime>8</TotalTime>
  <ScaleCrop>false</ScaleCrop>
  <LinksUpToDate>false</LinksUpToDate>
  <CharactersWithSpaces>10072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2021-04-29T09:44:00Z</dcterms:created>
  <dc:creator>桂鑫</dc:creator>
  <cp:lastModifiedBy>Administrator</cp:lastModifiedBy>
  <cp:lastPrinted>2021-12-27T02:32:00Z</cp:lastPrinted>
  <dcterms:modified xsi:type="dcterms:W3CDTF">2023-12-11T08:03:08Z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9900D772112D40F2AFA1C716EA9BA7AA</vt:lpwstr>
  </property>
</Properties>
</file>