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900" w:lineRule="exact"/>
        <w:ind w:left="-42" w:leftChars="-20"/>
        <w:jc w:val="distribute"/>
        <w:rPr>
          <w:rFonts w:hint="eastAsia" w:ascii="方正大标宋简体" w:hAnsi="宋体" w:eastAsia="方正大标宋简体"/>
          <w:color w:val="FF0000"/>
          <w:spacing w:val="110"/>
          <w:kern w:val="40"/>
          <w:sz w:val="48"/>
          <w:szCs w:val="52"/>
          <w:highlight w:val="none"/>
        </w:rPr>
      </w:pPr>
      <w:bookmarkStart w:id="0" w:name="_GoBack"/>
      <w:bookmarkEnd w:id="0"/>
      <w:r>
        <w:rPr>
          <w:rFonts w:hint="eastAsia" w:ascii="方正大标宋简体" w:hAnsi="宋体" w:eastAsia="方正大标宋简体" w:cs="方正大标宋简体"/>
          <w:color w:val="FF0000"/>
          <w:spacing w:val="-43"/>
          <w:w w:val="80"/>
          <w:kern w:val="40"/>
          <w:sz w:val="72"/>
          <w:szCs w:val="84"/>
          <w:highlight w:val="none"/>
        </w:rPr>
        <w:t>深圳市福田区</w:t>
      </w:r>
      <w:r>
        <w:rPr>
          <w:rFonts w:hint="eastAsia" w:ascii="方正大标宋简体" w:hAnsi="宋体" w:eastAsia="方正大标宋简体" w:cs="方正大标宋简体"/>
          <w:color w:val="FF0000"/>
          <w:spacing w:val="-43"/>
          <w:w w:val="80"/>
          <w:kern w:val="40"/>
          <w:sz w:val="72"/>
          <w:szCs w:val="84"/>
          <w:highlight w:val="none"/>
          <w:lang w:eastAsia="zh-CN"/>
        </w:rPr>
        <w:t>退役军人事务</w:t>
      </w:r>
      <w:r>
        <w:rPr>
          <w:rFonts w:hint="eastAsia" w:ascii="方正大标宋简体" w:hAnsi="宋体" w:eastAsia="方正大标宋简体" w:cs="方正大标宋简体"/>
          <w:color w:val="FF0000"/>
          <w:spacing w:val="-43"/>
          <w:w w:val="80"/>
          <w:kern w:val="40"/>
          <w:sz w:val="72"/>
          <w:szCs w:val="84"/>
          <w:highlight w:val="none"/>
        </w:rPr>
        <w:t>局</w:t>
      </w:r>
    </w:p>
    <w:p>
      <w:pPr>
        <w:adjustRightInd w:val="0"/>
        <w:snapToGrid w:val="0"/>
        <w:rPr>
          <w:sz w:val="44"/>
          <w:szCs w:val="44"/>
          <w:highlight w:val="none"/>
        </w:rPr>
      </w:pP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82550</wp:posOffset>
                </wp:positionV>
                <wp:extent cx="5885815" cy="635"/>
                <wp:effectExtent l="0" t="28575" r="6985" b="444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5815" cy="635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4pt;margin-top:6.5pt;height:0.05pt;width:463.45pt;z-index:251659264;mso-width-relative:page;mso-height-relative:page;" filled="f" stroked="t" coordsize="21600,21600" o:gfxdata="UEsDBAoAAAAAAIdO4kAAAAAAAAAAAAAAAAAEAAAAZHJzL1BLAwQUAAAACACHTuJA3CvGG9QAAAAJ&#10;AQAADwAAAGRycy9kb3ducmV2LnhtbE2PwU7DMBBE70j8g7VI3FrbqSgQ4vSAxBnacuDoxtskaryO&#10;bKdp/57tCY47M5p9U20ufhBnjKkPZEAvFQikJrieWgPf+4/FC4iULTk7BEIDV0ywqe/vKlu6MNMW&#10;z7vcCi6hVFoDXc5jKWVqOvQ2LcOIxN4xRG8zn7GVLtqZy/0gC6XW0tue+ENnR3zvsDntJm/g5zlS&#10;mLefx6/VRNdUjKd98aSMeXzQ6g1Exkv+C8MNn9GhZqZDmMglMRhYaMXomY0Vb+LAq15rEIeboEHW&#10;lfy/oP4FUEsDBBQAAAAIAIdO4kCEw+OX/QEAAO0DAAAOAAAAZHJzL2Uyb0RvYy54bWytU0uOEzEQ&#10;3SNxB8t70klQhqiVziwmhA2CSAwHqNjutIV/cjnp5BJcAIkdrFiy5zYzHINyd5OBYZMFWThl1+vn&#10;eq/Ki+ujNeygImrvKj4ZjTlTTnip3a7i72/Xz+acYQInwXinKn5SyK+XT58s2lCqqW+8kSoyInFY&#10;tqHiTUqhLAoUjbKAIx+Uo2Tto4VE27grZISW2K0ppuPxVdH6KEP0QiHS6apP8oExXkLo61oLtfJi&#10;b5VLPWtUBhJJwkYH5Muu2rpWIr2ta1SJmYqT0tStdAnF27wWywWUuwih0WIoAS4p4ZEmC9rRpWeq&#10;FSRg+6j/obJaRI++TiPhbdEL6RwhFZPxI2/eNRBUp4WsxnA2Hf8frXhz2ESmZcWnnDmw1PD7T9/v&#10;Pn75+eMzrfffvrJpNqkNWBL2xm3isMOwiVnxsY42/5MWduyMPZ2NVcfEBB3O5vPZfDLjTFDu6vks&#10;MxYPn4aI6ZXyluWg4ka7rBpKOLzG1EN/Q/KxcawlzheTGXVRAM1gTb2n0AbSkaiTH26boR/ojZZr&#10;bUz+EONue2MiOwBNw3o9pt9QyV+wfNcKsOlxXSrDoGwUyJdOsnQK5JOj58FzJVZJzoyi15SjDplA&#10;m0uQZIJx5EW2tzc0R1svT9SVfYh615Ahk67KnKEp6JwbJjaP2Z/7junhlS5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wrxhvUAAAACQEAAA8AAAAAAAAAAQAgAAAAIgAAAGRycy9kb3ducmV2Lnht&#10;bFBLAQIUABQAAAAIAIdO4kCEw+OX/QEAAO0DAAAOAAAAAAAAAAEAIAAAACMBAABkcnMvZTJvRG9j&#10;LnhtbFBLBQYAAAAABgAGAFkBAACS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tabs>
          <w:tab w:val="left" w:pos="1843"/>
        </w:tabs>
        <w:kinsoku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福田区退役军人事务局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关于对深圳市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福田区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八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届人民代表大会第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次会议代表</w:t>
      </w:r>
    </w:p>
    <w:p>
      <w:pPr>
        <w:keepNext w:val="0"/>
        <w:keepLines w:val="0"/>
        <w:pageBreakBefore w:val="0"/>
        <w:tabs>
          <w:tab w:val="left" w:pos="1843"/>
        </w:tabs>
        <w:kinsoku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建议第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20230203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号意见的答复</w:t>
      </w:r>
    </w:p>
    <w:p>
      <w:pPr>
        <w:keepNext w:val="0"/>
        <w:keepLines w:val="0"/>
        <w:pageBreakBefore w:val="0"/>
        <w:tabs>
          <w:tab w:val="left" w:pos="1843"/>
        </w:tabs>
        <w:kinsoku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tabs>
          <w:tab w:val="left" w:pos="1843"/>
        </w:tabs>
        <w:kinsoku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尊敬的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刘忠奎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黑体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highlight w:val="none"/>
          <w:lang w:eastAsia="zh-CN"/>
        </w:rPr>
        <w:t>您好！您提出的</w:t>
      </w:r>
      <w:r>
        <w:rPr>
          <w:rFonts w:hint="eastAsia" w:ascii="仿宋_GB2312" w:hAnsi="黑体" w:eastAsia="仿宋_GB2312" w:cs="Times New Roman"/>
          <w:sz w:val="32"/>
          <w:szCs w:val="32"/>
          <w:highlight w:val="none"/>
          <w:lang w:val="en-US" w:eastAsia="zh-CN"/>
        </w:rPr>
        <w:t>《关于进一步推动退役军人高质量就业创业的建议》</w:t>
      </w:r>
      <w:r>
        <w:rPr>
          <w:rFonts w:hint="eastAsia" w:ascii="仿宋_GB2312" w:hAnsi="黑体" w:eastAsia="仿宋_GB2312" w:cs="Times New Roman"/>
          <w:sz w:val="32"/>
          <w:szCs w:val="32"/>
          <w:highlight w:val="none"/>
          <w:lang w:eastAsia="zh-CN"/>
        </w:rPr>
        <w:t>（以下简称《建议》）收悉。我局对该建议高度重视，第一时间将人大代表建议事项列入</w:t>
      </w:r>
      <w:r>
        <w:rPr>
          <w:rFonts w:hint="eastAsia" w:ascii="仿宋_GB2312" w:hAnsi="黑体" w:eastAsia="仿宋_GB2312" w:cs="Times New Roman"/>
          <w:sz w:val="32"/>
          <w:szCs w:val="32"/>
          <w:highlight w:val="none"/>
          <w:lang w:val="en-US" w:eastAsia="zh-CN"/>
        </w:rPr>
        <w:t>2023年重点工作，安排专人予以办理，全力推进，现就《建议》办理有关情况答复如下：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highlight w:val="none"/>
          <w:lang w:val="en-US" w:eastAsia="zh-CN"/>
        </w:rPr>
        <w:t>一、做好退役军人教育培训工作，建立多层次、常态化、可持续的教育培训体系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sz w:val="32"/>
          <w:szCs w:val="32"/>
          <w:highlight w:val="none"/>
          <w:lang w:val="en-US" w:eastAsia="zh-CN"/>
        </w:rPr>
        <w:t>举办职业技能培训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我局深入开展辖区内退役军人就业创业调研工作，摸清我区退役军人就业创业需求，并在此基础上结合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市场需求、个人意愿、政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府引导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，针对性举办退役军人职业技能培训班，切实提升退役军人职业技能水平和就业创业能力。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2023年，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我局联合深圳鹏城技师学院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开设“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/>
        </w:rPr>
        <w:t>中式烹调师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”“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/>
        </w:rPr>
        <w:t>危险化学品安全管理人员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”“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/>
        </w:rPr>
        <w:t>电工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”等职业技能培训，近百名退役军人报名参加，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为他们今后就业增加了竞争砝码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sz w:val="32"/>
          <w:szCs w:val="32"/>
          <w:highlight w:val="none"/>
          <w:lang w:val="en-US" w:eastAsia="zh-CN"/>
        </w:rPr>
        <w:t>（二）做好全员适应性培训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全力推动适应性培训全覆盖，根据“即退即训、全员参加”原则，引导退役军人进行心理调适，完成角色转变。引入专业心理咨询团队，通过咨询辅导等方式，在思想上教育退役军人离军不离党、退伍不褪色，在心态上引导帮助退役军人适应新环境。邀请心理学、党史、经济研究、政策服务、就业创业等方面的专家，帮助他们正确认识自身优势、准确寻找社会定位、了解当前就业形势、合理规划工作生活，尽快融入社会。2019年以来，培训学员达649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highlight w:val="none"/>
          <w:lang w:val="en-US" w:eastAsia="zh-CN"/>
        </w:rPr>
        <w:t>二、完善退役军人就业创业政策体系，为退役军人就业创业提供支撑力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 w:val="0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kern w:val="2"/>
          <w:sz w:val="32"/>
          <w:szCs w:val="32"/>
          <w:lang w:val="en-US" w:eastAsia="zh-CN"/>
        </w:rPr>
        <w:t>（一）出台退役军人就业创业政策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为鼓励扶持退役军人创业的技术、政策、资金扶持政策，帮助科技型退役军人大胆创业，我们聚焦20+8产业政策，在国家、省、市促进退役军人就业创业政策基础上，率先出台了全市首个区级退役军人就业创业政策《福田区促进新时代退役军人高质量就业创业的若干措施》及实施细则，推出5大版块21个方面的激励保障措施，进一步健全退役军人就业创业政策体系，为退役军人创业提供最强保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kern w:val="2"/>
          <w:sz w:val="32"/>
          <w:szCs w:val="32"/>
          <w:lang w:val="en-US" w:eastAsia="zh-CN"/>
        </w:rPr>
        <w:t>（二）加强退役军人就业创业政策宣传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我们以基地为专项示范点，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联合辖区街道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、社区等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103个服务站点开展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就业创业政策宣传活动，通过举办政策宣讲、送政策上门、编印宣传材料、用好服务热线电话、设置就业服务专窗、微信等线上新媒体进行宣传，把省、市、区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针对退役军人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就业创业政策等服务政策向退役军人讲清讲透，努力实现用人单位和退役军人对就业创业政策应知尽知、应享尽享。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highlight w:val="none"/>
          <w:lang w:val="en-US" w:eastAsia="zh-CN"/>
        </w:rPr>
        <w:t>三、做好创新创业载体建设，为退役军人自主创业搭建平台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2022年，在市退役军人局正确指导和区委区政府坚强领导下，我们结合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福田“三大新引擎”战略和“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1+9+N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”的产业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政策，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立足福田高科技产业和军转人才优势，打造全国首个退役军人高新技术创新创业示范基地，以高质量创新创业为突破口，推动福田退役军人工作先行示范、走在前列。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/>
        </w:rPr>
        <w:t>目前，基地正加速汇聚创新资源、积极培育创新主体，持续迸发创新动能，为科技型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退役军人高质量创新创业提供支撑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选优培优，集聚了一批优秀的退役军人初创科技型企业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。目前已有100多家退役军人初创高科技企业申请入驻，初步入库86家，首批入驻11家，覆盖军工装备、新材料、大数据、生物医药等现代产业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助力赋能，培育了一批有市场潜力的科技项目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。已归集入驻企业专利技术200余项。在全省退役军人创新创业大赛中，入驻企业获得1个一等奖、2个三等奖、1个优胜奖，占全市获奖数量的80%。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初创品牌，探索了一条支持退役军人创新创业路径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在场地、资金硬投入外，坚持党建引领、政策支持、服务优化等多重赋能助力，基地产业链、资金链、创新链形成协同效应逐步显现，被评为全市首批退役军人创业孵化示范基地，得到退役军人事务部的关注与肯定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媒体重点关注，扩大了基地的影响力。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基地先后吸引了新华网，光明日报等多家国家级媒体的关注，宣传了我们退役军人在高科技领域的能力和担当，在广大退役军人中引起了强烈反响。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五是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示范效应，吸引全国各地退役军人事务部门调研学习。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接待福建、新疆、江西、重庆等地退役军人事务部门和退役军人企业家来访调研20余次，为各地退役军人创业者来深发展提供支持，并致力于为全国退役军人企业家提供人才资源市场对接，实现协同发展。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highlight w:val="none"/>
          <w:lang w:val="en-US" w:eastAsia="zh-CN"/>
        </w:rPr>
        <w:t>四、做好退役军人就业促进工作，为退役军人就业提供帮扶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（一）打造退役军人就业创业中心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打造福田区退役军人就业创业中心，为退役军人提供一对一的就业创业指导、职业规划、政策解读、岗位推荐等全方位服务，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Hans"/>
        </w:rPr>
        <w:t>并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常态化联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Hans"/>
        </w:rPr>
        <w:t>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各街道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Hans"/>
        </w:rPr>
        <w:t>退役军人服务站开展退役军人就业创业服务进社区活动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，通过政务短信以及电话形式，累计向5000余名退役军人发送就业创业中心服务内容，鼓励有就业创业需求的战友来访咨询，共添加微信312人，基地接待来访咨询33人，提供就业相关咨询服务109人，有求职意向并发送个人简历进行一对一推荐的有59人（即时解决就业问题19人），仍未就业的战友进行回访二轮推荐，共计解决就业46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ascii="楷体_GB2312" w:hAnsi="楷体_GB2312" w:eastAsia="楷体_GB2312" w:cs="楷体_GB2312"/>
          <w:b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kern w:val="2"/>
          <w:sz w:val="32"/>
          <w:szCs w:val="32"/>
          <w:highlight w:val="none"/>
          <w:lang w:val="en-US" w:eastAsia="zh-CN"/>
        </w:rPr>
        <w:t>（二）搭建退役军人招聘平台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为进一步做好退役军人就业服务工作，促进退役军人高质量就业，积极搭建退役军人与用人单位双向选择平台，实现企业人才需求与退役军人就业需求的有效对接，助推经济社会发展。我们在线下招聘会的基础上，联合深圳市红海人力资源有限公司打造“戎归福田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退役军人线上招聘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平台，举行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常态化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退役军人专属招聘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同时设立政策宣传台，现场宣讲就业创业政策，发放就业创业政策宣传手册，让退役军人在应聘就业岗位的同时及时了解就业创业的相关政策。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截至目前，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家用人企业累计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提供职位684个，发布岗位5039个，简历投递数319份，118人与用人企业达成就业意向。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ind w:firstLine="640" w:firstLineChars="200"/>
        <w:textAlignment w:val="auto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2023年我们将坚持以高质量发展为主线，按照深圳建设退役军人工作先行示范区，以及福田“都市型科创区”建设要求，继续加大基地招引、培育力度，完善教育培训体系，提高退役军人就业创业水平，持续构建具有退役军人特质的创新生态链、协作圈，更好展现退役军人在军民融合、国防军工领域，以及经济社会高质量发展中的特殊能力和价值担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/>
        </w:rPr>
        <w:t>感谢您对我区退役军人就业创业工作的关心和支持，恳请您一如既往的支持福田区退役军人就业创业工作！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1843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4179" w:firstLineChars="1306"/>
        <w:jc w:val="left"/>
        <w:textAlignment w:val="auto"/>
        <w:outlineLvl w:val="9"/>
        <w:rPr>
          <w:rFonts w:hint="eastAsia" w:ascii="仿宋_GB2312" w:hAnsi="Calibri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Calibri" w:eastAsia="仿宋_GB2312"/>
          <w:sz w:val="32"/>
          <w:szCs w:val="32"/>
          <w:highlight w:val="none"/>
          <w:lang w:eastAsia="zh-CN"/>
        </w:rPr>
        <w:t>深圳市福田区退役军人事务局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                            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20</w:t>
      </w:r>
      <w:r>
        <w:rPr>
          <w:rFonts w:hint="eastAsia" w:ascii="仿宋_GB2312" w:hAnsi="Calibri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日</w:t>
      </w:r>
    </w:p>
    <w:p>
      <w:pPr>
        <w:pStyle w:val="2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仿宋" w:hAnsi="仿宋" w:eastAsia="仿宋" w:cs="Consolas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Calibri" w:eastAsia="仿宋_GB2312"/>
          <w:sz w:val="32"/>
          <w:szCs w:val="32"/>
          <w:highlight w:val="none"/>
        </w:rPr>
        <w:t>（联系人：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吴小楠；联系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电话：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13924669221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）</w:t>
      </w:r>
    </w:p>
    <w:p>
      <w:pPr>
        <w:jc w:val="both"/>
        <w:rPr>
          <w:rFonts w:hint="default" w:ascii="仿宋" w:hAnsi="仿宋" w:eastAsia="仿宋"/>
          <w:sz w:val="32"/>
          <w:szCs w:val="32"/>
          <w:highlight w:val="none"/>
        </w:rPr>
      </w:pPr>
    </w:p>
    <w:p>
      <w:pPr>
        <w:rPr>
          <w:highlight w:val="none"/>
        </w:rPr>
      </w:pPr>
    </w:p>
    <w:p/>
    <w:p/>
    <w:sectPr>
      <w:pgSz w:w="11906" w:h="16838"/>
      <w:pgMar w:top="2098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95EC16B"/>
    <w:rsid w:val="38FDCB01"/>
    <w:rsid w:val="3CDD54CC"/>
    <w:rsid w:val="3DD1F71F"/>
    <w:rsid w:val="3E3ED476"/>
    <w:rsid w:val="3EDD5091"/>
    <w:rsid w:val="67DD40FD"/>
    <w:rsid w:val="6BF773F1"/>
    <w:rsid w:val="7EDFC227"/>
    <w:rsid w:val="895EC16B"/>
    <w:rsid w:val="BBD6A6DB"/>
    <w:rsid w:val="D94F8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2023-05-17T10:31:00Z</dcterms:created>
  <dc:creator>xushujun1</dc:creator>
  <cp:lastModifiedBy>高彩娟</cp:lastModifiedBy>
  <dcterms:modified xsi:type="dcterms:W3CDTF">2023-12-25T06:45:42Z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846D106299E843E7ABD21D63C3CC7290</vt:lpwstr>
  </property>
</Properties>
</file>