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320" w:firstLine="0" w:firstLineChars="0"/>
        <w:jc w:val="center"/>
        <w:rPr>
          <w:rFonts w:ascii="黑体" w:hAnsi="黑体" w:eastAsia="黑体" w:cs="Times New Roman"/>
          <w:b/>
          <w:bCs/>
          <w:sz w:val="44"/>
          <w:szCs w:val="44"/>
        </w:rPr>
      </w:pPr>
    </w:p>
    <w:p>
      <w:pPr>
        <w:spacing w:line="720" w:lineRule="exact"/>
        <w:ind w:left="0" w:leftChars="0" w:firstLine="0" w:firstLineChars="0"/>
        <w:jc w:val="center"/>
        <w:rPr>
          <w:rFonts w:hint="eastAsia" w:ascii="方正小标宋_GBK" w:hAnsi="方正小标宋_GBK" w:eastAsia="方正小标宋_GBK" w:cs="方正小标宋_GBK"/>
          <w:bCs/>
          <w:sz w:val="48"/>
          <w:szCs w:val="48"/>
        </w:rPr>
      </w:pPr>
    </w:p>
    <w:p>
      <w:pPr>
        <w:spacing w:line="720" w:lineRule="exact"/>
        <w:ind w:left="0" w:leftChars="0" w:firstLine="0" w:firstLineChars="0"/>
        <w:jc w:val="center"/>
        <w:rPr>
          <w:rFonts w:hint="eastAsia" w:ascii="方正小标宋_GBK" w:hAnsi="方正小标宋_GBK" w:eastAsia="方正小标宋_GBK" w:cs="方正小标宋_GBK"/>
          <w:bCs/>
          <w:sz w:val="48"/>
          <w:szCs w:val="48"/>
        </w:rPr>
      </w:pPr>
    </w:p>
    <w:p>
      <w:pPr>
        <w:spacing w:line="720" w:lineRule="exact"/>
        <w:ind w:left="0" w:leftChars="0" w:firstLine="0" w:firstLineChars="0"/>
        <w:jc w:val="center"/>
        <w:rPr>
          <w:rFonts w:hint="eastAsia" w:ascii="方正小标宋_GBK" w:hAnsi="方正小标宋_GBK" w:eastAsia="方正小标宋_GBK" w:cs="方正小标宋_GBK"/>
          <w:bCs/>
          <w:sz w:val="48"/>
          <w:szCs w:val="48"/>
        </w:rPr>
      </w:pPr>
    </w:p>
    <w:p>
      <w:pPr>
        <w:spacing w:line="720" w:lineRule="exact"/>
        <w:jc w:val="center"/>
        <w:rPr>
          <w:rFonts w:hint="eastAsia" w:ascii="方正小标宋_GBK" w:hAnsi="方正小标宋_GBK" w:eastAsia="方正小标宋_GBK" w:cs="方正小标宋_GBK"/>
          <w:bCs/>
          <w:sz w:val="48"/>
          <w:szCs w:val="48"/>
        </w:rPr>
      </w:pPr>
    </w:p>
    <w:p>
      <w:pPr>
        <w:spacing w:line="720" w:lineRule="exact"/>
        <w:jc w:val="center"/>
        <w:rPr>
          <w:rFonts w:hint="eastAsia" w:ascii="方正小标宋_GBK" w:hAnsi="方正小标宋_GBK" w:eastAsia="方正小标宋_GBK" w:cs="方正小标宋_GBK"/>
          <w:bCs/>
          <w:sz w:val="48"/>
          <w:szCs w:val="48"/>
        </w:rPr>
      </w:pPr>
      <w:r>
        <w:rPr>
          <w:rFonts w:hint="eastAsia" w:ascii="方正小标宋_GBK" w:hAnsi="方正小标宋_GBK" w:eastAsia="方正小标宋_GBK" w:cs="方正小标宋_GBK"/>
          <w:bCs/>
          <w:sz w:val="48"/>
          <w:szCs w:val="48"/>
        </w:rPr>
        <w:t>福田区文化产业发展“十三五”规划</w:t>
      </w:r>
    </w:p>
    <w:p>
      <w:pPr>
        <w:pStyle w:val="31"/>
        <w:jc w:val="center"/>
        <w:rPr>
          <w:rFonts w:ascii="Cambria" w:hAnsi="Cambria"/>
          <w:color w:val="000000"/>
          <w:sz w:val="80"/>
          <w:szCs w:val="80"/>
        </w:rPr>
      </w:pPr>
    </w:p>
    <w:p>
      <w:pPr>
        <w:pStyle w:val="31"/>
        <w:jc w:val="center"/>
        <w:rPr>
          <w:rFonts w:ascii="Cambria" w:hAnsi="Cambria"/>
          <w:color w:val="000000"/>
          <w:sz w:val="80"/>
          <w:szCs w:val="80"/>
        </w:rPr>
      </w:pPr>
    </w:p>
    <w:p>
      <w:pPr>
        <w:pStyle w:val="31"/>
        <w:jc w:val="center"/>
        <w:rPr>
          <w:rFonts w:ascii="Cambria" w:hAnsi="Cambria"/>
          <w:color w:val="000000"/>
          <w:sz w:val="80"/>
          <w:szCs w:val="80"/>
        </w:rPr>
      </w:pPr>
    </w:p>
    <w:p>
      <w:pPr>
        <w:pStyle w:val="31"/>
        <w:jc w:val="center"/>
        <w:rPr>
          <w:rFonts w:ascii="Cambria" w:hAnsi="Cambria"/>
          <w:color w:val="000000"/>
          <w:sz w:val="80"/>
          <w:szCs w:val="80"/>
        </w:rPr>
      </w:pPr>
    </w:p>
    <w:p>
      <w:pPr>
        <w:spacing w:line="560" w:lineRule="exact"/>
        <w:ind w:left="0" w:leftChars="0" w:firstLine="0" w:firstLineChars="0"/>
        <w:jc w:val="center"/>
        <w:rPr>
          <w:rFonts w:hint="eastAsia" w:eastAsia="仿宋_GB2312"/>
          <w:sz w:val="32"/>
          <w:szCs w:val="32"/>
          <w:lang w:val="zh-CN"/>
        </w:rPr>
      </w:pPr>
      <w:r>
        <w:rPr>
          <w:rFonts w:hint="eastAsia" w:eastAsia="仿宋_GB2312"/>
          <w:sz w:val="32"/>
          <w:szCs w:val="32"/>
          <w:lang w:val="zh-CN"/>
        </w:rPr>
        <w:t>深圳市福田区文化产业发展办公室</w:t>
      </w:r>
    </w:p>
    <w:p>
      <w:pPr>
        <w:spacing w:line="560" w:lineRule="exact"/>
        <w:ind w:left="0" w:leftChars="0" w:firstLine="0" w:firstLineChars="0"/>
        <w:jc w:val="center"/>
        <w:rPr>
          <w:rFonts w:hint="eastAsia" w:eastAsia="仿宋_GB2312"/>
          <w:sz w:val="32"/>
          <w:szCs w:val="32"/>
          <w:lang w:val="zh-CN"/>
        </w:rPr>
      </w:pPr>
      <w:r>
        <w:rPr>
          <w:rFonts w:hint="eastAsia" w:eastAsia="仿宋_GB2312"/>
          <w:sz w:val="32"/>
          <w:szCs w:val="32"/>
          <w:lang w:val="zh-CN"/>
        </w:rPr>
        <w:t>深圳大学产业经济研究中心</w:t>
      </w:r>
    </w:p>
    <w:p>
      <w:pPr>
        <w:pStyle w:val="2"/>
        <w:jc w:val="center"/>
        <w:rPr>
          <w:rFonts w:hint="eastAsia"/>
          <w:lang w:val="zh-CN"/>
        </w:rPr>
      </w:pPr>
    </w:p>
    <w:p>
      <w:pPr>
        <w:spacing w:line="560" w:lineRule="exact"/>
        <w:ind w:left="0" w:leftChars="0" w:firstLine="0" w:firstLineChars="0"/>
        <w:jc w:val="center"/>
        <w:rPr>
          <w:rFonts w:hint="eastAsia" w:eastAsia="仿宋_GB2312"/>
          <w:sz w:val="32"/>
          <w:szCs w:val="32"/>
          <w:lang w:val="zh-CN"/>
        </w:rPr>
      </w:pPr>
      <w:r>
        <w:rPr>
          <w:rFonts w:hint="eastAsia" w:eastAsia="仿宋_GB2312"/>
          <w:sz w:val="32"/>
          <w:szCs w:val="32"/>
          <w:lang w:val="zh-CN"/>
        </w:rPr>
        <w:t>2015年1</w:t>
      </w:r>
      <w:r>
        <w:rPr>
          <w:rFonts w:hint="eastAsia" w:eastAsia="仿宋_GB2312"/>
          <w:sz w:val="32"/>
          <w:szCs w:val="32"/>
          <w:lang w:val="en-US" w:eastAsia="zh-CN"/>
        </w:rPr>
        <w:t>2</w:t>
      </w:r>
      <w:r>
        <w:rPr>
          <w:rFonts w:hint="eastAsia" w:eastAsia="仿宋_GB2312"/>
          <w:sz w:val="32"/>
          <w:szCs w:val="32"/>
          <w:lang w:val="zh-CN"/>
        </w:rPr>
        <w:t>月</w:t>
      </w:r>
    </w:p>
    <w:p>
      <w:pPr>
        <w:pStyle w:val="2"/>
        <w:pageBreakBefore w:val="0"/>
        <w:widowControl w:val="0"/>
        <w:kinsoku/>
        <w:wordWrap/>
        <w:overflowPunct/>
        <w:topLinePunct w:val="0"/>
        <w:autoSpaceDE/>
        <w:autoSpaceDN/>
        <w:bidi w:val="0"/>
        <w:adjustRightInd/>
        <w:snapToGrid/>
        <w:spacing w:before="0" w:after="0" w:line="560" w:lineRule="exact"/>
        <w:ind w:right="0" w:rightChars="0"/>
        <w:textAlignment w:val="auto"/>
        <w:rPr>
          <w:rFonts w:hint="eastAsia"/>
          <w:lang w:val="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contextualSpacing/>
        <w:jc w:val="center"/>
        <w:textAlignment w:val="auto"/>
        <w:outlineLvl w:val="1"/>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录</w:t>
      </w:r>
    </w:p>
    <w:p>
      <w:pPr>
        <w:pStyle w:val="13"/>
        <w:pageBreakBefore w:val="0"/>
        <w:widowControl w:val="0"/>
        <w:kinsoku/>
        <w:wordWrap/>
        <w:overflowPunct/>
        <w:topLinePunct w:val="0"/>
        <w:autoSpaceDE/>
        <w:autoSpaceDN/>
        <w:bidi w:val="0"/>
        <w:adjustRightInd/>
        <w:snapToGrid/>
        <w:spacing w:line="560" w:lineRule="exact"/>
        <w:ind w:right="0" w:rightChars="0"/>
        <w:textAlignment w:val="auto"/>
        <w:rPr>
          <w:color w:val="000000"/>
        </w:rPr>
      </w:pPr>
      <w:r>
        <w:rPr>
          <w:color w:val="000000"/>
        </w:rPr>
        <w:fldChar w:fldCharType="begin"/>
      </w:r>
      <w:r>
        <w:rPr>
          <w:color w:val="000000"/>
        </w:rPr>
        <w:instrText xml:space="preserve"> TOC \o "1-3" \h \z \u </w:instrText>
      </w:r>
      <w:r>
        <w:rPr>
          <w:color w:val="000000"/>
        </w:rPr>
        <w:fldChar w:fldCharType="separate"/>
      </w:r>
    </w:p>
    <w:p>
      <w:pPr>
        <w:pStyle w:val="13"/>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b w:val="0"/>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"_Toc425592496"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福田区文化产业发展“十三五”规划</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_Toc425592496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6</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3"/>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b w:val="0"/>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"_Toc425592497"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一、发展环境和基础条件</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_Toc425592497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6</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"_Toc425592498"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(一) 主要成就</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_Toc425592498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6</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"_Toc425592499"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1.“创意福田”品牌效应凸显</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_Toc425592499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6</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"_Toc425592500"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2. 文化产业增加值持续增长</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_Toc425592500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7</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"_Toc425592501"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3. 四大产业圈示范作用明显</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_Toc425592501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9</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"_Toc425592502"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4. 产业结构持续优化与提升</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_Toc425592502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10</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"_Toc425592503"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5. 产业与博览互补日益紧密</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_Toc425592503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11</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"_Toc425592504"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6. 优质企业规模正不断扩大</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_Toc425592504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13</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"_Toc425592505"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7. 研发资金投入大幅度提升</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_Toc425592505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14</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"_Toc425592506"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8. 产业基金的带动作用增强</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_Toc425592506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15</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"_Toc425592507"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9. 创意企业竞争力不断强化</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_Toc425592507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16</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"_Toc425592508"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10.文化产业贡献力逐年提升</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_Toc425592508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17</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"_Toc425592509"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(二) 发展环境</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_Toc425592509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18</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"_Toc425592510"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1.  综合环境的高品质引领</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_Toc425592510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18</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"_Toc425592511"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2.  法治环境成为发展前提</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_Toc425592511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18</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"_Toc425592512"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3. 营商环境完善发展条件</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_Toc425592512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18</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"_Toc425592513"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4. 人文环境塑造创意氛围</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_Toc425592513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19</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"_Toc425592514"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5. 生态环境优化产业基础</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_Toc425592514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20</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"_Toc425592515"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(三) 基础条件</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_Toc425592515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21</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"_Toc425592516"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1. 奠定支柱产业持续走强基础</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_Toc425592516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21</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"_Toc425592517"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2. 提升优势品牌企业质量基础</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_Toc425592517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22</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"_Toc425592518"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3. 创新银企合作模式复制基础</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_Toc425592518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22</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"_Toc425592519"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4. 优化文化产业资源配置基础</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_Toc425592519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23</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"_Toc425592520"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5. 承办大型文化创意活动基础</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_Toc425592520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26</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"_Toc425592521"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6. 优化公共文化平台服务基础</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_Toc425592521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27</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"_Toc425592522"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7. 组织民间团体联系企业基础</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_Toc425592522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29</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"_Toc425592523"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8. 重构文化产业发展数据基础</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_Toc425592523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30</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"_Toc425592524"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9. 提高产品走出去的市场基础</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_Toc425592524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30</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"_Toc425592525"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(四) 制约因素</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_Toc425592525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31</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"_Toc425592526"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1. 高端创意人才依然缺乏</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_Toc425592526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31</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"_Toc425592527"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2. 小</w:t>
      </w:r>
      <w:r>
        <w:rPr>
          <w:rFonts w:hint="eastAsia" w:ascii="仿宋" w:hAnsi="仿宋" w:eastAsia="仿宋" w:cs="仿宋"/>
          <w:color w:val="000000"/>
          <w:kern w:val="0"/>
          <w:sz w:val="32"/>
          <w:szCs w:val="32"/>
          <w:shd w:val="clear" w:color="auto" w:fill="FFFFFF"/>
        </w:rPr>
        <w:t>微</w:t>
      </w:r>
      <w:r>
        <w:rPr>
          <w:rStyle w:val="25"/>
          <w:rFonts w:hint="eastAsia" w:ascii="仿宋" w:hAnsi="仿宋" w:eastAsia="仿宋" w:cs="仿宋"/>
          <w:color w:val="000000"/>
          <w:sz w:val="32"/>
          <w:szCs w:val="32"/>
        </w:rPr>
        <w:t>企业融资还是困难</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_Toc425592527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32</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"_Toc425592528"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3. 知识产权保护还需强化</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_Toc425592528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33</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"_Toc425592529"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4. 企业发展成本居高不下</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_Toc425592529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33</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"_Toc425592530"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5. 产业发展空间严重受限</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_Toc425592530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34</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"_Toc425592531"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6. 研发经费相比仍然不足</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_Toc425592531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34</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 w:hAnsi="仿宋" w:eastAsia="仿宋" w:cs="仿宋"/>
          <w:color w:val="000000"/>
          <w:w w:val="100"/>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HYPERLINK  \l "_Toc425592532" </w:instrText>
      </w:r>
      <w:r>
        <w:rPr>
          <w:rFonts w:hint="eastAsia" w:ascii="仿宋" w:hAnsi="仿宋" w:eastAsia="仿宋" w:cs="仿宋"/>
          <w:b/>
          <w:bCs/>
          <w:sz w:val="32"/>
          <w:szCs w:val="32"/>
        </w:rPr>
        <w:fldChar w:fldCharType="separate"/>
      </w:r>
      <w:r>
        <w:rPr>
          <w:rStyle w:val="25"/>
          <w:rFonts w:hint="eastAsia" w:ascii="仿宋" w:hAnsi="仿宋" w:eastAsia="仿宋" w:cs="仿宋"/>
          <w:b/>
          <w:bCs/>
          <w:color w:val="000000"/>
          <w:sz w:val="32"/>
          <w:szCs w:val="32"/>
        </w:rPr>
        <w:t>二、指导思想和基本原则</w:t>
      </w:r>
      <w:r>
        <w:rPr>
          <w:rFonts w:hint="eastAsia" w:ascii="仿宋" w:hAnsi="仿宋" w:eastAsia="仿宋" w:cs="仿宋"/>
          <w:b/>
          <w:bCs/>
          <w:color w:val="000000"/>
          <w:sz w:val="32"/>
          <w:szCs w:val="32"/>
        </w:rPr>
        <w:tab/>
      </w:r>
      <w:r>
        <w:rPr>
          <w:rFonts w:hint="eastAsia" w:ascii="仿宋" w:hAnsi="仿宋" w:eastAsia="仿宋" w:cs="仿宋"/>
          <w:b/>
          <w:bCs/>
          <w:color w:val="000000"/>
          <w:sz w:val="32"/>
          <w:szCs w:val="32"/>
        </w:rPr>
        <w:fldChar w:fldCharType="begin"/>
      </w:r>
      <w:r>
        <w:rPr>
          <w:rFonts w:hint="eastAsia" w:ascii="仿宋" w:hAnsi="仿宋" w:eastAsia="仿宋" w:cs="仿宋"/>
          <w:b/>
          <w:bCs/>
          <w:color w:val="000000"/>
          <w:sz w:val="32"/>
          <w:szCs w:val="32"/>
        </w:rPr>
        <w:instrText xml:space="preserve"> PAGEREF _Toc425592532 \h </w:instrText>
      </w:r>
      <w:r>
        <w:rPr>
          <w:rFonts w:hint="eastAsia" w:ascii="仿宋" w:hAnsi="仿宋" w:eastAsia="仿宋" w:cs="仿宋"/>
          <w:b/>
          <w:bCs/>
          <w:color w:val="000000"/>
          <w:sz w:val="32"/>
          <w:szCs w:val="32"/>
        </w:rPr>
        <w:fldChar w:fldCharType="separate"/>
      </w:r>
      <w:r>
        <w:rPr>
          <w:rFonts w:hint="eastAsia" w:ascii="仿宋" w:hAnsi="仿宋" w:eastAsia="仿宋" w:cs="仿宋"/>
          <w:b/>
          <w:bCs/>
          <w:color w:val="000000"/>
          <w:sz w:val="32"/>
          <w:szCs w:val="32"/>
        </w:rPr>
        <w:t>35</w:t>
      </w:r>
      <w:r>
        <w:rPr>
          <w:rFonts w:hint="eastAsia" w:ascii="仿宋" w:hAnsi="仿宋" w:eastAsia="仿宋" w:cs="仿宋"/>
          <w:b/>
          <w:bCs/>
          <w:color w:val="000000"/>
          <w:sz w:val="32"/>
          <w:szCs w:val="32"/>
        </w:rPr>
        <w:fldChar w:fldCharType="end"/>
      </w:r>
      <w:r>
        <w:rPr>
          <w:rFonts w:hint="eastAsia" w:ascii="仿宋" w:hAnsi="仿宋" w:eastAsia="仿宋" w:cs="仿宋"/>
          <w:b/>
          <w:bCs/>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"_Toc425592533"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(一)指导思想</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_Toc425592533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35</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"_Toc425592534"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(二)基本原则</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_Toc425592534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36</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"_Toc425592536"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1. 综合环境优化原则</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_Toc425592536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36</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"_Toc425592537"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2. 崇尚创新创意原则</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_Toc425592537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36</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"_Toc425592538"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3. 促进成果转化原则</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_Toc425592538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37</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"_Toc425592539"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4. 科学持续发展原则</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_Toc425592539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37</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"_Toc425592540"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(三)发展机遇</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_Toc425592540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37</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"_Toc425592541"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1.</w:t>
      </w:r>
      <w:r>
        <w:rPr>
          <w:rStyle w:val="25"/>
          <w:rFonts w:hint="eastAsia" w:ascii="仿宋" w:hAnsi="仿宋" w:eastAsia="仿宋" w:cs="仿宋"/>
          <w:color w:val="000000"/>
          <w:sz w:val="32"/>
          <w:szCs w:val="32"/>
          <w:lang w:eastAsia="zh-CN"/>
        </w:rPr>
        <w:t>党的十八大</w:t>
      </w:r>
      <w:r>
        <w:rPr>
          <w:rStyle w:val="25"/>
          <w:rFonts w:hint="eastAsia" w:ascii="仿宋" w:hAnsi="仿宋" w:eastAsia="仿宋" w:cs="仿宋"/>
          <w:color w:val="000000"/>
          <w:sz w:val="32"/>
          <w:szCs w:val="32"/>
        </w:rPr>
        <w:t>以来改革发展的机遇</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_Toc425592541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37</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"_Toc425592542"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2. 中国经济“新常态”的稳定机遇</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_Toc425592542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39</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"_Toc425592543"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3.“一带一路”世界市场拓展机遇</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_Toc425592543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41</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"_Toc425592544"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4．文化创意产业宏观背景优化机遇</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_Toc425592544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42</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"_Toc425592545"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5. 深圳“两区三市”定位的战略指引</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_Toc425592545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43</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"_Toc425592546"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6. 前海蛇口自贸区形成与运作机遇</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_Toc425592546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43</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3"/>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b w:val="0"/>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"_Toc425592547"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三、发展战略与目标任务</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_Toc425592547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44</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"_Toc425592548"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(一)发展战略</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_Toc425592548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44</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"_Toc425592549"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1. 新常态的引领战略</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_Toc425592549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44</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"_Toc425592551"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2. 产业集群培育战略</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_Toc425592551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45</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"_Toc425592552"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3. 文化智造转型战略</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_Toc425592552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45</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"_Toc425592553"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(二)目标任务</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_Toc425592553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45</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"_Toc425592554"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1. 文化产业增加值有序提高</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_Toc425592554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46</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"_Toc425592555"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2. 产业结构与布局得到优化</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_Toc425592555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46</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"_Toc425592556"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3. 产业发展方式的有效转型</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_Toc425592556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46</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"_Toc425592557"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4. 创意企业总部的及时认定</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_Toc425592557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47</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"_Toc425592558"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5. 企业主体得到进一步培育</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_Toc425592558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47</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"_Toc425592559"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6. 文化市场得到充分的培育</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_Toc425592559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47</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"_Toc425592560"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(三)指标体系</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_Toc425592560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48</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"_Toc425592561"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1. 文化产业指标体系构建方法</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_Toc425592561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48</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"_Toc425592562"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2. 文化产业指标体系选择依据</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_Toc425592562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51</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"_Toc425592563"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3. 福田文化产业指标体系构建</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_Toc425592563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52</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3"/>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b w:val="0"/>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"_Toc425592564"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四、发展重点与产业安排</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_Toc425592564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57</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"_Toc425592565"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(一)发展重点</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_Toc425592565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57</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"_Toc425592566"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1. 提高一个博览会办会水平</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_Toc425592566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57</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"_Toc425592567"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2. 加强二个国家级平台联系</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_Toc425592567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61</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"_Toc425592568"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3. 推进三大新兴园区的发展</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_Toc425592568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63</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"_Toc425592569"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4. 促进四大产业园区模式创新</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_Toc425592569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65</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"_Toc425592570"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5. 持续六大主导产业良性发展</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_Toc425592570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67</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"_Toc425592571"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6. 发挥若干平台与团体的作用</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_Toc425592571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69</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"_Toc425592572"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(二)产业安排</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_Toc425592572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70</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"_Toc425592573"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1. 优化行业集聚与空间集中</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_Toc425592573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70</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"_Toc425592574"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2. 强调特色强化与优势互补</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_Toc425592574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73</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"_Toc425592575"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3. 注重创意发现与资源发掘</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_Toc425592575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74</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"_Toc425592576"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4. 推进支柱产业链价值延伸</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_Toc425592576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76</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"_Toc425592577"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5. 促进制造向智造转型升级</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_Toc425592577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77</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"_Toc425592578"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6. 推动产业创意与营销创新</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_Toc425592578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79</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3"/>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b w:val="0"/>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"_Toc425592579"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五、体制创新与保障措施</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_Toc425592579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80</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"_Toc425592580"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(一)推进文化管理体制改革创新</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_Toc425592580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80</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"_Toc425592581"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(二)发挥市场配置资源决定作用</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_Toc425592581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82</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"_Toc425592582"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(三)完善发展文化产业配套政策</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_Toc425592582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83</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"_Toc425592583"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(四)营造高品质产业的发展环境</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_Toc425592583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86</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"_Toc425592584"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(五)强化高端人才的集聚与作用</w:t>
      </w:r>
      <w:r>
        <w:rPr>
          <w:rFonts w:hint="eastAsia" w:ascii="仿宋" w:hAnsi="仿宋" w:eastAsia="仿宋" w:cs="仿宋"/>
          <w:color w:val="000000"/>
          <w:sz w:val="32"/>
          <w:szCs w:val="32"/>
        </w:rPr>
        <w:tab/>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PAGEREF _Toc425592584 \h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88</w:t>
      </w:r>
      <w:r>
        <w:rPr>
          <w:rFonts w:hint="eastAsia" w:ascii="仿宋" w:hAnsi="仿宋" w:eastAsia="仿宋" w:cs="仿宋"/>
          <w:color w:val="000000"/>
          <w:sz w:val="32"/>
          <w:szCs w:val="32"/>
        </w:rPr>
        <w:fldChar w:fldCharType="end"/>
      </w:r>
      <w:r>
        <w:rPr>
          <w:rFonts w:hint="eastAsia" w:ascii="仿宋" w:hAnsi="仿宋" w:eastAsia="仿宋" w:cs="仿宋"/>
          <w:sz w:val="32"/>
          <w:szCs w:val="32"/>
        </w:rPr>
        <w:fldChar w:fldCharType="end"/>
      </w:r>
    </w:p>
    <w:p>
      <w:pPr>
        <w:pStyle w:val="17"/>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w w:val="10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\l "_Toc425592585" </w:instrText>
      </w:r>
      <w:r>
        <w:rPr>
          <w:rFonts w:hint="eastAsia" w:ascii="仿宋" w:hAnsi="仿宋" w:eastAsia="仿宋" w:cs="仿宋"/>
          <w:sz w:val="32"/>
          <w:szCs w:val="32"/>
        </w:rPr>
        <w:fldChar w:fldCharType="separate"/>
      </w:r>
      <w:r>
        <w:rPr>
          <w:rStyle w:val="25"/>
          <w:rFonts w:hint="eastAsia" w:ascii="仿宋" w:hAnsi="仿宋" w:eastAsia="仿宋" w:cs="仿宋"/>
          <w:color w:val="000000"/>
          <w:sz w:val="32"/>
          <w:szCs w:val="32"/>
        </w:rPr>
        <w:t>(六)加强文化产业发展风险控制</w:t>
      </w:r>
      <w:r>
        <w:rPr>
          <w:rFonts w:hint="eastAsia" w:ascii="仿宋" w:hAnsi="仿宋" w:eastAsia="仿宋" w:cs="仿宋"/>
          <w:color w:val="000000"/>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90</w:t>
      </w:r>
    </w:p>
    <w:p>
      <w:pPr>
        <w:pStyle w:val="20"/>
        <w:pageBreakBefore w:val="0"/>
        <w:widowControl w:val="0"/>
        <w:kinsoku/>
        <w:wordWrap/>
        <w:overflowPunct/>
        <w:topLinePunct w:val="0"/>
        <w:autoSpaceDE/>
        <w:autoSpaceDN/>
        <w:bidi w:val="0"/>
        <w:adjustRightInd/>
        <w:snapToGrid/>
        <w:spacing w:before="0" w:after="0" w:line="560" w:lineRule="exact"/>
        <w:ind w:right="0" w:rightChars="0" w:firstLine="643"/>
        <w:textAlignment w:val="auto"/>
        <w:rPr>
          <w:color w:val="000000"/>
        </w:rPr>
      </w:pPr>
      <w:r>
        <w:rPr>
          <w:color w:val="000000"/>
        </w:rPr>
        <w:fldChar w:fldCharType="end"/>
      </w:r>
    </w:p>
    <w:p>
      <w:pPr>
        <w:spacing w:line="560" w:lineRule="exact"/>
        <w:contextualSpacing/>
        <w:jc w:val="center"/>
        <w:rPr>
          <w:rFonts w:hint="eastAsia" w:ascii="方正小标宋_GBK" w:hAnsi="方正小标宋_GBK" w:eastAsia="方正小标宋_GBK" w:cs="方正小标宋_GBK"/>
          <w:bCs/>
          <w:sz w:val="44"/>
          <w:szCs w:val="44"/>
        </w:rPr>
      </w:pPr>
      <w:bookmarkStart w:id="0" w:name="_Toc420700325"/>
      <w:bookmarkStart w:id="1" w:name="_Toc416283712"/>
      <w:bookmarkStart w:id="2" w:name="_Toc417236499"/>
      <w:bookmarkStart w:id="3" w:name="_Toc425592496"/>
    </w:p>
    <w:p>
      <w:pPr>
        <w:spacing w:line="560" w:lineRule="exact"/>
        <w:contextualSpacing/>
        <w:jc w:val="center"/>
        <w:rPr>
          <w:rFonts w:hint="eastAsia"/>
        </w:rPr>
      </w:pPr>
      <w:r>
        <w:rPr>
          <w:rFonts w:hint="eastAsia" w:ascii="方正小标宋_GBK" w:hAnsi="方正小标宋_GBK" w:eastAsia="方正小标宋_GBK" w:cs="方正小标宋_GBK"/>
          <w:bCs/>
          <w:sz w:val="44"/>
          <w:szCs w:val="44"/>
        </w:rPr>
        <w:t>福田区文化产业发展“十三五”规划</w:t>
      </w:r>
      <w:bookmarkEnd w:id="0"/>
      <w:bookmarkEnd w:id="1"/>
      <w:bookmarkEnd w:id="2"/>
      <w:bookmarkEnd w:id="3"/>
    </w:p>
    <w:p>
      <w:pPr>
        <w:pStyle w:val="3"/>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b w:val="0"/>
          <w:bCs/>
          <w:kern w:val="2"/>
          <w:sz w:val="32"/>
          <w:szCs w:val="32"/>
          <w:lang w:val="en-US" w:eastAsia="zh-CN" w:bidi="ar-SA"/>
        </w:rPr>
      </w:pPr>
      <w:bookmarkStart w:id="4" w:name="_Toc425592497"/>
      <w:bookmarkStart w:id="5" w:name="_Toc416283713"/>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一、发展环境和基础条件</w:t>
      </w:r>
      <w:bookmarkEnd w:id="4"/>
      <w:bookmarkEnd w:id="5"/>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6" w:name="_Toc425592498"/>
      <w:r>
        <w:rPr>
          <w:rFonts w:hint="eastAsia" w:ascii="仿宋" w:hAnsi="仿宋" w:eastAsia="仿宋" w:cs="仿宋"/>
          <w:color w:val="000000"/>
          <w:w w:val="90"/>
          <w:sz w:val="32"/>
          <w:szCs w:val="32"/>
          <w:lang w:val="en-US" w:eastAsia="zh-CN"/>
        </w:rPr>
        <w:t xml:space="preserve">    </w:t>
      </w:r>
      <w:r>
        <w:rPr>
          <w:rFonts w:hint="eastAsia" w:ascii="楷体" w:hAnsi="楷体" w:eastAsia="楷体" w:cs="楷体"/>
          <w:b w:val="0"/>
          <w:bCs w:val="0"/>
          <w:color w:val="000000"/>
          <w:w w:val="90"/>
          <w:sz w:val="32"/>
          <w:szCs w:val="32"/>
        </w:rPr>
        <w:t>(一) 主要成就</w:t>
      </w:r>
      <w:bookmarkEnd w:id="6"/>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sz w:val="32"/>
          <w:szCs w:val="32"/>
        </w:rPr>
      </w:pPr>
      <w:bookmarkStart w:id="7" w:name="_Toc416283714"/>
      <w:bookmarkStart w:id="8" w:name="_Toc425592499"/>
      <w:r>
        <w:rPr>
          <w:rFonts w:hint="eastAsia" w:ascii="仿宋" w:hAnsi="仿宋" w:eastAsia="仿宋" w:cs="仿宋"/>
          <w:color w:val="000000"/>
          <w:w w:val="90"/>
          <w:sz w:val="32"/>
          <w:szCs w:val="32"/>
          <w:lang w:val="en-US" w:eastAsia="zh-CN"/>
        </w:rPr>
        <w:t xml:space="preserve">    </w:t>
      </w:r>
      <w:r>
        <w:rPr>
          <w:rFonts w:hint="eastAsia" w:ascii="仿宋" w:hAnsi="仿宋" w:eastAsia="仿宋" w:cs="仿宋"/>
          <w:color w:val="000000"/>
          <w:sz w:val="32"/>
          <w:szCs w:val="32"/>
        </w:rPr>
        <w:t>1.“创意福田”品牌效应凸显</w:t>
      </w:r>
      <w:bookmarkEnd w:id="7"/>
      <w:bookmarkEnd w:id="8"/>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w w:val="90"/>
          <w:sz w:val="32"/>
          <w:szCs w:val="32"/>
          <w:lang w:val="en-US" w:eastAsia="zh-CN"/>
        </w:rPr>
        <w:t xml:space="preserve">    </w:t>
      </w:r>
      <w:r>
        <w:rPr>
          <w:rFonts w:hint="eastAsia" w:ascii="仿宋" w:hAnsi="仿宋" w:eastAsia="仿宋" w:cs="仿宋"/>
          <w:color w:val="000000"/>
          <w:kern w:val="0"/>
          <w:sz w:val="32"/>
          <w:szCs w:val="32"/>
          <w:shd w:val="clear" w:color="auto" w:fill="FFFFFF"/>
        </w:rPr>
        <w:t>（1）“创意福田”品牌效应凸显。福田区是深圳市创意设计产业的主要聚集地，近年来重点落实重大项目带动品牌发展战略，通过产业集聚、资金扶持等方式提升“创意福田”品牌建设，通过文博会、创博会、室内设计文化节、福田国际服饰文化旅游节等活动进行宣传推介，取得了显著的效果。目前深圳市70％的创意设计人才聚集福田区，80％的创意设计业务在福田区完成。“创意福田”作品已遍及全国大型机构和场所，如国华标识公司参与国家体育场的标识设计、姜峰室内设计公司参与国家大剧院室内设计等。</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w w:val="90"/>
          <w:sz w:val="32"/>
          <w:szCs w:val="32"/>
          <w:lang w:val="en-US" w:eastAsia="zh-CN"/>
        </w:rPr>
        <w:t xml:space="preserve">    </w:t>
      </w:r>
      <w:r>
        <w:rPr>
          <w:rFonts w:hint="eastAsia" w:ascii="仿宋" w:hAnsi="仿宋" w:eastAsia="仿宋" w:cs="仿宋"/>
          <w:color w:val="000000"/>
          <w:kern w:val="0"/>
          <w:sz w:val="32"/>
          <w:szCs w:val="32"/>
          <w:shd w:val="clear" w:color="auto" w:fill="FFFFFF"/>
        </w:rPr>
        <w:t>（2）文化产业园区为福田品牌代言。通过参与文博会等大型展会活动，辖区内各文化产业园区已成为福田文化产业一道亮丽的风景线。田面设计之都创意产业园连续获得第三、四、五届文博会分会场一等奖，今年初被科技部认定为“深圳国家工业设计高新技术产业化基地”，其园区建设和开发模式受到中央领导的充分肯定。目前，该园区已有152 家优秀设计企业入驻，其中外资企业30 家，推动了中心城区产业优化升级，共接待国内外考察团300 余次，其品牌正向国内多个城市输出。世纪工艺品文化广场被广东省文化厅命名为“广东文化（创意）产业园区”，也是全国第一个被国家知识产权局授予“中国传统知识与民间工艺美术精品展示基地”称号的文化产业基地。</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w w:val="90"/>
          <w:sz w:val="32"/>
          <w:szCs w:val="32"/>
          <w:lang w:val="en-US" w:eastAsia="zh-CN"/>
        </w:rPr>
        <w:t xml:space="preserve">    </w:t>
      </w:r>
      <w:r>
        <w:rPr>
          <w:rFonts w:hint="eastAsia" w:ascii="仿宋" w:hAnsi="仿宋" w:eastAsia="仿宋" w:cs="仿宋"/>
          <w:color w:val="000000"/>
          <w:kern w:val="0"/>
          <w:sz w:val="32"/>
          <w:szCs w:val="32"/>
          <w:shd w:val="clear" w:color="auto" w:fill="FFFFFF"/>
        </w:rPr>
        <w:t>（3）企业品牌塑造工程成绩显著。多年来区政府通过文化产业专项资金鼓励企业以精品塑品牌，目前辖区创意设计、影视、新媒体服务都取得了较好的品牌效应。万科影视拍摄的电视剧《地下地上》获中宣部“五个一工程”奖，“万科影视出品”已成为业界的“金字招牌”。新经典广告制片厂制作的电影《走路上学》获金鸡奖和华表奖等，受到中央领导高度评价。由中国研成顾问机构打造的红岁、彩云红等高端品牌已经逐步被市场认可，公司创建出一种全新的“利用智力创意策划作价投资入股”的商业模式，已控股投资6 家集团公司，参股达39 家企业。</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sz w:val="32"/>
          <w:szCs w:val="32"/>
        </w:rPr>
      </w:pPr>
      <w:bookmarkStart w:id="9" w:name="_Toc416283715"/>
      <w:bookmarkStart w:id="10" w:name="_Toc425592500"/>
      <w:r>
        <w:rPr>
          <w:rFonts w:hint="eastAsia" w:ascii="仿宋" w:hAnsi="仿宋" w:eastAsia="仿宋" w:cs="仿宋"/>
          <w:color w:val="000000"/>
          <w:w w:val="90"/>
          <w:sz w:val="32"/>
          <w:szCs w:val="32"/>
          <w:lang w:val="en-US" w:eastAsia="zh-CN"/>
        </w:rPr>
        <w:t xml:space="preserve">    </w:t>
      </w:r>
      <w:r>
        <w:rPr>
          <w:rFonts w:hint="eastAsia" w:ascii="仿宋" w:hAnsi="仿宋" w:eastAsia="仿宋" w:cs="仿宋"/>
          <w:color w:val="000000"/>
          <w:sz w:val="32"/>
          <w:szCs w:val="32"/>
        </w:rPr>
        <w:t>2.文化产业增加值持续增长</w:t>
      </w:r>
      <w:bookmarkEnd w:id="9"/>
      <w:bookmarkEnd w:id="10"/>
    </w:p>
    <w:p>
      <w:pPr>
        <w:ind w:left="0" w:leftChars="0" w:firstLine="0" w:firstLineChars="0"/>
        <w:jc w:val="center"/>
        <w:rPr>
          <w:rFonts w:hint="eastAsia" w:eastAsia="宋体"/>
          <w:color w:val="000000"/>
          <w:sz w:val="32"/>
          <w:szCs w:val="32"/>
          <w:lang w:eastAsia="zh-CN"/>
        </w:rPr>
      </w:pPr>
      <w:r>
        <w:object>
          <v:shape id="_x0000_i1025" o:spt="75" type="#_x0000_t75" style="height:217.5pt;width:361.5pt;" o:ole="t" filled="f" coordsize="21600,21600" o:gfxdata="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">
            <v:path/>
            <v:fill on="f" focussize="0,0"/>
            <v:stroke/>
            <v:imagedata r:id="rId11" o:title=""/>
            <o:lock v:ext="edit" aspectratio="t"/>
            <w10:wrap type="none"/>
            <w10:anchorlock/>
          </v:shape>
          <o:OLEObject Type="Embed" ProgID="excel.sheet.8" ShapeID="_x0000_i1025" DrawAspect="Content" ObjectID="_1468075725" r:id="rId10">
            <o:LockedField>false</o:LockedField>
          </o:OLEObject>
        </w:obje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 xml:space="preserve">    </w:t>
      </w:r>
      <w:r>
        <w:rPr>
          <w:rFonts w:hint="eastAsia" w:ascii="仿宋" w:hAnsi="仿宋" w:eastAsia="仿宋" w:cs="仿宋"/>
          <w:color w:val="000000"/>
          <w:kern w:val="0"/>
          <w:sz w:val="32"/>
          <w:szCs w:val="32"/>
          <w:shd w:val="clear" w:color="auto" w:fill="FFFFFF"/>
        </w:rPr>
        <w:t>2013年，福田区文化产业实现跨越式发展，全年实现总收入1121.19亿元，首次突破千亿，占六大战略性新兴产业总收入的52.3%；增加值超过200亿元，占六大战略性新兴产业增加值的37.6%；规模以上企业数量达到473家。2013年，文化产业实现增加值204.19亿元，增长13.1%，占地区生产总值比重7.6%，对经济增长的贡献率为8.5%，拉动经济增长0.9个百分点。2014年，文化产业实现增加值 236.71 亿元，增长 10.7%，快于地区生产总值增速 1.8 个百分点，占地区生产总值比重的 8.0%，与 2010 年相比，提升 1.8 个百分点;其营业收入、增加值和企业数量均列六大产业之首，成为我区战略性新兴产业的生力军。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 xml:space="preserve">    </w:t>
      </w:r>
      <w:r>
        <w:rPr>
          <w:rFonts w:hint="eastAsia" w:ascii="仿宋" w:hAnsi="仿宋" w:eastAsia="仿宋" w:cs="仿宋"/>
          <w:color w:val="000000"/>
          <w:kern w:val="0"/>
          <w:sz w:val="32"/>
          <w:szCs w:val="32"/>
          <w:shd w:val="clear" w:color="auto" w:fill="FFFFFF"/>
        </w:rPr>
        <w:t>随着近几年福田区政府对文化产业的扶持和帮助，福田区文化产业总体规模已显，行业保持平衡增长。“十一五”期间福田区文化创意产业增加值由2006年的54.74亿元增加到2010年的114.5亿元，实现翻番。2012年进一步增加到168.57亿元，增加值占全区GDP比重由2006年的4.7%增加到2012年的7.1%，占全区战略性新兴产业的比重超过50%。涌现出深圳市英捷迅实业发展有限公司、深圳市广播电影电视集团、中通信息服务有限公司等一批高速增长的骨干企业，营业收入增速平均达27%，成为引领本区乃至全市文化创意产业发展中坚力量。文化创意产业已成为福田最活跃、最具竞争力的新兴产业之一，是福田区战略性新兴产业的支柱产业。</w:t>
      </w:r>
    </w:p>
    <w:p>
      <w:pPr>
        <w:spacing w:line="360" w:lineRule="auto"/>
        <w:ind w:left="0" w:leftChars="0" w:firstLine="0" w:firstLineChars="0"/>
        <w:rPr>
          <w:rFonts w:ascii="宋体"/>
          <w:color w:val="000000"/>
          <w:w w:val="90"/>
          <w:sz w:val="32"/>
          <w:szCs w:val="32"/>
        </w:rPr>
      </w:pPr>
      <w:r>
        <w:rPr>
          <w:rFonts w:ascii="宋体" w:hAnsi="Calibri" w:eastAsia="宋体" w:cs="Times New Roman"/>
          <w:color w:val="000000"/>
          <w:w w:val="90"/>
          <w:kern w:val="2"/>
          <w:sz w:val="32"/>
          <w:szCs w:val="32"/>
          <w:lang w:val="en-US" w:eastAsia="zh-CN" w:bidi="ar-SA"/>
        </w:rPr>
        <w:pict>
          <v:shape id="_x0000_i1026" o:spt="75" type="#_x0000_t75" style="height:177.75pt;width:351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pPr>
        <w:spacing w:line="360" w:lineRule="auto"/>
        <w:ind w:left="0" w:leftChars="0" w:firstLine="0" w:firstLineChars="0"/>
        <w:jc w:val="center"/>
        <w:rPr>
          <w:rFonts w:ascii="宋体"/>
          <w:color w:val="000000"/>
          <w:w w:val="90"/>
          <w:sz w:val="32"/>
          <w:szCs w:val="32"/>
        </w:rPr>
      </w:pPr>
      <w:r>
        <w:rPr>
          <w:rFonts w:hint="eastAsia" w:ascii="仿宋" w:hAnsi="仿宋" w:eastAsia="仿宋" w:cs="仿宋"/>
          <w:color w:val="000000"/>
          <w:w w:val="90"/>
          <w:sz w:val="32"/>
          <w:szCs w:val="32"/>
        </w:rPr>
        <w:t>图2 福田区战略性新兴产业比重分布</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hint="eastAsia" w:ascii="仿宋" w:hAnsi="仿宋" w:eastAsia="仿宋" w:cs="仿宋"/>
          <w:color w:val="000000"/>
          <w:sz w:val="32"/>
          <w:szCs w:val="32"/>
        </w:rPr>
      </w:pPr>
      <w:bookmarkStart w:id="11" w:name="_Toc425592501"/>
      <w:bookmarkStart w:id="12" w:name="_Toc416283716"/>
      <w:r>
        <w:rPr>
          <w:rFonts w:hint="eastAsia" w:ascii="仿宋" w:hAnsi="仿宋" w:eastAsia="仿宋" w:cs="仿宋"/>
          <w:color w:val="000000"/>
          <w:kern w:val="0"/>
          <w:sz w:val="32"/>
          <w:szCs w:val="32"/>
          <w:shd w:val="clear" w:color="auto" w:fill="FFFFFF"/>
          <w:lang w:val="en-US" w:eastAsia="zh-CN"/>
        </w:rPr>
        <w:t xml:space="preserve">    </w:t>
      </w:r>
      <w:r>
        <w:rPr>
          <w:rFonts w:hint="eastAsia" w:ascii="仿宋" w:hAnsi="仿宋" w:eastAsia="仿宋" w:cs="仿宋"/>
          <w:color w:val="000000"/>
          <w:sz w:val="32"/>
          <w:szCs w:val="32"/>
        </w:rPr>
        <w:t>3.四大产业圈示范作用明显</w:t>
      </w:r>
      <w:bookmarkEnd w:id="11"/>
      <w:bookmarkEnd w:id="12"/>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 xml:space="preserve">    </w:t>
      </w:r>
      <w:r>
        <w:rPr>
          <w:rFonts w:hint="eastAsia" w:ascii="仿宋" w:hAnsi="仿宋" w:eastAsia="仿宋" w:cs="仿宋"/>
          <w:color w:val="000000"/>
          <w:kern w:val="0"/>
          <w:sz w:val="32"/>
          <w:szCs w:val="32"/>
          <w:shd w:val="clear" w:color="auto" w:fill="FFFFFF"/>
        </w:rPr>
        <w:t>创新文化产业园区开发机制，拓展市场平台建设是福田文化产业发展的一大经验。以园区建设为突破口拓展产业发展空间，实现产业集聚发展、土地的集约利用。福田区政府按照从主要发展单个项目转到系统开发、整体布局，通过一些重大项目或龙头企业带动，打造产业链条形成集群式专业基地的思路，通过“厂房改造、产业置换”，加大“三旧”（旧工业区、旧厂房、旧城区）改造力度，为文化产业腾出发展空间，建成了田面设计之都创意产业园；出资收购原旧工业区厂房，实现产业转型升级，建立了深圳文化创意园；利用福田体育公园物业拓展文化产业空间，建立了中国（深圳）新媒体广告产业园。同时，政府提供配套服务，鼓励优势企业参与运营，形成政府、企业、市场相结合的文化产业园区开发机制。</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 xml:space="preserve">    </w:t>
      </w:r>
      <w:r>
        <w:rPr>
          <w:rFonts w:hint="eastAsia" w:ascii="仿宋" w:hAnsi="仿宋" w:eastAsia="仿宋" w:cs="仿宋"/>
          <w:color w:val="000000"/>
          <w:kern w:val="0"/>
          <w:sz w:val="32"/>
          <w:szCs w:val="32"/>
          <w:shd w:val="clear" w:color="auto" w:fill="FFFFFF"/>
        </w:rPr>
        <w:t>到目前为止，福田区形成了特色明显的四大文化产业圈。一是中心文化产业圈。利用中心区优势，大力整合资源，打造国际性传统文化集团总部聚集地，建立以会展服务、影视传媒业、创意设计等为核心，商务旅游业、酒店业、演艺业为支撑的文化产业体系；二是八卦岭文化产业圈。形成以印刷业为核心，文化产品物流业为支撑的文化产业体系；三是天安—泰然文化产业圈。发挥科技与文化产业相辅相成的优势，以文化与科技相结合为方向，重点发展数码娱乐和广告业；四是新洲南文化产业圈。以世纪工艺品文化广场为核心，形成集工艺品研发、鉴定、展览、展示、交易及加工、服务配套于一体的文化产业圈。</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 xml:space="preserve">    </w:t>
      </w:r>
      <w:r>
        <w:rPr>
          <w:rFonts w:hint="eastAsia" w:ascii="仿宋" w:hAnsi="仿宋" w:eastAsia="仿宋" w:cs="仿宋"/>
          <w:color w:val="000000"/>
          <w:kern w:val="0"/>
          <w:sz w:val="32"/>
          <w:szCs w:val="32"/>
          <w:shd w:val="clear" w:color="auto" w:fill="FFFFFF"/>
        </w:rPr>
        <w:t>这些文化产业圈带来的集聚效应和品牌效应，为福田区吸引更多的文化总部企业，使文化中介机构扎堆，继而为形成完整有序的文化产业链条创造了广阔的发展空间，为福田区文化产业的发展奠定了良好的基础，形成了明显的示范和带动效应。</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hint="eastAsia" w:ascii="仿宋" w:hAnsi="仿宋" w:eastAsia="仿宋" w:cs="仿宋"/>
          <w:color w:val="000000"/>
          <w:sz w:val="32"/>
          <w:szCs w:val="32"/>
        </w:rPr>
      </w:pPr>
      <w:bookmarkStart w:id="13" w:name="_Toc416283717"/>
      <w:bookmarkStart w:id="14" w:name="_Toc425592502"/>
      <w:r>
        <w:rPr>
          <w:rFonts w:hint="eastAsia" w:ascii="仿宋" w:hAnsi="仿宋" w:eastAsia="仿宋" w:cs="仿宋"/>
          <w:color w:val="000000"/>
          <w:kern w:val="0"/>
          <w:sz w:val="32"/>
          <w:szCs w:val="32"/>
          <w:shd w:val="clear" w:color="auto" w:fill="FFFFFF"/>
          <w:lang w:val="en-US" w:eastAsia="zh-CN"/>
        </w:rPr>
        <w:t xml:space="preserve">    </w:t>
      </w:r>
      <w:r>
        <w:rPr>
          <w:rFonts w:hint="eastAsia" w:ascii="仿宋" w:hAnsi="仿宋" w:eastAsia="仿宋" w:cs="仿宋"/>
          <w:color w:val="000000"/>
          <w:sz w:val="32"/>
          <w:szCs w:val="32"/>
        </w:rPr>
        <w:t>4.</w:t>
      </w:r>
      <w:bookmarkEnd w:id="13"/>
      <w:bookmarkEnd w:id="14"/>
      <w:r>
        <w:rPr>
          <w:rFonts w:hint="eastAsia" w:ascii="仿宋" w:hAnsi="仿宋" w:eastAsia="仿宋" w:cs="仿宋"/>
          <w:color w:val="000000"/>
          <w:sz w:val="32"/>
          <w:szCs w:val="32"/>
        </w:rPr>
        <w:t>产业结构持续调整与优化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文化产业发展能加速产业结构向服务型的转变。文化产业化使具有文化价值的文化资源成为具有经济价值的生产要素，参与生产、交换、分配、消费等社会再生产活动，文化产业成为整个产业结构、经济结构的组成部分，直接创造财富，改变生产总值的构成。从文化产业在整个产业结构中的地位看，2006年，福田区文化产业增加值为54.74亿元，占全区GDP的比重为4.7%；到2014年，文化产业增加值为236.71亿元，占全区GDP的比重为8.0%。这说明随着文化产业发展，其所创造的财富不断增加，直接改变整个产业结构的比例和关系，引起整个产业结构调整。同时，文化产业中各行业按照三次产业分类法分属第二、三产业，一般地，文化产品的制造业属于第二产业，文化产品的流通和文化服务属于第三产业，随着近几年福田区文化产业的快速发展，文化产业的基本态势是文化产业中第二产业比重逐步下降，第三产业比重逐步上升。因此，文化产业发展直接改变三次产业结构。同时，文化产业的增长速度要快于第三产业和GDP的增长速度，例如，初步核算，2014 年全区实现地区生产总值（现价,下同）295</w:t>
      </w:r>
      <w:r>
        <w:rPr>
          <w:rFonts w:hint="eastAsia" w:ascii="仿宋" w:hAnsi="仿宋" w:eastAsia="仿宋" w:cs="仿宋"/>
          <w:color w:val="000000"/>
          <w:kern w:val="0"/>
          <w:sz w:val="32"/>
          <w:szCs w:val="32"/>
          <w:shd w:val="clear" w:color="auto" w:fill="FFFFFF"/>
          <w:lang w:val="en-US" w:eastAsia="zh-CN"/>
        </w:rPr>
        <w:t>9.04</w:t>
      </w:r>
      <w:r>
        <w:rPr>
          <w:rFonts w:hint="eastAsia" w:ascii="仿宋" w:hAnsi="仿宋" w:eastAsia="仿宋" w:cs="仿宋"/>
          <w:color w:val="000000"/>
          <w:kern w:val="0"/>
          <w:sz w:val="32"/>
          <w:szCs w:val="32"/>
          <w:shd w:val="clear" w:color="auto" w:fill="FFFFFF"/>
        </w:rPr>
        <w:t>亿元，比上年增长（可比价，下同）8.9%，经济总量迈上 2900 亿元台阶，向 3000 亿元迈进。第三产业实现增加值 2756.</w:t>
      </w:r>
      <w:r>
        <w:rPr>
          <w:rFonts w:hint="eastAsia" w:ascii="仿宋" w:hAnsi="仿宋" w:eastAsia="仿宋" w:cs="仿宋"/>
          <w:color w:val="000000"/>
          <w:kern w:val="0"/>
          <w:sz w:val="32"/>
          <w:szCs w:val="32"/>
          <w:shd w:val="clear" w:color="auto" w:fill="FFFFFF"/>
          <w:lang w:val="en-US" w:eastAsia="zh-CN"/>
        </w:rPr>
        <w:t>80</w:t>
      </w:r>
      <w:r>
        <w:rPr>
          <w:rFonts w:hint="eastAsia" w:ascii="仿宋" w:hAnsi="仿宋" w:eastAsia="仿宋" w:cs="仿宋"/>
          <w:color w:val="000000"/>
          <w:kern w:val="0"/>
          <w:sz w:val="32"/>
          <w:szCs w:val="32"/>
          <w:shd w:val="clear" w:color="auto" w:fill="FFFFFF"/>
        </w:rPr>
        <w:t xml:space="preserve"> 亿元，增长 9.2%，对经济增长贡献率为 95.5%，拉动经济增长 8.5 个百分点。而同期文化产业实现了10.7的增长速度，高于GDP和第三产业近2个百分点。因此，发展文化产业能较快地引起整个产业结构向服务型转变。文化产业的快速发展，使得福田区的产业结构持续优化，产业空间不断提升。</w:t>
      </w:r>
    </w:p>
    <w:p>
      <w:pPr>
        <w:rPr>
          <w:rFonts w:hint="eastAsia"/>
        </w:rPr>
      </w:pPr>
    </w:p>
    <w:p>
      <w:pPr>
        <w:spacing w:line="360" w:lineRule="auto"/>
        <w:ind w:left="0" w:leftChars="0" w:firstLine="0" w:firstLineChars="0"/>
        <w:jc w:val="center"/>
        <w:rPr>
          <w:rFonts w:hint="eastAsia" w:ascii="仿宋" w:hAnsi="仿宋" w:eastAsia="仿宋" w:cs="仿宋"/>
          <w:color w:val="000000"/>
          <w:w w:val="90"/>
          <w:sz w:val="32"/>
          <w:szCs w:val="32"/>
        </w:rPr>
      </w:pPr>
      <w:r>
        <w:rPr>
          <w:rFonts w:hint="eastAsia" w:ascii="仿宋" w:hAnsi="仿宋" w:eastAsia="仿宋" w:cs="仿宋"/>
          <w:color w:val="000000"/>
          <w:w w:val="90"/>
          <w:sz w:val="32"/>
          <w:szCs w:val="32"/>
        </w:rPr>
        <w:t>表1 “十一五”以来福田区文化产业相关指标</w:t>
      </w:r>
    </w:p>
    <w:tbl>
      <w:tblPr>
        <w:tblStyle w:val="22"/>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855"/>
        <w:gridCol w:w="882"/>
        <w:gridCol w:w="873"/>
        <w:gridCol w:w="765"/>
        <w:gridCol w:w="825"/>
        <w:gridCol w:w="780"/>
        <w:gridCol w:w="777"/>
        <w:gridCol w:w="735"/>
        <w:gridCol w:w="82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54" w:type="dxa"/>
            <w:vAlign w:val="center"/>
          </w:tcPr>
          <w:p>
            <w:pPr>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年份</w:t>
            </w:r>
          </w:p>
        </w:tc>
        <w:tc>
          <w:tcPr>
            <w:tcW w:w="855"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201</w:t>
            </w:r>
            <w:r>
              <w:rPr>
                <w:rFonts w:hint="eastAsia" w:ascii="仿宋" w:hAnsi="仿宋" w:eastAsia="仿宋" w:cs="仿宋"/>
                <w:color w:val="000000"/>
                <w:sz w:val="21"/>
                <w:szCs w:val="21"/>
                <w:lang w:val="en-US" w:eastAsia="zh-CN"/>
              </w:rPr>
              <w:t>5</w:t>
            </w:r>
          </w:p>
        </w:tc>
        <w:tc>
          <w:tcPr>
            <w:tcW w:w="882"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2014</w:t>
            </w:r>
          </w:p>
        </w:tc>
        <w:tc>
          <w:tcPr>
            <w:tcW w:w="873"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2013</w:t>
            </w:r>
          </w:p>
        </w:tc>
        <w:tc>
          <w:tcPr>
            <w:tcW w:w="765"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2012</w:t>
            </w:r>
          </w:p>
        </w:tc>
        <w:tc>
          <w:tcPr>
            <w:tcW w:w="825"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2011</w:t>
            </w:r>
          </w:p>
        </w:tc>
        <w:tc>
          <w:tcPr>
            <w:tcW w:w="780"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2010</w:t>
            </w:r>
          </w:p>
        </w:tc>
        <w:tc>
          <w:tcPr>
            <w:tcW w:w="777"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2009</w:t>
            </w:r>
          </w:p>
        </w:tc>
        <w:tc>
          <w:tcPr>
            <w:tcW w:w="735"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2008</w:t>
            </w:r>
          </w:p>
        </w:tc>
        <w:tc>
          <w:tcPr>
            <w:tcW w:w="828"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2007</w:t>
            </w:r>
          </w:p>
        </w:tc>
        <w:tc>
          <w:tcPr>
            <w:tcW w:w="780"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54" w:type="dxa"/>
            <w:vAlign w:val="center"/>
          </w:tcPr>
          <w:p>
            <w:pPr>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增加值</w:t>
            </w:r>
          </w:p>
          <w:p>
            <w:pPr>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（亿元）</w:t>
            </w:r>
          </w:p>
        </w:tc>
        <w:tc>
          <w:tcPr>
            <w:tcW w:w="855"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273.52</w:t>
            </w:r>
          </w:p>
        </w:tc>
        <w:tc>
          <w:tcPr>
            <w:tcW w:w="882" w:type="dxa"/>
            <w:vAlign w:val="center"/>
          </w:tcPr>
          <w:p>
            <w:pPr>
              <w:ind w:left="0" w:leftChars="0" w:firstLine="0" w:firstLineChars="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236.71</w:t>
            </w:r>
          </w:p>
        </w:tc>
        <w:tc>
          <w:tcPr>
            <w:tcW w:w="873"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204.19</w:t>
            </w:r>
          </w:p>
        </w:tc>
        <w:tc>
          <w:tcPr>
            <w:tcW w:w="765"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168.8</w:t>
            </w:r>
          </w:p>
        </w:tc>
        <w:tc>
          <w:tcPr>
            <w:tcW w:w="825"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135.0</w:t>
            </w:r>
          </w:p>
        </w:tc>
        <w:tc>
          <w:tcPr>
            <w:tcW w:w="780"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114.5</w:t>
            </w:r>
          </w:p>
        </w:tc>
        <w:tc>
          <w:tcPr>
            <w:tcW w:w="777"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.0</w:t>
            </w:r>
          </w:p>
        </w:tc>
        <w:tc>
          <w:tcPr>
            <w:tcW w:w="735"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79.8</w:t>
            </w:r>
          </w:p>
        </w:tc>
        <w:tc>
          <w:tcPr>
            <w:tcW w:w="828"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70.26</w:t>
            </w:r>
          </w:p>
        </w:tc>
        <w:tc>
          <w:tcPr>
            <w:tcW w:w="780"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54.74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54" w:type="dxa"/>
            <w:vAlign w:val="center"/>
          </w:tcPr>
          <w:p>
            <w:pPr>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占全区GDP比重（%）</w:t>
            </w:r>
          </w:p>
        </w:tc>
        <w:tc>
          <w:tcPr>
            <w:tcW w:w="855"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8.4</w:t>
            </w:r>
          </w:p>
        </w:tc>
        <w:tc>
          <w:tcPr>
            <w:tcW w:w="882" w:type="dxa"/>
            <w:vAlign w:val="center"/>
          </w:tcPr>
          <w:p>
            <w:pPr>
              <w:ind w:left="0" w:leftChars="0" w:firstLine="0" w:firstLineChars="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8.0</w:t>
            </w:r>
          </w:p>
        </w:tc>
        <w:tc>
          <w:tcPr>
            <w:tcW w:w="873"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7.6</w:t>
            </w:r>
          </w:p>
        </w:tc>
        <w:tc>
          <w:tcPr>
            <w:tcW w:w="765"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7.1</w:t>
            </w:r>
          </w:p>
        </w:tc>
        <w:tc>
          <w:tcPr>
            <w:tcW w:w="825"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6.4</w:t>
            </w:r>
          </w:p>
        </w:tc>
        <w:tc>
          <w:tcPr>
            <w:tcW w:w="780"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6.3</w:t>
            </w:r>
          </w:p>
        </w:tc>
        <w:tc>
          <w:tcPr>
            <w:tcW w:w="777"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w:t>
            </w:r>
            <w:r>
              <w:rPr>
                <w:rFonts w:hint="eastAsia" w:ascii="仿宋" w:hAnsi="仿宋" w:eastAsia="仿宋" w:cs="仿宋"/>
                <w:color w:val="000000"/>
                <w:sz w:val="21"/>
                <w:szCs w:val="21"/>
                <w:lang w:val="en-US" w:eastAsia="zh-CN"/>
              </w:rPr>
              <w:t>2</w:t>
            </w:r>
          </w:p>
        </w:tc>
        <w:tc>
          <w:tcPr>
            <w:tcW w:w="735"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5.3</w:t>
            </w:r>
          </w:p>
        </w:tc>
        <w:tc>
          <w:tcPr>
            <w:tcW w:w="828"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5.4</w:t>
            </w:r>
          </w:p>
        </w:tc>
        <w:tc>
          <w:tcPr>
            <w:tcW w:w="780"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54" w:type="dxa"/>
            <w:vAlign w:val="center"/>
          </w:tcPr>
          <w:p>
            <w:pPr>
              <w:spacing w:line="24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占全市文化创意产业增加值比重（%）</w:t>
            </w:r>
          </w:p>
        </w:tc>
        <w:tc>
          <w:tcPr>
            <w:tcW w:w="855" w:type="dxa"/>
            <w:vAlign w:val="center"/>
          </w:tcPr>
          <w:p>
            <w:pPr>
              <w:ind w:left="0" w:lef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15.6</w:t>
            </w:r>
          </w:p>
        </w:tc>
        <w:tc>
          <w:tcPr>
            <w:tcW w:w="882" w:type="dxa"/>
            <w:vAlign w:val="center"/>
          </w:tcPr>
          <w:p>
            <w:pPr>
              <w:ind w:left="0" w:leftChars="0" w:firstLine="0" w:firstLineChars="0"/>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15.2</w:t>
            </w:r>
          </w:p>
        </w:tc>
        <w:tc>
          <w:tcPr>
            <w:tcW w:w="873"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13.0</w:t>
            </w:r>
          </w:p>
        </w:tc>
        <w:tc>
          <w:tcPr>
            <w:tcW w:w="765"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15.3</w:t>
            </w:r>
          </w:p>
        </w:tc>
        <w:tc>
          <w:tcPr>
            <w:tcW w:w="825"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17.5</w:t>
            </w:r>
          </w:p>
        </w:tc>
        <w:tc>
          <w:tcPr>
            <w:tcW w:w="780"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17.9</w:t>
            </w:r>
          </w:p>
        </w:tc>
        <w:tc>
          <w:tcPr>
            <w:tcW w:w="777"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19.7</w:t>
            </w:r>
          </w:p>
        </w:tc>
        <w:tc>
          <w:tcPr>
            <w:tcW w:w="735"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15.8</w:t>
            </w:r>
          </w:p>
        </w:tc>
        <w:tc>
          <w:tcPr>
            <w:tcW w:w="828"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15.1</w:t>
            </w:r>
          </w:p>
        </w:tc>
        <w:tc>
          <w:tcPr>
            <w:tcW w:w="780" w:type="dxa"/>
            <w:vAlign w:val="center"/>
          </w:tcPr>
          <w:p>
            <w:pPr>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14.3</w:t>
            </w:r>
          </w:p>
        </w:tc>
      </w:tr>
    </w:tbl>
    <w:p>
      <w:pPr>
        <w:pStyle w:val="1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hint="eastAsia" w:ascii="仿宋" w:hAnsi="仿宋" w:eastAsia="仿宋" w:cs="仿宋"/>
          <w:color w:val="000000"/>
          <w:sz w:val="32"/>
          <w:szCs w:val="32"/>
          <w:lang w:val="en-US" w:eastAsia="zh-CN"/>
        </w:rPr>
      </w:pPr>
      <w:bookmarkStart w:id="15" w:name="_Toc416283718"/>
      <w:bookmarkStart w:id="16" w:name="_Toc425592503"/>
      <w:r>
        <w:rPr>
          <w:rFonts w:hint="eastAsia" w:ascii="仿宋" w:hAnsi="仿宋" w:eastAsia="仿宋" w:cs="仿宋"/>
          <w:color w:val="000000"/>
          <w:sz w:val="32"/>
          <w:szCs w:val="32"/>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5.产业与博览互补日益紧密</w:t>
      </w:r>
      <w:bookmarkEnd w:id="15"/>
      <w:bookmarkEnd w:id="1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文化进入产业发展阶段，产生文化经济，增强产业软实力；产业借力文化，提升文化产业内涵，形成文化产业良好品牌。福田区始终致力于办好“文博会”，借助“文博会”、“创博会”、“埃迪优国际设计大赛”、“室内设计文化节”、“艾特奖”和“福田国际服饰文化旅游节”等活动，创设新的文化创意产业集聚链，实现产业串联，促使产业产生群聚效应，促进资源、人力和技术相互支持、激励创意，推动跨行业整合，促进文化创意产业整体发展，提升产业竞争优势。充分展示建设“首善之区，幸福福田”，打造文化创意先锋城区的文化产业发展成果，更好地提升文化企业的内涵质量和交易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2014年5月15日上午，第十届文博会在深圳会展中心开幕。福田区以“创新驱动”为主题，以“文化筑梦·产业成真”为目标，精心组织17家文化企业进入主展馆福田展区，分设7个分会场及9个专项活动，各类活动累计多达118项。借助文博会的大平台，福田区将文化产业作为提升区域核心竞争力的主要推手，积极对文化产业进行规划、培育和扶持，打造文化创意先锋城区和文化产业聚集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近几年来，借助文博会大平台，福田文化产业呈现出健康快速发展的形势，形成了以创意设计为龙头，新媒体广告、动漫游戏、影视演绎、数字化服务、时尚文化等新兴文化产业等多元发展的良好格局，实现由“制造”向“智造”的转变。福田文化产业核心优势和品牌影响不断增强，集聚效应持续放大。文化产业已成为福田区最活跃、最具竞争力的战略性新兴支柱产业。</w:t>
      </w:r>
    </w:p>
    <w:p>
      <w:pPr>
        <w:pStyle w:val="1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hint="eastAsia" w:ascii="仿宋" w:hAnsi="仿宋" w:eastAsia="仿宋" w:cs="仿宋"/>
          <w:color w:val="000000"/>
          <w:sz w:val="32"/>
          <w:szCs w:val="32"/>
        </w:rPr>
      </w:pPr>
      <w:bookmarkStart w:id="17" w:name="_Toc416283719"/>
      <w:bookmarkStart w:id="18" w:name="_Toc425592504"/>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6.优质企业规模正不断扩大</w:t>
      </w:r>
      <w:bookmarkEnd w:id="17"/>
      <w:bookmarkEnd w:id="1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作为中心城区，福田发展文化产业优势明显，基础支撑牢固。据不完全统计，在福田注册登记的文化产业法人单位超过4000家，其中年营业收入1500万元以上企业147家，超亿元企业31家，文化产业从业人员8万人，文化企业资产总计400亿元，特别是集中了全国近40％的设计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良好的产业生态环境，自然使福田成为文化企业垂青的总部基地和发展“孵化器”，在不久前市政府召开的重点文化企业座谈会上，就有一半的企业来自福田，福田区涌现出了深圳市英捷迅实业发展有限公司、深圳市广播电影电视集团、深圳报业集团、中通信息服务有限公司、华视传媒集团有限公司等一批快速发展的骨干企业，成为引领地区文化创意产业发展的中坚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与传统文化企业不同，福田区聚集了一批像华视传媒这样的文化产业新型业态企业，他们一个共同特点就是：注重创新，整合资源，开创新技术、新平台、新渠道、新模式，特别是强调智力投入和人才战略，将传统文化和现代科技相结合，走出了一条低投入、高价值的高端发展之路，抢占了产业链“微笑曲线”的两端。据了解，华视传媒作为获得福田区文化产业专项资金扶持的首批文化企业，是国内户外数字电视广告的领头羊，华视传媒仅用两年多时间就于2007年登陆美国纳斯达克。2009年又斥资1.6亿美元收购了全国最大的地铁电视运营商上海数码媒体集团，实现公交+地铁、地上地下连横贯通，整合成为全球最大移动电视经营网络。2010年，公司成为年度最具影响力传媒机构和中国最具投资价值媒体。而宜搜是国内领先的无线搜索服务提供商，拥有当今最先进的无线数据应用技术和强大的智能搜索系统，有过百人的专业产品研发团队，独创了移动搜索算法技术。其广告服务推出了固定排名、滚动排名等产品，日均访问量达3500万人次，很好地将无线网络技术与传统广告业结合起来。据悉，公司创立仅四年，2008年实现营业收入500多万元，而2009年增长到4000多万元，翻了８倍，可以说表现出超乎想象的发展潜力。</w:t>
      </w:r>
    </w:p>
    <w:p>
      <w:pPr>
        <w:pStyle w:val="1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hint="eastAsia" w:ascii="仿宋" w:hAnsi="仿宋" w:eastAsia="仿宋" w:cs="仿宋"/>
          <w:color w:val="000000"/>
          <w:sz w:val="32"/>
          <w:szCs w:val="32"/>
        </w:rPr>
      </w:pPr>
      <w:bookmarkStart w:id="19" w:name="_Toc416283720"/>
      <w:bookmarkStart w:id="20" w:name="_Toc425592505"/>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7.研发资金投入大幅度提升</w:t>
      </w:r>
      <w:bookmarkEnd w:id="19"/>
      <w:bookmarkEnd w:id="2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福田区在文化产业发展的过程中，特别注重对文化产业的研究与开发，研发资金逐年上升。但是，和其他区相比，还是存在不足，需要进一步投入研发资金，鼓励文化产业的发展，为文化产业的发展提供充足的资金支持。根据2013年深圳市科技统计情况，福田区R&amp;D（指“研究与开发”、“研究与发展”或“研究与实验性发展”）投入134081万元，投入强度为0.5%，落后于南山、龙岗、宝安等区，而R&amp;D投入在超过半数为工业企业投入，非工企业特别是文化产业R&amp;D投入甚少，这制约了产业创新发展。福田区政府在“十三五”发展文化产业过程中，应该大力增加研发资金，从基础研究的角度拓宽文化产业的内涵与广度，并且鼓励文化企业增加研发基金，从资金投入的角度增加研发资金的比重。</w:t>
      </w:r>
    </w:p>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表2 2013年全市科技活动情况</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地区</w:t>
            </w:r>
          </w:p>
        </w:tc>
        <w:tc>
          <w:tcPr>
            <w:tcW w:w="3260"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R&amp;D支出（万元）</w:t>
            </w:r>
          </w:p>
        </w:tc>
        <w:tc>
          <w:tcPr>
            <w:tcW w:w="3311"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投入强度（%）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全市</w:t>
            </w:r>
          </w:p>
        </w:tc>
        <w:tc>
          <w:tcPr>
            <w:tcW w:w="3260"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5846115</w:t>
            </w:r>
          </w:p>
        </w:tc>
        <w:tc>
          <w:tcPr>
            <w:tcW w:w="3311"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罗湖区</w:t>
            </w:r>
          </w:p>
        </w:tc>
        <w:tc>
          <w:tcPr>
            <w:tcW w:w="3260"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13888</w:t>
            </w:r>
          </w:p>
        </w:tc>
        <w:tc>
          <w:tcPr>
            <w:tcW w:w="3311"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1"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福田区</w:t>
            </w:r>
          </w:p>
        </w:tc>
        <w:tc>
          <w:tcPr>
            <w:tcW w:w="3260"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134081</w:t>
            </w:r>
          </w:p>
        </w:tc>
        <w:tc>
          <w:tcPr>
            <w:tcW w:w="3311"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南山区</w:t>
            </w:r>
          </w:p>
        </w:tc>
        <w:tc>
          <w:tcPr>
            <w:tcW w:w="3260"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1598060</w:t>
            </w:r>
          </w:p>
        </w:tc>
        <w:tc>
          <w:tcPr>
            <w:tcW w:w="3311"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盐田区</w:t>
            </w:r>
          </w:p>
        </w:tc>
        <w:tc>
          <w:tcPr>
            <w:tcW w:w="3260"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2051</w:t>
            </w:r>
          </w:p>
        </w:tc>
        <w:tc>
          <w:tcPr>
            <w:tcW w:w="3311"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宝安区</w:t>
            </w:r>
          </w:p>
        </w:tc>
        <w:tc>
          <w:tcPr>
            <w:tcW w:w="3260"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604524</w:t>
            </w:r>
          </w:p>
        </w:tc>
        <w:tc>
          <w:tcPr>
            <w:tcW w:w="3311" w:type="dxa"/>
            <w:vAlign w:val="center"/>
          </w:tcPr>
          <w:p>
            <w:pPr>
              <w:ind w:left="0" w:leftChars="0"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2.97</w:t>
            </w:r>
          </w:p>
        </w:tc>
      </w:tr>
    </w:tbl>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sz w:val="32"/>
          <w:szCs w:val="32"/>
        </w:rPr>
      </w:pPr>
      <w:bookmarkStart w:id="21" w:name="_Toc425592506"/>
      <w:bookmarkStart w:id="22" w:name="_Toc416283721"/>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8.产业基金的带动作用增强</w:t>
      </w:r>
      <w:bookmarkEnd w:id="21"/>
      <w:bookmarkEnd w:id="22"/>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福田区制定了一系列吸引和鼓励文化产业发展的政策，率先出台经济发展资金扶持文化产业发展实施细则，并为文化产业送政策送服务，出台了《福田区产业发展专项基金支持文化产业实施细则》，加大专项资金发放力度，用好用活专项资金，大力扶持有潜力、成长性好的企业，积极扶持一批文化产业企业做强做大。</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福田区政府文化产业资金每年投入5000万元支持文化企业；对经市区两级政府认定的总部文化企业给予每年不超过300万元的资助；对符合条件的创意设计、广告策划、动漫、影视制作、网络游戏等文化企业，给予最高200万元的扶持或奖励。为了让企业得到最直接的帮助，福田区在2009—2010年度计划安排6.9亿元直接资助辖区企业，总部型文化企业、研发型文化企业和民营文化企业将从中受惠。为促进包括新业态文化企业在内的产业创新，福田区将与深圳市创新投资集团有限公司合作设立1亿元的创新型企业风险投资基金。对于投资福田区初创期或发展中期创新型中小企业的创投企业，政府将按照其实际完成投资额的10％给予奖励，最高达50万元。</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sz w:val="32"/>
          <w:szCs w:val="32"/>
        </w:rPr>
      </w:pPr>
      <w:bookmarkStart w:id="23" w:name="_Toc425592507"/>
      <w:bookmarkStart w:id="24" w:name="_Toc416283722"/>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9.创意企业竞争力不断强化</w:t>
      </w:r>
      <w:bookmarkEnd w:id="23"/>
      <w:bookmarkEnd w:id="24"/>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在福田区文化产业发展过程中，创意对创意企业的引领作用十分明显，“文化+创意”的特色十分突出，创意设计类企业迅猛发展，创意企业竞争力不断增强，为文化产业的发展注入了新的活力。在福田创意企业中，创意设计理念渗透到文化创意企业的生产、制造、传播、营销的全过程，极大地提升了创意企业的文化含量和文化附加值，不断强化创意企业的竞争力。福田区的创意企业数量在全深圳各区中最多，一批具有一定规模和影响力，具有竞争力的创意企业在福田区日益壮大，起到了良好的示范效应和产业拉动作用。</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从企业的发展情况来看最能说明福田区文化创意企业的发展状况，也最能体现出文化创意企业的竞争力。采纳、泰禾都是国内著名的品牌营销策划推广机构。采纳提供品牌策划、广告策划等全系列策划服务，连续6年被评为中国大陆最具创作实力公司50强、连续五届荣获中国企业十大著名策划案例奖。泰禾荣获“中国一级广告企业”的称号，其独具特色的创意型广告，一举斩获广东省第十六届优秀广告作品影视类金、银、铜奖。易尚展示是一家致力于品牌形象展示的整体设计策划，多媒体信息化展示研究与建设的文化企业，为大品牌企业提供形象设计、品牌展示、活动策划及工程制作等一体化的高端服务。这些创意企业只是福田区文化产业发展的一个缩影，创意企业在发展过程中所具备的发展潜力和竞争力，是政府扶持创意企业发展的一个参考标准，政府一直致力于培育具有强大竞争力的创意企业。</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sz w:val="32"/>
          <w:szCs w:val="32"/>
        </w:rPr>
      </w:pPr>
      <w:bookmarkStart w:id="25" w:name="_Toc416283723"/>
      <w:bookmarkStart w:id="26" w:name="_Toc425592508"/>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10.文化产业贡献力逐年提升</w:t>
      </w:r>
      <w:bookmarkEnd w:id="25"/>
      <w:bookmarkEnd w:id="26"/>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2011年文化创意产业实现营业收入628亿元，同比增长16.9%（未剔除价格因素的影响，下同）；实现增加值135亿元，增长17.9%，剔除物价因素后增长12.8%,比同期地区生产总值增长速度高出4.3个百分点。文化产业增加值占地区生产总值比重为6.4%，比上年提高0.2个百分点。2012年，文化创意产业实现增加值168.57亿元，增长11.0%，快于GDP增速2.0个百分点，占地区生产总值的7.1 %。2013年，福田区文化产业实现增加值255.15亿元，增长13.1%，占地区生产总值比重9.5%，对经济增长的贡献率为8.5%，拉动经济增长0.9个百分点。2014年，福田区文化创意产业实现增加值341.06亿元，比上年增长21.2%，高出同期GDP增速12.3个百分点，占GDP比重11.5%，较上年提高2.1个百分点，拉动福田区经济增长2.3个百分点，对经济增长的贡献率为25.6%。从这些数据我们不难发现，福田区文化产业增加值逐年提升，对全区GDP的贡献力逐年提升。文化创意产业引领创新发展、推动经济转型升级的特点日益凸显，逐渐成为福田区产业转型升级的有力助推器和科技创新的领跑者，推动福田经济质量不断提升。</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27" w:name="_Toc425592509"/>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(二) 发展环境</w:t>
      </w:r>
      <w:bookmarkEnd w:id="27"/>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sz w:val="32"/>
          <w:szCs w:val="32"/>
        </w:rPr>
      </w:pPr>
      <w:bookmarkStart w:id="28" w:name="_Toc416283724"/>
      <w:bookmarkStart w:id="29" w:name="_Toc425592510"/>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1.综合环境的高品质引领</w:t>
      </w:r>
      <w:bookmarkEnd w:id="28"/>
      <w:bookmarkEnd w:id="29"/>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高品质的综合环境可以塑造更优质的文化产业发展空间，营造高品质文化产业发展大环境。福田区六届二次党代会和区“两会”就提出要打造高品质综合环境，全面建设一流国际化中心城区的目标，同时出台了《关于打造高品质综合环境加快建设一流国际化中心城区的决定》，确立了以法治环境、营商环境、人文环境和生态环境四大领域为重点的综合环境建设；推出了高品质综合环境评价指标体系；并明确到2020年，建立与一流国际化中心城区相匹配、健全完善的高品质综合环境建设、监测、评价标准体系，提升区域价值，释放环境红利，率先形成一流国际化中心城区的高品质环境。</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sz w:val="32"/>
          <w:szCs w:val="32"/>
        </w:rPr>
      </w:pPr>
      <w:bookmarkStart w:id="30" w:name="_Toc416283725"/>
      <w:bookmarkStart w:id="31" w:name="_Toc425592511"/>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2.法治环境成为发展前提</w:t>
      </w:r>
      <w:bookmarkEnd w:id="30"/>
      <w:bookmarkEnd w:id="31"/>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bookmarkStart w:id="32" w:name="_Toc425592512"/>
      <w:bookmarkStart w:id="33" w:name="_Toc416283726"/>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良好的法制环境是文化创意产业发展的发展前提。2014年我区出台的《关于打造高品质综合环境，加快建设一流国际化中心城区的决定》中，提出公平公正的法治环境是高品质综合环境的重要前提，要着力打造依法行政、司法公正、全民用法的法治环境，让一流法治成为福田新时期最为显著的城市特质。福田区六次党代会也提出建设法治城区的战略目标:“坚持依法治区，崇尚法治精神，党委引领，政府先行，积极营造学法守法用法、重信诚信守信的良好社会氛围，率先在创新社会管理上取得新突破，让公众有序参与社会事务，让居民群众享有平安环境，力争五年之内奠定国际化先导城区所必需的法治化基础。”</w:t>
      </w:r>
      <w:r>
        <w:rPr>
          <w:rFonts w:hint="eastAsia" w:ascii="仿宋" w:hAnsi="仿宋" w:eastAsia="仿宋" w:cs="仿宋"/>
          <w:bCs/>
          <w:color w:val="000000"/>
          <w:kern w:val="0"/>
          <w:sz w:val="32"/>
          <w:szCs w:val="32"/>
          <w:shd w:val="clear" w:color="auto" w:fill="FFFFFF"/>
        </w:rPr>
        <w:t>在整个福田区的大法制环境下，文化产业法制建设也不断推陈出新。政策上，2015年4月出台了《福田区文化创意产业园区认定与管理暂行办法》规范了文化产业园区的发展和管理；法制宣传活动上，2015年4月在华强广场举行的福田区保护知识产权宣传周主题宣传活动普及了知识产权法律知识，增强了社会保护知识产权的意识，为福田区文化产业发展营造了良好的法制环境。</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3.营商环境完善发展条件</w:t>
      </w:r>
      <w:bookmarkEnd w:id="32"/>
      <w:bookmarkEnd w:id="33"/>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福田区不断致力于</w:t>
      </w:r>
      <w:r>
        <w:rPr>
          <w:rFonts w:hint="eastAsia" w:ascii="仿宋" w:hAnsi="仿宋" w:eastAsia="仿宋" w:cs="仿宋"/>
          <w:bCs/>
          <w:color w:val="000000"/>
          <w:kern w:val="0"/>
          <w:sz w:val="32"/>
          <w:szCs w:val="32"/>
          <w:shd w:val="clear" w:color="auto" w:fill="FFFFFF"/>
        </w:rPr>
        <w:t>打造适合创新发展的营商环境，坚持高端聚集，创新驱动，为文化企业发展提供了发展条件。</w:t>
      </w:r>
      <w:r>
        <w:rPr>
          <w:rFonts w:hint="eastAsia" w:ascii="仿宋" w:hAnsi="仿宋" w:eastAsia="仿宋" w:cs="仿宋"/>
          <w:color w:val="000000"/>
          <w:kern w:val="0"/>
          <w:sz w:val="32"/>
          <w:szCs w:val="32"/>
          <w:shd w:val="clear" w:color="auto" w:fill="FFFFFF"/>
        </w:rPr>
        <w:t>福田区全面深化改革，一直将企业服务视为福田区经济发展中的关键，着力建设服务型政府。比如，福田区以“两集中、两到位”为突破口，全面优化行政审批服务，减少审批材料724项，减少审批环节252个，办理期限提速52%；实行“零收费”改革项目，每年可为辖区企业、居民节省费用约1100万元，惠及居民约19万人次；全面展开企业服务标准体系建设工作，系统设计总体框架，确定了“标准设计--试点运行--全面推广”的三步走战略，初步形成标准体系制度文件，为福田推行标准化服务提供了制度基础，2014年4月，该标准被纳入国家试点；福田还发布了包含15项指标的营商环境指标体系，另附指标目标值、参考值、落实牵头单位等数据。</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34" w:name="_Toc425592513"/>
      <w:bookmarkStart w:id="35" w:name="_Toc416283727"/>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4.人文环境塑造创意氛围</w:t>
      </w:r>
      <w:bookmarkEnd w:id="34"/>
      <w:bookmarkEnd w:id="35"/>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福田区优秀的文化底蕴、独特的人文精神、良好的创新环境等使得区内创意氛围浓厚。其开放包容的创意气息不断吸引了众多优秀文化企业入驻；其展现出的创意气息充满活力和生机，吸引着全国各地甚至国外的一群优秀创意人才。区政府通过举办国际创新大赛、文化创意大赛，营造创新创意氛围，吸引创客人才集聚福田。同时，建设“点线世界”创客综合服务站，提供创新创意项目孵化与对接空间，服务创新项目成长发展。并设立创新创意引导基金，为创新创意产业发展提供政策资金支持，全面部署“创客战略”，让创新进一步驱动经济发展等。同时，福田区</w:t>
      </w:r>
      <w:r>
        <w:rPr>
          <w:rFonts w:hint="eastAsia" w:ascii="仿宋" w:hAnsi="仿宋" w:eastAsia="仿宋" w:cs="仿宋"/>
          <w:bCs/>
          <w:color w:val="000000"/>
          <w:kern w:val="0"/>
          <w:sz w:val="32"/>
          <w:szCs w:val="32"/>
          <w:shd w:val="clear" w:color="auto" w:fill="FFFFFF"/>
        </w:rPr>
        <w:t>还开发出了多项公益慈善优秀项目，例如：</w:t>
      </w:r>
      <w:r>
        <w:rPr>
          <w:rFonts w:hint="eastAsia" w:ascii="仿宋" w:hAnsi="仿宋" w:eastAsia="仿宋" w:cs="仿宋"/>
          <w:color w:val="000000"/>
          <w:kern w:val="0"/>
          <w:sz w:val="32"/>
          <w:szCs w:val="32"/>
          <w:shd w:val="clear" w:color="auto" w:fill="FFFFFF"/>
        </w:rPr>
        <w:t>深圳社会组织总部基地、青年驿站、社区未成年人法律素质提升项目和福田微公益等，这些都展现出了福田区开放创新、包容和谐的人文环境。</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36" w:name="_Toc425592514"/>
      <w:bookmarkStart w:id="37" w:name="_Toc416283728"/>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5.生态环境优化产业基础</w:t>
      </w:r>
      <w:bookmarkEnd w:id="36"/>
      <w:bookmarkEnd w:id="37"/>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只有营造良好的创意生态环境，才能维持创意产业的持续健康发展。一方面，良好的生态环境促进区域产业资源整合，政治、经济、信息、人才、技术等各方面资源向同一个区域内集聚会遵循经济规律，寻找更具产业价值和呈现出良好增长态势的区域靠拢；另一方面，良好的生态环境有利于集聚文化创意人才，一般创新型人才，尤其有成功经验并具开阔视野的高端创意人才，必然选择更加适合发展，或向产业环境更好的区域流动。</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福田区良好的生态环境为文化产业不断发展做了重要的铺垫。2014年，福田区有80家企业成功获得环保模范企业，完成71项治污保洁工程，被世界卫生组织授予“杰出绿色生态城区奖”。2014年，福田区开展环境提升专项行动，安排生态文明建设资金25.85亿元，实施大气污染整治、河流水质提升等专项行动，空气质量优良率达93.4%，同比提高8.5%，各河流平均综合污染指数全部下降。完成26项治污保洁任务，累计建成省级宜居社区63个，荣获2014年度深圳市治污保洁工程领导小组特别奖。同时，为了推动绿色发展，福田区在全国率先创新建立“1+4”循环经济评价体系，推进建筑废弃物循环利用，上沙村城市更新项目等建筑废弃物循环利用率达96%。实施了62万平方米公共建筑节能改造，新开工绿色建筑面积达166万平方米。63家企业通过自愿</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"http://www.sznews.com/news/content/2015-04/07/content_11420750_2.htm" </w:instrText>
      </w:r>
      <w:r>
        <w:rPr>
          <w:rFonts w:hint="eastAsia" w:ascii="仿宋" w:hAnsi="仿宋" w:eastAsia="仿宋" w:cs="仿宋"/>
          <w:sz w:val="32"/>
          <w:szCs w:val="32"/>
        </w:rPr>
        <w:fldChar w:fldCharType="separate"/>
      </w:r>
      <w:r>
        <w:rPr>
          <w:rFonts w:hint="eastAsia" w:ascii="仿宋" w:hAnsi="仿宋" w:eastAsia="仿宋" w:cs="仿宋"/>
          <w:color w:val="000000"/>
          <w:kern w:val="0"/>
          <w:sz w:val="32"/>
          <w:szCs w:val="32"/>
          <w:shd w:val="clear" w:color="auto" w:fill="FFFFFF"/>
        </w:rPr>
        <w:t>清洁生产审核</w:t>
      </w:r>
      <w:r>
        <w:rPr>
          <w:rFonts w:hint="eastAsia" w:ascii="仿宋" w:hAnsi="仿宋" w:eastAsia="仿宋" w:cs="仿宋"/>
          <w:sz w:val="32"/>
          <w:szCs w:val="32"/>
        </w:rPr>
        <w:fldChar w:fldCharType="end"/>
      </w:r>
      <w:r>
        <w:rPr>
          <w:rFonts w:hint="eastAsia" w:ascii="仿宋" w:hAnsi="仿宋" w:eastAsia="仿宋" w:cs="仿宋"/>
          <w:color w:val="000000"/>
          <w:kern w:val="0"/>
          <w:sz w:val="32"/>
          <w:szCs w:val="32"/>
          <w:shd w:val="clear" w:color="auto" w:fill="FFFFFF"/>
        </w:rPr>
        <w:t>，占全市的80%以上。创新环境污染治理新举措，开展百家饭店酒楼油烟控制试点，创新出台扬尘污染治理专项补贴，举办节能环保模范评选，推行生活垃圾密闭收运，全面推进地下水、土壤污染调查。</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38" w:name="_Toc425592515"/>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(三) 基础条件</w:t>
      </w:r>
      <w:bookmarkEnd w:id="38"/>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39" w:name="_Toc425592516"/>
      <w:bookmarkStart w:id="40" w:name="_Toc416283729"/>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1.奠定支柱产业持续走强基础</w:t>
      </w:r>
      <w:bookmarkEnd w:id="39"/>
      <w:bookmarkEnd w:id="40"/>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支柱产业是指在国民经济中生产发展速度较快，与其他产业关联性强，对整个经济起引导和推动作用的先导性产业，主要具有需求收入弹性高、生产上升率快、经济效益好、技术程度高、产业关联度强等特征。一般来说，文化产业增加值占到福田区GDP的5%就可以称之为支柱产业了。当前，文化竞争力是城市的核心竞争力，是城市竞争力的关键因素。先进文化可以创造生产力，提高城市竞争力，增强城市产业凝聚力，福田区在经济发展过程中，将文化产业放在核心地位上，重点将其打造为福田区的支柱产业，促进文化与经济的互相交融，这极大提升了福田区的城市竞争力。</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41" w:name="_Toc425592517"/>
      <w:bookmarkStart w:id="42" w:name="_Toc416283730"/>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2.提升优势品牌企业质量基础</w:t>
      </w:r>
      <w:bookmarkEnd w:id="41"/>
      <w:bookmarkEnd w:id="42"/>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在福田落户的总部型文化企业越来越多。除前文介绍的华视传媒、宜搜、中青宝等总部型新业态文化企业外，更多有实力的总部型文化企业也在福田聚集。如深圳研成创意公司是位于福田区，以营运品牌为特点的总部型文化企业。作为彩云红、红岁、贵辣、菲凡、一顶天红、贵喜、百事臣等多个著名品牌的持有人和投资人，特别是茶业领域，研成的策划与设计引领着整个行业的发展和规范制定。深圳市永丰源已形成年产2000多万件高档骨瓷和白瓷的生产能力，该公司的营销总部落户福田世纪工艺文化广场，主要相中福田中心区良好的信息环境、会展环境、口岸环境和国际化交易环境。</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福田优势品牌企业的快速成长和企业质量的不断提升，为福田文化产业的发展奠定了坚实的企业基础和实力，文化企业的发展与壮大必将带动文化产业的发展。</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43" w:name="_Toc416283732"/>
      <w:bookmarkStart w:id="44" w:name="_Toc425592518"/>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3.创新银企合作模式复制基础</w:t>
      </w:r>
      <w:bookmarkEnd w:id="43"/>
      <w:bookmarkEnd w:id="44"/>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文化产业的发展具有鲜明的生命周期性，相对于其他产业而言，其具有更高的收益不确定性和风险不可控性，因而更加需要金融支持。虽然福田区的文化产业近年来获得了快速发展，但区内广大中小微文化企业如何在激烈的市场竞争中生存并发展，既面临寻找突破口、实施好项目的问题，也面临融资困难的问题。为解决该问题，2012年，福田区政府就出台了“1+1+9扶持政策”，推动福田产业发展战略的落实，得到了辖区企业的高度肯定。2013年，福田区政府又发布“1+1+9政策”升级版，专门成立了区企业发展服务中心，同建行、招行签订了战略合作协议，并连续举办了三届文化企业投融资洽谈会，努力为企业创造更好的发展条件；随后，建设银行、招商银行、北京银行分别与文化企业签订了贷款融资协议，协议的签署将进一步强化福田区文化产业银、企合作平台，为金融业全面支持文化产业发展奠定坚实的基础。2013年，仅建设银行就为17家文化企业提供6757万元资金支持，金融机构对全区文化企业资金支持超过1.5亿元，银企合作模式显示出其蓬勃的生命力。2014年，继文博会、深圳文交所、中国文化产业投资基金后的第四个国家级文化平台——深圳国家对外文化贸易基地在福田区挂牌成立，多家金融机构推出了符合深圳文化产业特点的金融服务方案，涵盖了广播影视、文化艺术、文教体育、图书、娱乐、动漫等各个门类，力促文化企业“走出去”。如深圳建行联动建行海外分行，深化境内外融资产品的研发，与福田区文产办合作举办了“创意金融，文化福田”的大型银企对接活动，社会反响良好。</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随着福田区文化产业的迅猛发展，资本市场将向文化产业伸出更多橄榄枝，更多的金融机构将与福田重点文化企业形成战略合作，创新金融服务模式，共同推进福田区文化产业与文化事业的发展。</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45" w:name="_Toc416283733"/>
      <w:bookmarkStart w:id="46" w:name="_Toc425592519"/>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4.优化文化产业资源配置基础</w:t>
      </w:r>
      <w:bookmarkEnd w:id="45"/>
      <w:bookmarkEnd w:id="46"/>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在经济全球化和科技革命背景下，福田区坚持推进文化科技资本融合步伐，以先进科技为支撑，促进产业转型升级；以强大的资本作后盾，支持企业做大做强。科技、金融、市场等多种资源相互促进，共同发展，形成叠加优势，为福田区文化创意产业提供了一方沃土。</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一是文化与科技相叠加，形成了福田区文化创意产业的竞争力的基础。文化创意产业是内容载体的产业，科技创新在文化创意产业领域的应用有利于拓展新市场、催生新业态，有利于增强文化产品的感染力和传播力。特别是数字出版、动漫游戏、影视制作等行业对科学技术的依赖性较大，网络、数字、信息技术乃至生物、材料技术的发展，都将不断拓宽文化创意产业的发展领域，大大丰富文化的内容和业态。深圳处于中国改革开放的最前沿，福田区又处于深圳经济发展的中心区，在经济高速发展的同时，科学技术的引进和研发也处于领先地位，中心的地理优势和开放的社会环境为福田区即时引进高科技提供了便利，大量科研机构和科技人才的汇聚也为福田区提高科技研发能力奠定了基础，如易尚展示与北京航空航天大学、深圳大学组建了“虚拟现实技术与系统国家重点实验室”深圳分室、“三维数字成像及显示技术工程实验室”，并获得2012年度深圳市科学技术奖励技术发明一等奖等多项荣誉；华强集团是区内以高科技产业为主导的大型投资控股企业，现形成了以高科技电子</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"http://baike.so.com/doc/2598672.html" \t "_blank" </w:instrText>
      </w:r>
      <w:r>
        <w:rPr>
          <w:rFonts w:hint="eastAsia" w:ascii="仿宋" w:hAnsi="仿宋" w:eastAsia="仿宋" w:cs="仿宋"/>
          <w:sz w:val="32"/>
          <w:szCs w:val="32"/>
        </w:rPr>
        <w:fldChar w:fldCharType="separate"/>
      </w:r>
      <w:r>
        <w:rPr>
          <w:rFonts w:hint="eastAsia" w:ascii="仿宋" w:hAnsi="仿宋" w:eastAsia="仿宋" w:cs="仿宋"/>
          <w:color w:val="000000"/>
          <w:kern w:val="0"/>
          <w:sz w:val="32"/>
          <w:szCs w:val="32"/>
          <w:shd w:val="clear" w:color="auto" w:fill="FFFFFF"/>
        </w:rPr>
        <w:t>制造业</w:t>
      </w:r>
      <w:r>
        <w:rPr>
          <w:rFonts w:hint="eastAsia" w:ascii="仿宋" w:hAnsi="仿宋" w:eastAsia="仿宋" w:cs="仿宋"/>
          <w:sz w:val="32"/>
          <w:szCs w:val="32"/>
        </w:rPr>
        <w:fldChar w:fldCharType="end"/>
      </w:r>
      <w:r>
        <w:rPr>
          <w:rFonts w:hint="eastAsia" w:ascii="仿宋" w:hAnsi="仿宋" w:eastAsia="仿宋" w:cs="仿宋"/>
          <w:color w:val="000000"/>
          <w:kern w:val="0"/>
          <w:sz w:val="32"/>
          <w:szCs w:val="32"/>
          <w:shd w:val="clear" w:color="auto" w:fill="FFFFFF"/>
        </w:rPr>
        <w:t>、文化科技产业等为主导的多元化产业格局，在国内外拥有</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"http://baike.so.com/doc/37288.html" \t "_blank" </w:instrText>
      </w:r>
      <w:r>
        <w:rPr>
          <w:rFonts w:hint="eastAsia" w:ascii="仿宋" w:hAnsi="仿宋" w:eastAsia="仿宋" w:cs="仿宋"/>
          <w:sz w:val="32"/>
          <w:szCs w:val="32"/>
        </w:rPr>
        <w:fldChar w:fldCharType="separate"/>
      </w:r>
      <w:r>
        <w:rPr>
          <w:rFonts w:hint="eastAsia" w:ascii="仿宋" w:hAnsi="仿宋" w:eastAsia="仿宋" w:cs="仿宋"/>
          <w:color w:val="000000"/>
          <w:kern w:val="0"/>
          <w:sz w:val="32"/>
          <w:szCs w:val="32"/>
          <w:shd w:val="clear" w:color="auto" w:fill="FFFFFF"/>
        </w:rPr>
        <w:t>投资公司</w:t>
      </w:r>
      <w:r>
        <w:rPr>
          <w:rFonts w:hint="eastAsia" w:ascii="仿宋" w:hAnsi="仿宋" w:eastAsia="仿宋" w:cs="仿宋"/>
          <w:sz w:val="32"/>
          <w:szCs w:val="32"/>
        </w:rPr>
        <w:fldChar w:fldCharType="end"/>
      </w:r>
      <w:r>
        <w:rPr>
          <w:rFonts w:hint="eastAsia" w:ascii="仿宋" w:hAnsi="仿宋" w:eastAsia="仿宋" w:cs="仿宋"/>
          <w:color w:val="000000"/>
          <w:kern w:val="0"/>
          <w:sz w:val="32"/>
          <w:szCs w:val="32"/>
          <w:shd w:val="clear" w:color="auto" w:fill="FFFFFF"/>
        </w:rPr>
        <w:t>30多家和2家</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"http://baike.so.com/doc/3114105.html" \t "_blank" </w:instrText>
      </w:r>
      <w:r>
        <w:rPr>
          <w:rFonts w:hint="eastAsia" w:ascii="仿宋" w:hAnsi="仿宋" w:eastAsia="仿宋" w:cs="仿宋"/>
          <w:sz w:val="32"/>
          <w:szCs w:val="32"/>
        </w:rPr>
        <w:fldChar w:fldCharType="separate"/>
      </w:r>
      <w:r>
        <w:rPr>
          <w:rFonts w:hint="eastAsia" w:ascii="仿宋" w:hAnsi="仿宋" w:eastAsia="仿宋" w:cs="仿宋"/>
          <w:color w:val="000000"/>
          <w:kern w:val="0"/>
          <w:sz w:val="32"/>
          <w:szCs w:val="32"/>
          <w:shd w:val="clear" w:color="auto" w:fill="FFFFFF"/>
        </w:rPr>
        <w:t>上市公司</w:t>
      </w:r>
      <w:r>
        <w:rPr>
          <w:rFonts w:hint="eastAsia" w:ascii="仿宋" w:hAnsi="仿宋" w:eastAsia="仿宋" w:cs="仿宋"/>
          <w:sz w:val="32"/>
          <w:szCs w:val="32"/>
        </w:rPr>
        <w:fldChar w:fldCharType="end"/>
      </w:r>
      <w:r>
        <w:rPr>
          <w:rFonts w:hint="eastAsia" w:ascii="仿宋" w:hAnsi="仿宋" w:eastAsia="仿宋" w:cs="仿宋"/>
          <w:color w:val="000000"/>
          <w:kern w:val="0"/>
          <w:sz w:val="32"/>
          <w:szCs w:val="32"/>
          <w:shd w:val="clear" w:color="auto" w:fill="FFFFFF"/>
        </w:rPr>
        <w:t>，并拥有6家</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"http://baike.so.com/doc/5423780.html" \t "_blank" </w:instrText>
      </w:r>
      <w:r>
        <w:rPr>
          <w:rFonts w:hint="eastAsia" w:ascii="仿宋" w:hAnsi="仿宋" w:eastAsia="仿宋" w:cs="仿宋"/>
          <w:sz w:val="32"/>
          <w:szCs w:val="32"/>
        </w:rPr>
        <w:fldChar w:fldCharType="separate"/>
      </w:r>
      <w:r>
        <w:rPr>
          <w:rFonts w:hint="eastAsia" w:ascii="仿宋" w:hAnsi="仿宋" w:eastAsia="仿宋" w:cs="仿宋"/>
          <w:color w:val="000000"/>
          <w:kern w:val="0"/>
          <w:sz w:val="32"/>
          <w:szCs w:val="32"/>
          <w:shd w:val="clear" w:color="auto" w:fill="FFFFFF"/>
        </w:rPr>
        <w:t>高新技术企业</w:t>
      </w:r>
      <w:r>
        <w:rPr>
          <w:rFonts w:hint="eastAsia" w:ascii="仿宋" w:hAnsi="仿宋" w:eastAsia="仿宋" w:cs="仿宋"/>
          <w:sz w:val="32"/>
          <w:szCs w:val="32"/>
        </w:rPr>
        <w:fldChar w:fldCharType="end"/>
      </w:r>
      <w:r>
        <w:rPr>
          <w:rFonts w:hint="eastAsia" w:ascii="仿宋" w:hAnsi="仿宋" w:eastAsia="仿宋" w:cs="仿宋"/>
          <w:color w:val="000000"/>
          <w:kern w:val="0"/>
          <w:sz w:val="32"/>
          <w:szCs w:val="32"/>
          <w:shd w:val="clear" w:color="auto" w:fill="FFFFFF"/>
        </w:rPr>
        <w:t>、3个国家级的技术开发中心、1个博士后工作站；斯达高瓷艺生产的瓷器设计新颖、做工精细，产品科技含量高，文化底蕴浓厚。全区越来越多的文化企业依靠科技力量，进一步提升了产品质量及自身发展能力。福田区以“科技创新是文化发展的重要动力”为理念，以文化与科技融合为抓手，不断提升区内文化企业核心竞争力，为福田区文化创意产业的进一步发展营造了良好氛围。</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二是文化与金融相叠加，提升了福田区文化金融服务能力。充分利用文化发展专项基金，创新信贷产品等措施，是解决区内众多文化创意企业特别是中小文化企业融资难题，采用市场化手段推动创意文化产业发展的重要举措。多年来，福田区委区政府加强和改进对文化企业的金融服务，从创新信贷产品、扩大直接融资规模、建立和完善配套机制等方面支持文化产业发展，逐步构建起覆盖全区的文化创意服务网络，通过一系列举措推动文化与资本规模化对接。近年来，福田区与招商银行、建设银行等金融机构合作，建立绿色通道，缩短审批放款流程，解决企业融资难题。</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三是文化与市场相叠加，增强了区内文化企业开拓力。福田区政府积极鼓励企业开拓市场，助力企业走出福田，走向全国、走向世界。如中孚泰文化是国内大剧院装饰项目设计及施工的排头兵，国内市场遍布各地，已成长为注册资金3.8亿元、参与投资建设的资产超百亿元的集团企业。杨邦胜室内设计从事国际品牌酒店设计，产品遍及全国30多个城市及马来西亚、越南等国，荣获160余项国际国内室内设计和酒店业大奖；方块动漫公司的原创动画《甜心格格》第二部、《超智能足球》在东南亚及澳大利亚、法国、土耳其等国播出，成功实现“文化输出”。</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四是文化与总部经济相叠加，扩大了福田区文化产业产出量。总部经济模式具有强大的辐射带动功能和低消耗、高产出的溢出效应，是各区域间市场竞争的筹码所在，也是衡量一个地区国际化水平高低的重要指标。坚持实施产业集聚发展战略，集中力量发展总部型高端文化产业，是福田区政府发展文化创意产业的一贯思路。如今，落户福田的文化创意产业总部型企业越来越多，如丝路数码公司现为国内知名的数字视觉科技应用公司，在上海、北京、广州、南京、青岛、福州、武汉、成都及海外的迪拜、纽约等地建立分支机构，国内同行业综合实力排名第二；华南装饰连续11年获得全国建筑装饰行业“百强企业”称号，2013年营业收入22.3亿元，纳税3300万元。</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47" w:name="_Toc416283734"/>
      <w:bookmarkStart w:id="48" w:name="_Toc425592520"/>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5.承办大型文化创意活动基础</w:t>
      </w:r>
      <w:bookmarkEnd w:id="47"/>
      <w:bookmarkEnd w:id="48"/>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近年来，福田区政府积极组织系列论坛，构筑文化创意产业交流研讨平台，多次邀请国内外及省市知名专家学者、创意产业界名家、创意企业负责人等，从不同层次、不同角度共同探讨创意产业发展的规律、方向和目标，共商福田区发展创意经济、推动创意产业做大做强的方略；并勇于承办创意产业博览会，构筑合作发展平台，充分展示福田区文化创意产业亮点，组织策划涉及出版发行、媒体传播、体育休闲、文化娱乐、文艺演出、文化设施、文博会展等行业分类的项目及民间工艺品展销等多种形式的活动，打造具有广泛影响力的创意产业展示交流、合作与发展平台，提升福田区文化创意产业国际知名度。如已连续举办十届的深圳文博会是国家重点扶持的国家级国际化综合性文化产业博览交易会，经过多年的发展，在展出规模、交易质量、文化输出等方面都取得显著成效，为我国文化产业发展搭建起高起点高规格的展示交易信息平台。从深圳文博会发展现状来看，展出面积、参展单位数量、观众人数远超国内同类展会，文博会已搭建起促进我国文化产业发展的融资交易平台，文化产品和服务出口连年攀升，出口结构进一步优化，文博会的规模和影响力在国际上不断扩大，已发展成为中国文化产业领域规格最高、规模最大、最具实效和影响力的展会。在2014年，文博会继续收获硕果，在人气、规模、质量、效益等方面有了新的提升，福田区好戏连台，大放异彩，确立的“创新驱动”主题和“文化筑梦、产业成真”目标更加彰显，福田好声音、福田好品牌、福田好形象得到充分展示，有力地助推我区文化创意产业更好更快发展。</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49" w:name="_Toc425592521"/>
      <w:bookmarkStart w:id="50" w:name="_Toc416283735"/>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6.优化公共文化平台服务基础</w:t>
      </w:r>
      <w:bookmarkEnd w:id="49"/>
      <w:bookmarkEnd w:id="50"/>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公共文化服务是社会公共服务的重要内容,福田区作为深圳市的中心区，其提供公共文化服务作用越来越突出，已发展成为全市行政、文化、信息、国际展览和商务中心区，深圳会展中心、深圳图书馆、音乐厅、电视台等市属大批公共文化设施和一批大型文化企业在这里聚集。多年来，福田区政府从本区的实际情况出发，充分体现本区的特色与区情，继承和发扬深圳的文化传统，在建设公共文化平台、提供公共文化服务方面打下了坚实基础。</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早在2003年，福田区就提出打造“一公里文化圈”的目标，10年间先后投入超过20亿元，完成了“一公里文化圈”的硬件建设。目前，辖区内，深圳图书馆、深圳博物馆、音乐厅、中心书城等标志性文化设施鳞次栉比；社区文化活动室和图书馆覆盖率均为100%。同时，根据中心城市群众喜爱在绿地、花园开展文化活动的特点，福田区实行“一公园一特色”，打造了“莲花山大巡游”、“热舞皇岗”、“书画笔架山”、“乐在梅林”、“花艺中心”等五大主题公园文化场地；针对不同地域、不同居住群体的不同文化需求，在国际社区建设凸显国际化元素的东海城市文化广场，在下沙社区建设非物质文化遗产广场，在中心书城建设艺术生态广场。 2014年，在创建“国家公共文化服务体系示范区”规划中，福田区又提出了重点打造包括“主题文化馆功能区”、“图书馆阅读功能区”、“博物馆功能区”、“文化广场功能区”、“公园文化功能区”、“地铁文化功能区”、“现代戏剧功能区”、“公共艺术功能区”、“街道特色文化功能区”、“数字文化功能区”在内的“十大文化功能区”的“总目标”及系列“分目标”。到2015年，全区各街道文化设施建设将实现“三个一”，即拥有一个文化站、一个街道图书馆、一批文化广场；各社区文化建设将达到“三个全覆盖”，即公共电子阅览室全覆盖、200平方米以上的社区文化活动室全覆盖、社区图书馆（室）全覆盖，区、街道、社区三级公共文化服务网络体系更加完善，公共文化服务的公益性、均等性、便利性、基本性更加突出。</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福田区政府充分注重建立和完善公共文化服务网络，以实现和保障群众的基本文化权益、满足广大人民群众基本文化需求为目标，合理安排，构建了实用、便捷、高效的公共文化服务平台，多方位满足了福田区的公共文化需求,实现了广大人民群众的公共文化权益。</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51" w:name="_Toc416283736"/>
      <w:bookmarkStart w:id="52" w:name="_Toc425592522"/>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7.组织民间团体联系企业基础</w:t>
      </w:r>
      <w:bookmarkEnd w:id="51"/>
      <w:bookmarkEnd w:id="52"/>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文化产业的发展仅依靠政府和企业是不够的，文化来源于民间而高于民间，文化发展应全民参与。福田区在发展文化产业过程中，坚持走调动全民力量的基层路线，民间团体与企业组织联系紧密，在很大程度上促进了文化产业的发展。</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福田区不同类型的民间团体主要的发起方式不同，行业性社团更多是由企业或企业与政府部门共同发起，学术性社团更多是由政府有关部门或企业和个人共同发起，而民办非企业单位则更多由企业或个人发起。在投资方式上，企业的赞助和捐助则是经费来源的主要途径之一。举办民间文艺活动、行业服务及协调、学术研究及学术交流、政策咨询和联谊等是福田民间团体最主要的活动领域。如活跃在福田文化版图上的各个民间文艺团体，它们规模不等、形式多样，有公益性的文艺组织、因兴趣爱好而组建的业余团体等，涉及歌舞、杂技、皮影、戏剧、民乐、文学等多个艺术领域，其组织结构和投资方式多样，市场灵活性强，生命力与创造力旺盛，其特质是来自于民间，服务于民间，正在成为政府公办文化事业的有力补充和福田文化繁荣的重要生力军。而在维权方面，各个行业协会作为企业和行业利益的代表走到了前台，如代表行业积极应对国外的反倾销诉讼，有效地维护了行业的利益；此外，很多协会在协助会员处理经济纠纷、劳资纠纷中扮演了重要角色；协会不仅为企业分忧解难，而且深入开展政策调研，充分反映行业和企业的意愿，并在某些方面和某种程度上影响了地方甚至国家政策的调整。</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53" w:name="_Toc416283737"/>
      <w:bookmarkStart w:id="54" w:name="_Toc425592523"/>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8.重构文化产业发展数据基础</w:t>
      </w:r>
      <w:bookmarkEnd w:id="53"/>
      <w:bookmarkEnd w:id="54"/>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随着福田区文化产业规模不断扩大，创新能力不断增强，区政府也不断增加对民族文化艺术资源数据库、公共技术服务平台的投入，加大对高校和其他文化研究机构的应用型研究项目的支持力度,扶持文化创意研究机构的发展，促进各种文化创意资源的有机融合。同时，在当下信息快速发展的时代，信息技术冲击下的新文化产业带也正逐步形成，文化的生产、创作、传播、消费方式已经改变，福田中心区作为深圳市乃至全国电子产品市场和网络技术企业高度密集的地区，在信息技术上拥有着天然的优势，这成为福田区文化创意产业充分利用大数据等高新技术的有力支撑。作为信息技术发展的前沿，大数据技术已深入到生产、生活领域，正颠覆着传统思维模式、行为习惯，深刻影响着福田文化的创新和发展。在这个背景下，福田文化产业的创作方式、创意模式、传承方式都会得到不断改变，通过大数据优化并提升公共文化服务的需求和潜在价值，抓住机遇探索文化产业发展方向是福田文化产业在大数据时代发展的必由之路。</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55" w:name="_Toc425592524"/>
      <w:bookmarkStart w:id="56" w:name="_Toc416283738"/>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9.提高产品走出去的市场基础</w:t>
      </w:r>
      <w:bookmarkEnd w:id="55"/>
      <w:bookmarkEnd w:id="56"/>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福田区在“文化走出去”发展战略上一直进行着积极的探索。2014年12月18日，深圳市福田区文化创意协会北京分会暨北京深圳文化创意园挂牌揭幕。此次</w:t>
      </w:r>
      <w:r>
        <w:rPr>
          <w:rFonts w:hint="eastAsia" w:ascii="仿宋" w:hAnsi="仿宋" w:eastAsia="仿宋" w:cs="仿宋"/>
          <w:color w:val="000000"/>
          <w:kern w:val="0"/>
          <w:sz w:val="32"/>
          <w:szCs w:val="32"/>
          <w:shd w:val="clear" w:color="auto" w:fill="FFFFFF"/>
        </w:rPr>
        <w:t>与金融街合作“北京深圳文化创意园”是响应深圳政府“文化走出去”政策的一次大胆尝试。</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为继续</w:t>
      </w:r>
      <w:r>
        <w:rPr>
          <w:rFonts w:hint="eastAsia" w:ascii="仿宋" w:hAnsi="仿宋" w:eastAsia="仿宋" w:cs="仿宋"/>
          <w:color w:val="000000"/>
          <w:kern w:val="0"/>
          <w:sz w:val="32"/>
          <w:szCs w:val="32"/>
          <w:shd w:val="clear" w:color="auto" w:fill="FFFFFF"/>
        </w:rPr>
        <w:t>推进“走出去战略”实现文化企业跨国经营，一方面，福田区培育了一批具有国际竞争力的外向型文化企业和中介机构，加大对文化出口重点企业和重点项目的扶持，不断壮大福田区对外文化贸易的主力军；并加强与国外知名文化机构的合资合作，积极发展各类版权代理、交易机构，推动对外版权贸易，共同扶持培育文化出口重点企业和重点项目，使福田文化产品和服务更直接地打入国际文化市场。</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另一方面，福田区借助“文博会”等重点国际文化会展，加强统筹规划，支持和组织区内文化创意企业参加境外图书展、动漫展、影视展、演艺展、艺术节、游艺游戏设备展览等国际展会和文化活动；并积极举办文化创意产业投资贸易推介活动，加大海外推介和招商力度；注意发挥福田保税区“境内关外”的优势，加强文化出口基地建设；鼓励文化创意产业行业协会与海外相关机构合作搭建贸易服务平台，推动福田区文化创意产业“走出去”。</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57" w:name="_Toc425592525"/>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(四) 制约因素</w:t>
      </w:r>
      <w:bookmarkEnd w:id="57"/>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2014年，福田区文化产业实现增加值236.71亿元，增长10.7%，增加值占地区生产总值的比重达到了8%。拥有深圳文化创意园、田面设计之都创意产业园、雅昌艺术馆和中国（深圳）新媒体广告产业园四个文化产业园区，形成了一定的产业规模和发展基础，尽管如此，福田区文化创意产业发展还是存在诸多制约因素。</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58" w:name="_Toc425592526"/>
      <w:bookmarkStart w:id="59" w:name="_Toc416283739"/>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1.高端创意人才依然缺乏</w:t>
      </w:r>
      <w:bookmarkEnd w:id="58"/>
      <w:bookmarkEnd w:id="59"/>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文化创意类企业核心竞争力是人才，而福田区创意产业较缺乏的正是创意人才。福田区创意人才缺乏主要体现在两个方面。一方面，人才结构不合理，从人才层次上来看，福田区中高级人才尤其是创新型人才和经营管理型高级人才比重较小；从知识结构上看，知识结构和能力结构单一的人才居多，跨学科、跨领域、跨行业的复合型人才短缺。另一方面，优质文化人才短缺。区内拥有的专业设计师占比较小，文化产业经营管理型人才、文化贸易型、拥有现代信息技术手段的高科技型人才以及既懂文化又善于经营管理的复合型人才十分紧缺。</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60" w:name="_Toc416283740"/>
      <w:bookmarkStart w:id="61" w:name="_Toc425592527"/>
      <w:bookmarkStart w:id="62" w:name="_Toc416283745"/>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2.小</w:t>
      </w:r>
      <w:r>
        <w:rPr>
          <w:rFonts w:hint="eastAsia" w:ascii="仿宋" w:hAnsi="仿宋" w:eastAsia="仿宋" w:cs="仿宋"/>
          <w:color w:val="000000"/>
          <w:kern w:val="0"/>
          <w:sz w:val="32"/>
          <w:szCs w:val="32"/>
          <w:shd w:val="clear" w:color="auto" w:fill="FFFFFF"/>
        </w:rPr>
        <w:t>微</w:t>
      </w:r>
      <w:r>
        <w:rPr>
          <w:rFonts w:hint="eastAsia" w:ascii="仿宋" w:hAnsi="仿宋" w:eastAsia="仿宋" w:cs="仿宋"/>
          <w:color w:val="000000"/>
          <w:w w:val="90"/>
          <w:sz w:val="32"/>
          <w:szCs w:val="32"/>
        </w:rPr>
        <w:t>企业融资还是困难</w:t>
      </w:r>
      <w:bookmarkEnd w:id="60"/>
      <w:bookmarkEnd w:id="61"/>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福田区文化创意产业融资难问题主要体现在三个方面。首先，信息不透明。福田区文化创意企业数量庞大，但小微企业居多。小微企业发展初期，融资需求较大，融资难问题会比较突出，特别对于文化创意产业来说，融资难问题更为严重。因为文化创意产业发展尚未形成完整的、顺畅的、高效的产业链，造成了信息不透明和不对称问题;因此，与其他行业企业相比，文化创意类中小企业财务报表真实性低，随意性大，向外部出资者披露其经营信息会更加困难,从而很难获得银行授信；其次，缺乏权威的知识产权第三方评估机构。因文化产业企业缺乏固定资产抵押物，一般以知识产权作抵押，这就需要有比较权威的第三方评估机构来对文化产业的无形资产和版权价值进行评估，如果第三方评估机构缺乏，那么银行也不愿承担更大风险来为其授信；最后，缺乏专业、有效的担保体系。福田区内发展多年的文化产业园区，缺乏专业的文化产业担保公司进驻，为高风险的版权融资进行担保。而且一般的担保公司也很难青睐“轻资产、高风险”文化企业，因为文化产业需要研究其盈利模式，判断文化产品未来收益和市场价值后才为其做出担保，而一般的担保公司难以对文化产品进行专业的评估。</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b w:val="0"/>
          <w:color w:val="000000"/>
          <w:w w:val="90"/>
          <w:sz w:val="32"/>
          <w:szCs w:val="32"/>
        </w:rPr>
      </w:pPr>
      <w:bookmarkStart w:id="63" w:name="_Toc425592528"/>
      <w:bookmarkStart w:id="64" w:name="_Toc416283741"/>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3.知识产权保护还需</w:t>
      </w:r>
      <w:bookmarkEnd w:id="63"/>
      <w:bookmarkEnd w:id="64"/>
      <w:r>
        <w:rPr>
          <w:rFonts w:hint="eastAsia" w:ascii="仿宋" w:hAnsi="仿宋" w:eastAsia="仿宋" w:cs="仿宋"/>
          <w:color w:val="000000"/>
          <w:w w:val="90"/>
          <w:sz w:val="32"/>
          <w:szCs w:val="32"/>
        </w:rPr>
        <w:t>强化</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首先，知识产权保护法律体系不够完善，这与我国知识产权立法较晚有关。一方面，一些知识产权法律存在着保护缺陷，有时还以政策代替法律，没有相应的法律对文化产业的发展提供完善保障；另一方面，我国的文化产业的法律保护都属于事后保护，无法在文化创意产业产生时或之前对其进行引导和保护；其次，福田区管理部门对侵权产品查处缺乏力度，对处理结果的执行不到位。这样不仅使文化产业权利人的利益遭受损失，而且浪费巨大的人力物力财力资源；最后，福田区在对知识产权法的推广和落实方面还存在欠缺，侵害他人知识产权和忽视自我保护的现象同时存在。大多数企业自主知识产权开发与保护意识尚薄弱，特别是数量众多的小微文化企业。部分企业维权意识缺位，存在侵犯他人知识产权的情况。因为文化产业的创造成本高，投入大，但复制成本较低，所以侵权现象的频繁发生却未及时有效的处理便会直接打击文化企业自主创新的积极性。</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b w:val="0"/>
          <w:color w:val="000000"/>
          <w:w w:val="90"/>
          <w:sz w:val="32"/>
          <w:szCs w:val="32"/>
        </w:rPr>
      </w:pPr>
      <w:bookmarkStart w:id="65" w:name="_Toc416283742"/>
      <w:bookmarkStart w:id="66" w:name="_Toc425592529"/>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4.企业发展成本居高不下</w:t>
      </w:r>
      <w:bookmarkEnd w:id="65"/>
      <w:bookmarkEnd w:id="66"/>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福田区文化创意企业在发展时期也会面临资金不足的境地。由于财政资金有限，文化创意产业资金缺口较大，仅靠财政资金较难满足该行业内企业的发展需要。福田区文化企业成本居高不下主要表现在两个方面。一方面，融资成本居高不下。文化产业在银行信贷评估体系中属于高风险行业，如艺术品、古玩等经营企业，产品成本高，但无法获得权威机构认定，银行贷款难度较大，加上福田区内缺乏有效的文化创意产业投资融资平台，尚未建立有效的投资融资渠道，未能充分利用社会资金和民间资本，造成文化创意企业融资成本较高；另一方面，创意和设计成本居高不下。文化产品从创作,培育到成型的周期一般比较长, 产业链较长，前期投入较多，风险较大。创造和设计的前期不仅依赖货币资本的不断投入，而且依赖于高素质人才的创造性、技能和智慧。因此，创造文化创意产品的过程中的创造成本较高。</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bookmarkStart w:id="67" w:name="_Toc416283743"/>
      <w:bookmarkStart w:id="68" w:name="_Toc425592530"/>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5.</w:t>
      </w:r>
      <w:bookmarkEnd w:id="67"/>
      <w:bookmarkStart w:id="69" w:name="_Toc416283744"/>
      <w:r>
        <w:rPr>
          <w:rFonts w:hint="eastAsia" w:ascii="仿宋" w:hAnsi="仿宋" w:eastAsia="仿宋" w:cs="仿宋"/>
          <w:color w:val="000000"/>
          <w:w w:val="90"/>
          <w:sz w:val="32"/>
          <w:szCs w:val="32"/>
        </w:rPr>
        <w:t>产业发展空间严重受限</w:t>
      </w:r>
      <w:bookmarkEnd w:id="68"/>
      <w:bookmarkEnd w:id="69"/>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福田区文化创意产业园大多数是十多年前通过旧厂房更新改造而成的，园区土地性质普遍为工业用地，由于受土地性质跟容积率限制，园区难以进行开发，空间布局较小，建筑面积难以满足入驻企业的需求。此外，多数创意园建设规划与城市总体发展规划不相匹配。随着城市更新发展，土地开发总体规划逐渐发生变化，落后及产能过剩工业逐渐淘汰，中心城区的工业用地也逐步减少，土地资源紧缺，原先的工业用地或重新规划为商业、居住用地，或规划为公共设施用地。由于前期缺乏前瞻性的总体规划，部分创意园不得不面临土地被政府收储的风险。</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70" w:name="_Toc425592531"/>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6.研发经费相比仍然不足</w:t>
      </w:r>
      <w:bookmarkEnd w:id="70"/>
    </w:p>
    <w:p>
      <w:pPr>
        <w:pageBreakBefore w:val="0"/>
        <w:kinsoku/>
        <w:wordWrap/>
        <w:overflowPunct/>
        <w:topLinePunct w:val="0"/>
        <w:autoSpaceDE/>
        <w:autoSpaceDN/>
        <w:bidi w:val="0"/>
        <w:spacing w:line="560" w:lineRule="exact"/>
        <w:ind w:left="0" w:leftChars="0" w:right="0" w:rightChars="0" w:firstLine="640" w:firstLineChars="200"/>
        <w:textAlignment w:val="auto"/>
        <w:rPr>
          <w:rFonts w:hint="eastAsia"/>
        </w:rPr>
      </w:pPr>
      <w:r>
        <w:rPr>
          <w:rFonts w:hint="eastAsia" w:ascii="仿宋" w:hAnsi="仿宋" w:eastAsia="仿宋" w:cs="仿宋"/>
          <w:color w:val="000000"/>
          <w:kern w:val="0"/>
          <w:sz w:val="32"/>
          <w:szCs w:val="32"/>
          <w:shd w:val="clear" w:color="auto" w:fill="FFFFFF"/>
        </w:rPr>
        <w:t>文化创意产业是智力、文化、科技和经济融合发展的产物，其创意动力来源便是研发经费。研发经费不足会直接导致企业的创新动力不足、技术标准创制的困难等。如今，文化创意产业已成为福田最活跃、最具竞争力的新兴产业之一，福田区通过设立文化产业发展专项资金等方式增强了文化创意产业的政府投入强度，但与南山、龙岗、宝安等区相比，福田区在文化创意产业的R&amp;D（研究与发展）经费显不足。此外，福田区对战略性新兴产业的支持力度来说是可观的，但科研经费主要投入到科研机构和大型企业，对中小企业的支持较少，而福田区文化创意企业多数为微小企业，这对于苛求研发投入来得到创意产出的微小文化企业来说，供血不足现象显得特别严重。</w:t>
      </w:r>
    </w:p>
    <w:p>
      <w:pPr>
        <w:pStyle w:val="15"/>
        <w:pageBreakBefore w:val="0"/>
        <w:kinsoku/>
        <w:wordWrap/>
        <w:overflowPunct/>
        <w:topLinePunct w:val="0"/>
        <w:autoSpaceDE/>
        <w:autoSpaceDN/>
        <w:bidi w:val="0"/>
        <w:spacing w:before="0" w:after="0" w:line="240" w:lineRule="auto"/>
        <w:ind w:left="0" w:leftChars="0" w:right="0" w:rightChars="0" w:firstLine="0" w:firstLineChars="0"/>
        <w:jc w:val="center"/>
        <w:textAlignment w:val="auto"/>
        <w:rPr>
          <w:rFonts w:hint="eastAsia" w:ascii="黑体" w:hAnsi="黑体" w:eastAsia="黑体" w:cs="黑体"/>
          <w:b w:val="0"/>
          <w:bCs w:val="0"/>
          <w:color w:val="000000"/>
          <w:w w:val="90"/>
          <w:sz w:val="32"/>
          <w:szCs w:val="32"/>
        </w:rPr>
      </w:pPr>
      <w:bookmarkStart w:id="71" w:name="_Toc425592532"/>
      <w:r>
        <w:rPr>
          <w:rFonts w:hint="eastAsia" w:ascii="黑体" w:hAnsi="黑体" w:eastAsia="黑体" w:cs="黑体"/>
          <w:b w:val="0"/>
          <w:bCs w:val="0"/>
          <w:color w:val="000000"/>
          <w:w w:val="90"/>
          <w:sz w:val="32"/>
          <w:szCs w:val="32"/>
        </w:rPr>
        <w:t>二、指导思想和基本原则</w:t>
      </w:r>
      <w:bookmarkEnd w:id="62"/>
      <w:bookmarkEnd w:id="71"/>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72" w:name="_Toc425592533"/>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(一)指导思想</w:t>
      </w:r>
      <w:bookmarkEnd w:id="72"/>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全面贯彻落实党的十八届三中、四中全会精神，按照促进社</w:t>
      </w:r>
      <w:r>
        <w:rPr>
          <w:rFonts w:hint="eastAsia" w:ascii="仿宋" w:hAnsi="仿宋" w:eastAsia="仿宋" w:cs="仿宋"/>
          <w:color w:val="000000"/>
          <w:kern w:val="0"/>
          <w:sz w:val="32"/>
          <w:szCs w:val="32"/>
          <w:lang w:val="en-US" w:eastAsia="zh-CN"/>
        </w:rPr>
        <w:t>会</w:t>
      </w:r>
      <w:r>
        <w:rPr>
          <w:rFonts w:hint="eastAsia" w:ascii="仿宋" w:hAnsi="仿宋" w:eastAsia="仿宋" w:cs="仿宋"/>
          <w:color w:val="000000"/>
          <w:kern w:val="0"/>
          <w:sz w:val="32"/>
          <w:szCs w:val="32"/>
        </w:rPr>
        <w:t>主义文化大发展大繁荣的要求，以深圳质量、深圳标准为引领，坚持以体制创新和科技创新为动力，充分利用各种资源，积极吸收、聚集国内外的文化资本和创新创意，重点建设好若干具有标志性意义的文化产业基地，构建中心城区文化产业体系，打造具有福田特色的文化产业品牌，以文化科技、文化金融、文化创意、文化智造等高端文化产业为龙头，大力培育和扶持福田区文化产业发展，推动文化产业结构升级、空间结构优化、智造规模扩大、组织模式优化，提高核心竞争力，使文化产业成为福田区重要的战略性新兴产业和国民经济支柱性产业，以文化产业的大发展推进文化事业的大繁荣，促进全区文化产业的全面、协调、可持续发展。</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73" w:name="_Toc425592534"/>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(二)基本原则</w:t>
      </w:r>
      <w:bookmarkEnd w:id="73"/>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74" w:name="_Toc416283747"/>
      <w:bookmarkStart w:id="75" w:name="_Toc425592536"/>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1.综合环境优化原则</w:t>
      </w:r>
      <w:bookmarkEnd w:id="74"/>
      <w:bookmarkEnd w:id="75"/>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福田区文化产业在福田区政府的高度重视和大力推动下，开拓出很大的发展空间，实现了文化产业的“大进步、大发展、大跨越”。然而，目前仍存在着：文化产业政策不完善、立法层次低、统计指标体系不健全、专门人才资源匮乏、脱离市场，缺乏活力等问题，严重制约了文化产业质的飞跃，遏制了文化产业蓬勃发展的大潮流。</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为此，福田区文化产业的优质发展，应当着力于优化文化产业的综合环境。目前，福田区政府加大关注和重视文化产业的发展，为文化产业发展制定系统的、科学的战略规划；同时，完善文化产业制度建设，加强法规建设；此外，加大文化产业财政投入和扶持力度，加大科技投入力度和专业人才培养力度，为福田区文化产业发展营造良好的市场环境、财政环境和体制环境，使得文化产业的综合环境不断优化。</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76" w:name="_Toc425592537"/>
      <w:bookmarkStart w:id="77" w:name="_Toc416283748"/>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2.崇尚创新创意原则</w:t>
      </w:r>
      <w:bookmarkEnd w:id="76"/>
      <w:bookmarkEnd w:id="77"/>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文化产业的发展，需要落实创新创意原则，积极鼓励知识创新、技术创新、管理创新和制度创新，用现代先进技术改造提升传统产业，促进文化产品生产技术与产品文化内涵的有机结合，实现对资源的深度开发和综合利用，提高文化产品的艺术性、思想性和市场接受度，满足消费者日益增加的差异化的文化产品需求，提升企业的市场竞争能力，促进文化产业跨跃式发展，营造有别于传统产业的新业态发展模式。</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78" w:name="_Toc416283749"/>
      <w:bookmarkStart w:id="79" w:name="_Toc425592538"/>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3.促进成果转化原则</w:t>
      </w:r>
      <w:bookmarkEnd w:id="78"/>
      <w:bookmarkEnd w:id="79"/>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文化科技成果转化为现实文化生产力，是推动科技与文化、经济结合的关键。经济、文化的发展需要依靠科学技术，它们之间通过科技成果转化来联接，即将知识形态的文化转化为物质形态的生产力的过程。文化创新意识和文化科技成果转化为现实生产力，有利于增强福田区文化产业的竞争力，文化产业的发展不仅仅依赖于文化自身的创新能力，而且日益依赖于文化科技的发展及其成果转化的能力。福田区文化产业的发展，需要把握成果转化原则，不仅要在创新创意源头上鼓励文化产业的发展，更需要在成果转化的过程中鼓励文化产业落到实处。</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80" w:name="_Toc425592539"/>
      <w:bookmarkStart w:id="81" w:name="_Toc416283750"/>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4.科学持续发展原则</w:t>
      </w:r>
      <w:bookmarkEnd w:id="80"/>
      <w:bookmarkEnd w:id="81"/>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科学可持续发展原则，要求的是全面协调发展，这是福田区政府在发展文化产业过程中应努力追求和实现的目标。这就是说，在重点发展传媒业、出版发行业、演艺娱乐业、动漫游戏业、网络业、影视业等文化产业的同时，要关注和发展下游产业、周边产业、关联产业、衍生产业，推动文化产业链的延伸，加速发展文化新业态，防止“单打一”。</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82" w:name="_Toc425592540"/>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(三)发展机遇</w:t>
      </w:r>
      <w:bookmarkEnd w:id="82"/>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83" w:name="_Toc425592541"/>
      <w:bookmarkStart w:id="84" w:name="_Toc416283751"/>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1.</w:t>
      </w:r>
      <w:r>
        <w:rPr>
          <w:rFonts w:hint="eastAsia" w:ascii="仿宋" w:hAnsi="仿宋" w:eastAsia="仿宋" w:cs="仿宋"/>
          <w:color w:val="000000"/>
          <w:w w:val="90"/>
          <w:sz w:val="32"/>
          <w:szCs w:val="32"/>
          <w:lang w:eastAsia="zh-CN"/>
        </w:rPr>
        <w:t>党的十八大</w:t>
      </w:r>
      <w:r>
        <w:rPr>
          <w:rFonts w:hint="eastAsia" w:ascii="仿宋" w:hAnsi="仿宋" w:eastAsia="仿宋" w:cs="仿宋"/>
          <w:color w:val="000000"/>
          <w:w w:val="90"/>
          <w:sz w:val="32"/>
          <w:szCs w:val="32"/>
        </w:rPr>
        <w:t>以来改革发展的机遇</w:t>
      </w:r>
      <w:bookmarkEnd w:id="83"/>
      <w:bookmarkEnd w:id="84"/>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党的十八大报告进一步强化了文化建设在中国特色社会主义“五位一体”总体布局中的重要地位，对扎实推进社会主义文化强国建设做出专门部署，深刻反映了社会主义文化发展的本质要求，鲜明回答了我国文化改革发展走什么路、朝着什么目标前进这个带方向性、根本性、战略性的重大问题，对于加快发展文化产业、推动社会主义文化大发展大繁荣具有重要指导意义。党的十八大对文化改革发展做出了新的重大战略部署，为文化产业发展注入了强大的动力，也为文化产业的发展提供了一系列改革发展的机遇。</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一是</w:t>
      </w:r>
      <w:r>
        <w:rPr>
          <w:rFonts w:hint="eastAsia" w:ascii="仿宋" w:hAnsi="仿宋" w:eastAsia="仿宋" w:cs="仿宋"/>
          <w:color w:val="000000"/>
          <w:kern w:val="0"/>
          <w:sz w:val="32"/>
          <w:szCs w:val="32"/>
          <w:lang w:val="en-US" w:eastAsia="zh-CN"/>
        </w:rPr>
        <w:t>党的</w:t>
      </w:r>
      <w:r>
        <w:rPr>
          <w:rFonts w:hint="eastAsia" w:ascii="仿宋" w:hAnsi="仿宋" w:eastAsia="仿宋" w:cs="仿宋"/>
          <w:color w:val="000000"/>
          <w:kern w:val="0"/>
          <w:sz w:val="32"/>
          <w:szCs w:val="32"/>
        </w:rPr>
        <w:t>十八大对文化改革发展做出新的重大战略部署。</w:t>
      </w:r>
      <w:r>
        <w:rPr>
          <w:rFonts w:hint="eastAsia" w:ascii="仿宋" w:hAnsi="仿宋" w:eastAsia="仿宋" w:cs="仿宋"/>
          <w:color w:val="000000"/>
          <w:kern w:val="0"/>
          <w:sz w:val="32"/>
          <w:szCs w:val="32"/>
          <w:lang w:val="en-US" w:eastAsia="zh-CN"/>
        </w:rPr>
        <w:t>党的</w:t>
      </w:r>
      <w:r>
        <w:rPr>
          <w:rFonts w:hint="eastAsia" w:ascii="仿宋" w:hAnsi="仿宋" w:eastAsia="仿宋" w:cs="仿宋"/>
          <w:color w:val="000000"/>
          <w:kern w:val="0"/>
          <w:sz w:val="32"/>
          <w:szCs w:val="32"/>
        </w:rPr>
        <w:t>十八大再次明确了坚定走社会主义文化强国之路，吹响了推动社会主义文化大发展大繁荣的号角。从十七届六中全会的“努力建设社会主义文化强国”到</w:t>
      </w:r>
      <w:r>
        <w:rPr>
          <w:rFonts w:hint="eastAsia" w:ascii="仿宋" w:hAnsi="仿宋" w:eastAsia="仿宋" w:cs="仿宋"/>
          <w:color w:val="000000"/>
          <w:kern w:val="0"/>
          <w:sz w:val="32"/>
          <w:szCs w:val="32"/>
          <w:lang w:val="en-US" w:eastAsia="zh-CN"/>
        </w:rPr>
        <w:t>党的</w:t>
      </w:r>
      <w:r>
        <w:rPr>
          <w:rFonts w:hint="eastAsia" w:ascii="仿宋" w:hAnsi="仿宋" w:eastAsia="仿宋" w:cs="仿宋"/>
          <w:color w:val="000000"/>
          <w:kern w:val="0"/>
          <w:sz w:val="32"/>
          <w:szCs w:val="32"/>
        </w:rPr>
        <w:t>十八大的“扎实推进社会主义文化强国建设”，体现出我党建设社会主义文化强国的自觉与自信，同时也表明了十七届六中全会关于文化改革发展的重大战略部署得到了更高层次上的确认，我国文化建设和文化产业发展迎来了重大战略机遇期。</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二是文化产业成为国民经济支柱性产业被列入2020年全面建成小康社会的指标体系。全面建成小康社会绝不仅仅是经济增长的小康，也不仅仅是收入倍增的过程，而是经济社会全面深化改革和转型发展、精神文明和物质文明共同繁荣的艰巨过程。加快发展文化产业是全面建成小康社会的客观需要，随着经济发展、收入倍增，人们必然对精神文化生活产生更多更高的需求，希望能够享受更加丰富多彩的高品质、高品位、多样化、个性化的文化产品和服务。加快发展文化产业是社会主义市场经济条件下更好满足人民多样化精神文化需求的重要途径，将文化产业发展列为全面建成小康社会的重要指标，体现了中央对文化建设的深谋远虑和远见卓识，这也为文化产业的发展提供了发展支撑和机遇。</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三是贯彻落实科学发展观和加快转变经济发展方式有利于文化产业加快发展。</w:t>
      </w:r>
      <w:r>
        <w:rPr>
          <w:rFonts w:hint="eastAsia" w:ascii="仿宋" w:hAnsi="仿宋" w:eastAsia="仿宋" w:cs="仿宋"/>
          <w:color w:val="000000"/>
          <w:kern w:val="0"/>
          <w:sz w:val="32"/>
          <w:szCs w:val="32"/>
          <w:lang w:val="en-US" w:eastAsia="zh-CN"/>
        </w:rPr>
        <w:t>党的</w:t>
      </w:r>
      <w:r>
        <w:rPr>
          <w:rFonts w:hint="eastAsia" w:ascii="仿宋" w:hAnsi="仿宋" w:eastAsia="仿宋" w:cs="仿宋"/>
          <w:color w:val="000000"/>
          <w:kern w:val="0"/>
          <w:sz w:val="32"/>
          <w:szCs w:val="32"/>
        </w:rPr>
        <w:t>十八大报告明确提出了全面建成小康社会和全面深化改革开放的目标，指出以科学发展为主题，以加快转变经济发展方式为主线，是关系我国发展全局的战略抉择。文化产业以创意为源头，以内容为核心，以科技为支撑，是现代服务业的重要组成部分，具有调结构、降消耗、节能源、少排放、扩就业等独特优势，加快发展文化产业已经成为推动经济结构战略性调整的重要支点和转变经济发展方式的重要着力点，文化产业未来的发展空间将更加广阔。</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四是文化与相关产业的加速融合为文化产业发展持续提供新动力。随着文化与技术、经济的相互交融，文化产业与旅游、信息、制造、建筑、商贸、休闲、餐饮等相关产业的结合也更加紧密，提升作用日益显著，产业边界趋于模糊，以文化内容消费为核心的庞大产业链和产业集群逐渐形成。此外，</w:t>
      </w:r>
      <w:r>
        <w:rPr>
          <w:rFonts w:hint="eastAsia" w:ascii="仿宋" w:hAnsi="仿宋" w:eastAsia="仿宋" w:cs="仿宋"/>
          <w:color w:val="000000"/>
          <w:kern w:val="0"/>
          <w:sz w:val="32"/>
          <w:szCs w:val="32"/>
          <w:lang w:val="en-US" w:eastAsia="zh-CN"/>
        </w:rPr>
        <w:t>党的</w:t>
      </w:r>
      <w:r>
        <w:rPr>
          <w:rFonts w:hint="eastAsia" w:ascii="仿宋" w:hAnsi="仿宋" w:eastAsia="仿宋" w:cs="仿宋"/>
          <w:color w:val="000000"/>
          <w:kern w:val="0"/>
          <w:sz w:val="32"/>
          <w:szCs w:val="32"/>
        </w:rPr>
        <w:t>十八届三中全会的召开也对文化产业的发展提出了一系列的改革措施，包括完善文化管理体制、建立健全现代文化市场体系、构建现代公共文化服务体系和提高文化开放水平等，这些措施进一步从战略和发展的角度为文化产业提供了一系列支持政策和条件，为文化产业的发展提供了众多发展机遇。</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85" w:name="_Toc416283752"/>
      <w:bookmarkStart w:id="86" w:name="_Toc425592542"/>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2.中国经济“新常态”的稳定机遇</w:t>
      </w:r>
      <w:bookmarkEnd w:id="85"/>
      <w:bookmarkEnd w:id="86"/>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2014年末，习近平总书记在中央经济工作会议讲话时强调：“认识新常态，适应新常态，引领新常态，是当前和今后一个时期我国经济发展的大逻辑。”也就是说，我国经济发展正从高速增长转向中高速增长，经济发展方式正从规模速度型的粗放增长转向质量效率型的集约增长，经济结构正从增量扩能为主转向调节存量、做优增量并存的深度调整，经济发展动力正从传统增长点转向新的增长点，而文化产业就是新的增长点之一。新常态的经济发展大背景，为文化产业的发展提供了稳定的发展机遇。</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在新常态的大背景下，近些年来文化产业的发展速度基本保持在15%以上，2013年占GDP比重已达3.77%。如此快速增长，固然有中国文化产业起点低、基数小的原因，特别是在诸多利好政策推动下，文化产业的发展迎来一个爆发期。至于2015年或今后一段时期，文化产业总体增长完全可能继续保持在10%左右的增长率，特别是2014年，无论是在中央和国务院层面还是部委层面，文化产业政策均密集出台，这都为2015年文化产业新的发展创造了条件。但发展的速度不会一直在高位上运行，因为中国经济整体活力难以提供基本面的支撑。</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因此，新常态在给文化产业提供发展机遇的同时，也给文化产业的发展衍生了一些发展的瓶颈和困难。面对中国经济新常态的大背景，文化产业如何找寻和明确其内生性增长动力机制显然是个关键。因此，通过创新驱动，实现文化企业和文化产品转型升级，提高投资收益率，不仅是文化产业自身展的内在需要，也是创造有效需求、引导文化消费、满足人民群众多样化文化需求的必然选择。</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87" w:name="_Toc416283753"/>
      <w:bookmarkStart w:id="88" w:name="_Toc425592543"/>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3.“一带一路”世界市场拓展机遇</w:t>
      </w:r>
      <w:bookmarkEnd w:id="87"/>
      <w:bookmarkEnd w:id="88"/>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推进“丝绸之路经济带”和“海上丝绸之路”建设是党中央、国务院统筹国内国际两个大局做出的重大战略决策。丝绸之路包括陆上丝绸之路和海上丝绸之路，是一个有着悠久历史和深厚文化内涵的空间概念和文化概念，文化的影响力将超越时空，跨越国界。促进东西方的思想交流和文化交融，是古丝绸之路不可磨灭的历史作用。因此，文化产业在“一带一路”建设过程中，有其特殊的作用和地位。我国文化产业的发展，离不开世界市场的开拓与利用，开发世界市场要积极发挥文化的桥梁作用和引领作用，加强各国、各领域、各阶层、各宗教信仰团体的交流交往，夯实丝绸之路沿线国家合作的民意基础，推动和促进实现沿线各国全方位交流与合作。</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当前，文化与经济相互交融、与科技结合日益紧密，文化日益成为推动经济增长的重要力量和综合国力竞争的重要因素，特别是文化产业作为新兴产业，已被各国广泛认可，文化产品和服务已经成为国际贸易的重要组成部分。文化产业的发展依托丝绸之路沿线丰富的文化资源，依赖于文化的统筹协调和整体规划，也依赖于建立和完善文化产业国际国内合作机制，促进各国、各地区文化产业优势互补、协同发展。“一带一路”的开发，一方面，有利于丝绸之路沿线地区特别是西部地区、边疆地区、民族地区文化产业发展，将文化产业培育成为区域经济支柱性产业，发挥文化产业拉动经济发展、扩大就业、促进消费等方面的作用。另一方面，通过“一带一路”发展文化产业，可以创造更加丰富、更高质量的文化产品和文化服务，加强丝绸之路沿线各国文化交流和贸易往来，并以此为载体，将各国优秀文化及和谐发展、和平共处的理念传播出去，使不同文化背景、不同宗教信仰的各国、各地区、各民族人民增进交流理解、沟通、尊重，增强“一带一路”建设的文化认同。</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89" w:name="_Toc416283754"/>
      <w:bookmarkStart w:id="90" w:name="_Toc425592544"/>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4</w:t>
      </w:r>
      <w:r>
        <w:rPr>
          <w:rFonts w:hint="eastAsia" w:ascii="仿宋" w:hAnsi="仿宋" w:eastAsia="仿宋" w:cs="仿宋"/>
          <w:color w:val="000000"/>
          <w:w w:val="90"/>
          <w:sz w:val="32"/>
          <w:szCs w:val="32"/>
          <w:lang w:val="en-US" w:eastAsia="zh-CN"/>
        </w:rPr>
        <w:t>.</w:t>
      </w:r>
      <w:r>
        <w:rPr>
          <w:rFonts w:hint="eastAsia" w:ascii="仿宋" w:hAnsi="仿宋" w:eastAsia="仿宋" w:cs="仿宋"/>
          <w:color w:val="000000"/>
          <w:w w:val="90"/>
          <w:sz w:val="32"/>
          <w:szCs w:val="32"/>
        </w:rPr>
        <w:t>文化创意产业宏观背景优化机遇</w:t>
      </w:r>
      <w:bookmarkEnd w:id="89"/>
      <w:bookmarkEnd w:id="90"/>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文化创意产业属于消费驱动型产业，其健康发展取决于文化市场的健全和完善，党的十八届三中全会提出了“建立健全现代文化市场体系”的系列论述，从完善文化市场准入和退出机制、推动文化企业兼并重组、建立多层次文化产品和要素市场、健全文化产品评价体系等方面进行了全面阐述和部署，为我国文化创意产业的创新发展指明了方向。</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目前，我国文化创意产业发展正处于转型升级的关键时期，主要表现在以下三个方面：一是从以政府为主导向以市场决定为主导的转变；二是从以规模增长为目标向以质量效益为目标的转变；三是从文化产业自身发展小循环向国民经济体系整体发展大循环的转变。文化创意产业的转型升级为我国各省、市、地区的文化创意产业的发展营造了良好的宏观背景环境，从市场、效益和增长方式的角度为文化创意产业的发展指明发展方向。此外，我国从政策支撑、财政补助、基础建设等各个角度出发，不断激发文化市场活力、</w:t>
      </w:r>
    </w:p>
    <w:p>
      <w:pPr>
        <w:pageBreakBefore w:val="0"/>
        <w:kinsoku/>
        <w:wordWrap/>
        <w:overflowPunct/>
        <w:topLinePunct w:val="0"/>
        <w:autoSpaceDE/>
        <w:autoSpaceDN/>
        <w:bidi w:val="0"/>
        <w:spacing w:line="560" w:lineRule="exact"/>
        <w:ind w:left="0" w:leftChars="0" w:right="0" w:rightChars="0" w:firstLine="0" w:firstLineChars="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挖掘文化市场潜力、形成文化市场合力，健全并完善我国文化市场，不断优化文化创意产业的宏观背景，促进文化创意产业发展。文化创意产业是文化产业的核心产业，因此，文化创意产业的快速发展能够极大地促进文化产业的增长，为文化产业的发展形成内在增长力。福田区文化产业的发展应当借力于我国文化创意产业的宏观背景，抓住文化创意产业发展中的机遇，促进全区文化产业的协调发展。</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91" w:name="_Toc425592545"/>
      <w:bookmarkStart w:id="92" w:name="_Toc416283755"/>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 xml:space="preserve"> 5.深圳“两区三市”</w:t>
      </w:r>
      <w:bookmarkEnd w:id="91"/>
      <w:bookmarkEnd w:id="92"/>
      <w:r>
        <w:rPr>
          <w:rFonts w:hint="eastAsia" w:ascii="仿宋" w:hAnsi="仿宋" w:eastAsia="仿宋" w:cs="仿宋"/>
          <w:color w:val="000000"/>
          <w:w w:val="90"/>
          <w:sz w:val="32"/>
          <w:szCs w:val="32"/>
        </w:rPr>
        <w:t>定位的战略指引</w:t>
      </w:r>
    </w:p>
    <w:p>
      <w:pPr>
        <w:pStyle w:val="19"/>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0" w:firstLineChars="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sz w:val="32"/>
          <w:szCs w:val="32"/>
        </w:rPr>
        <w:t>深圳市委书记马兴瑞在市第六次党代会报告中指出，未来五年，深圳要努力建成“更具改革开放引领作用的经济特区”、“更高水平的国家自主创新示范区”、“更具辐射力带动力的全国经济中心城市”、“更具竞争力影响力的国际化城市”以及“更高质量的民生幸福城市”。</w:t>
      </w:r>
    </w:p>
    <w:p>
      <w:pPr>
        <w:pStyle w:val="19"/>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0" w:firstLineChars="0"/>
        <w:textAlignment w:val="auto"/>
        <w:rPr>
          <w:rFonts w:hint="eastAsia" w:ascii="仿宋" w:hAnsi="仿宋" w:eastAsia="仿宋" w:cs="仿宋"/>
          <w:color w:val="333333"/>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sz w:val="32"/>
          <w:szCs w:val="32"/>
        </w:rPr>
        <w:t>这不仅是未来五年深圳的目标任务,也是深圳未来五年的战略定位</w:t>
      </w:r>
      <w:r>
        <w:rPr>
          <w:rFonts w:hint="eastAsia" w:ascii="仿宋" w:hAnsi="仿宋" w:eastAsia="仿宋" w:cs="仿宋"/>
          <w:color w:val="000000"/>
          <w:sz w:val="32"/>
          <w:szCs w:val="32"/>
        </w:rPr>
        <w:t>,还是福田区发展文化产业的战略性指引,为福田区文化产业的发展提供了宏观上的指导和发展机遇，文化产业的发展将更加强调</w:t>
      </w:r>
      <w:r>
        <w:rPr>
          <w:rFonts w:hint="eastAsia" w:ascii="仿宋" w:hAnsi="仿宋" w:eastAsia="仿宋" w:cs="仿宋"/>
          <w:sz w:val="32"/>
          <w:szCs w:val="32"/>
        </w:rPr>
        <w:t>改革开放引领作用,强调更高水平的自主创新, 强调文化产业的辐射力与带动力,从而</w:t>
      </w:r>
      <w:r>
        <w:rPr>
          <w:rFonts w:hint="eastAsia" w:ascii="仿宋" w:hAnsi="仿宋" w:eastAsia="仿宋" w:cs="仿宋"/>
          <w:color w:val="000000"/>
          <w:sz w:val="32"/>
          <w:szCs w:val="32"/>
        </w:rPr>
        <w:t>为文化产业发展树立了战略性的引领标杆。</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93" w:name="_Toc416283756"/>
      <w:bookmarkStart w:id="94" w:name="_Toc425592546"/>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6.前海蛇口自贸区形成与运作机遇</w:t>
      </w:r>
      <w:bookmarkEnd w:id="93"/>
      <w:bookmarkEnd w:id="94"/>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自贸区的基本特征是贸易的自由化、投资的自由化和金融的自由化，是世界各国在全球范围内集聚生产要素、参与经济全球分工与竞争、推动经济发展的重要载体。改革开放30 多年来，深圳处于改革开放的新阶段，过去借助经济特区优势，深圳获得了前所未有的发展，现在特别需要借助自贸区的平台来进行产业的转型和升级，实现新一轮的跨越式发展。</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贸易和投资一直是深圳经济发展的重要因素，是深圳文化产业发展的重要动力。前海蛇口自贸区的建立，将充分发挥前海蛇口在我国经济中的突出地位和优势，加快深圳服务贸易自由化、投资便利化、商品贸易自由化以及金融创新的发展。这些因素的发展将会为深圳文化产业的发展提供发展的便利和机遇，带动文化产业的增长。一方面，前海蛇口自贸区挂牌运行，会吸引文化产业企业大量入驻自贸区，促进企业探索新发展模式，发现新机遇；另一方面，自贸区的建立和运作能够不断拓展文化创新业态，推进跨界交融发展。在自贸区框架下，文化与金融、投资、科技、网络、教育等行业相结合的新业务、新业态、新经济蓬勃生长。文化的跨界融合将会为文化产业的发展提供众多的发展机遇，自贸区将会形成文化产业一个巨大的孵化器。</w:t>
      </w:r>
    </w:p>
    <w:p>
      <w:pPr>
        <w:pStyle w:val="3"/>
        <w:pageBreakBefore w:val="0"/>
        <w:kinsoku/>
        <w:wordWrap/>
        <w:overflowPunct/>
        <w:topLinePunct w:val="0"/>
        <w:autoSpaceDE/>
        <w:autoSpaceDN/>
        <w:bidi w:val="0"/>
        <w:spacing w:before="0" w:after="0" w:line="240" w:lineRule="auto"/>
        <w:ind w:left="0" w:leftChars="0" w:right="0" w:rightChars="0" w:firstLine="0" w:firstLineChars="0"/>
        <w:jc w:val="center"/>
        <w:textAlignment w:val="auto"/>
        <w:rPr>
          <w:rFonts w:hint="eastAsia" w:ascii="黑体" w:hAnsi="黑体" w:eastAsia="黑体" w:cs="黑体"/>
          <w:b w:val="0"/>
          <w:bCs w:val="0"/>
          <w:color w:val="000000"/>
          <w:w w:val="90"/>
          <w:sz w:val="32"/>
          <w:szCs w:val="32"/>
        </w:rPr>
      </w:pPr>
      <w:bookmarkStart w:id="95" w:name="_Toc416283757"/>
      <w:bookmarkStart w:id="96" w:name="_Toc425592547"/>
      <w:r>
        <w:rPr>
          <w:rFonts w:hint="eastAsia" w:ascii="黑体" w:hAnsi="黑体" w:eastAsia="黑体" w:cs="黑体"/>
          <w:b w:val="0"/>
          <w:bCs w:val="0"/>
          <w:color w:val="000000"/>
          <w:w w:val="90"/>
          <w:sz w:val="32"/>
          <w:szCs w:val="32"/>
        </w:rPr>
        <w:t>三、发展战略与目标任务</w:t>
      </w:r>
      <w:bookmarkEnd w:id="95"/>
      <w:bookmarkEnd w:id="96"/>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97" w:name="_Toc425592548"/>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(一)发展战略</w:t>
      </w:r>
      <w:bookmarkEnd w:id="97"/>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98" w:name="_Toc416283758"/>
      <w:bookmarkStart w:id="99" w:name="_Toc425592549"/>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1.新常态的引领战略</w:t>
      </w:r>
      <w:bookmarkEnd w:id="98"/>
      <w:bookmarkEnd w:id="99"/>
    </w:p>
    <w:p>
      <w:pPr>
        <w:pStyle w:val="19"/>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shd w:val="clear" w:color="auto" w:fill="FFFFFF"/>
        </w:rPr>
        <w:t>立足“新常态”理念，积极认识新常态、适应新常态、引领新常态，积极推进“经济从高速增长转为中高速增长”，坚持稳中求进总体基调，保持经济平稳健康增长，推动经济社会发展从规模速度型粗放增长向质量效率型集约增长转换；积极推进“经济结构不断优化升级”，大力发展现代服务业，将文化创意产业打造成新的经济增长点；积极推进“从要素驱动、投资驱动转向创新驱动”，以文化创意产业为主导，以科技创新为支撑，打造“文化+科技”的文化产业新业态。</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b/>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伴随着文博十一载的光辉历程，福田区文化产业发展态势迅猛。福田文化产业借助文博会这个大舞台，逐渐从资源驱动转向设计驱动、创新驱动、品牌驱动。福田区文化产业在</w:t>
      </w:r>
      <w:r>
        <w:rPr>
          <w:rFonts w:hint="eastAsia" w:ascii="仿宋" w:hAnsi="仿宋" w:eastAsia="仿宋" w:cs="仿宋"/>
          <w:bCs/>
          <w:color w:val="000000"/>
          <w:kern w:val="0"/>
          <w:sz w:val="32"/>
          <w:szCs w:val="32"/>
          <w:shd w:val="clear" w:color="auto" w:fill="FFFFFF"/>
        </w:rPr>
        <w:t>新常态的引领下，应将“创”作为福田文化产业的活力之源；“进”作为福田文化产业的目标任务；“质”作为福田文化产业的灵魂和导向，产业发展的新指挥棒。从而促进文化产业的结构优化升级，推动产业形态向更高层迈进，促进文化产业稳中求进。</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00" w:name="_Toc425592551"/>
      <w:bookmarkStart w:id="101" w:name="_Toc416283760"/>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2.产业集群培育战略</w:t>
      </w:r>
      <w:bookmarkEnd w:id="100"/>
      <w:bookmarkEnd w:id="101"/>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bookmarkStart w:id="102" w:name="_Toc425592552"/>
      <w:bookmarkStart w:id="103" w:name="_Toc416283761"/>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在紧紧围绕辖区文化创意产业主导产业、名优产品以及地方专业特色来推进文化产业集聚的同时，福田区一方面可以大力培育文化要素市场来加快产业集聚，借助文博会这个大资源平台，吸引高端资源集聚福田，而且让各类生产要素高度聚集、高效配置，打造高端要素资源的聚集地；另一方面，积极培育和引进文化产业龙头企业来带动产业集聚，充分发挥龙头企业的示范带动作用，形成强势文化产业，发挥龙头企业的集聚效应。</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3.文化智造转型战略</w:t>
      </w:r>
      <w:bookmarkEnd w:id="102"/>
      <w:bookmarkEnd w:id="103"/>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b w:val="0"/>
          <w:bCs w:val="0"/>
          <w:color w:val="000000"/>
          <w:kern w:val="0"/>
          <w:sz w:val="32"/>
          <w:szCs w:val="32"/>
          <w:shd w:val="clear" w:color="auto" w:fill="FFFFFF"/>
        </w:rPr>
      </w:pPr>
      <w:bookmarkStart w:id="104" w:name="_Toc425592553"/>
      <w:r>
        <w:rPr>
          <w:rFonts w:hint="eastAsia" w:ascii="仿宋" w:hAnsi="仿宋" w:eastAsia="仿宋" w:cs="仿宋"/>
          <w:color w:val="000000"/>
          <w:sz w:val="32"/>
          <w:szCs w:val="32"/>
          <w:lang w:val="en-US" w:eastAsia="zh-CN"/>
        </w:rPr>
        <w:t xml:space="preserve">    </w:t>
      </w:r>
      <w:r>
        <w:rPr>
          <w:rFonts w:hint="eastAsia" w:ascii="仿宋" w:hAnsi="仿宋" w:eastAsia="仿宋" w:cs="仿宋"/>
          <w:b w:val="0"/>
          <w:bCs w:val="0"/>
          <w:color w:val="000000"/>
          <w:kern w:val="0"/>
          <w:sz w:val="32"/>
          <w:szCs w:val="32"/>
          <w:shd w:val="clear" w:color="auto" w:fill="FFFFFF"/>
        </w:rPr>
        <w:t>文化产业最大的资源供给是智慧，文化智慧带来文化产业价值。福田区应充分发挥文化产业的融合作用，将其融入科技、融入生活，融入消费，促进新的业态、新的商业模式产生；大力培育和支持新业态文化企业的发展；注重文化创意与科技、人才、资本相结合，充分利用深圳发达的高新技术产业，大力引进优秀文化创意人才，充分利用各种社会资本发展文化创意产业，实现福田区文化创意产业从“制造文化”转型升级为“智造文化”。</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(二)目标任务</w:t>
      </w:r>
      <w:bookmarkEnd w:id="104"/>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05" w:name="_Toc425592554"/>
      <w:bookmarkStart w:id="106" w:name="_Toc416283762"/>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1.文化产业增加值有序提高</w:t>
      </w:r>
      <w:bookmarkEnd w:id="105"/>
      <w:bookmarkEnd w:id="106"/>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“十三五”期间，福田区文化创意产业增加值年均增长14%左右，到2020年增加值占全区GDP的比重达到12%以上，使文化产业成为福田区重要的战略性新兴产业和国民经济支柱性产业。</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07" w:name="_Toc416283763"/>
      <w:bookmarkStart w:id="108" w:name="_Toc425592555"/>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2.产业结构与布局得到优化</w:t>
      </w:r>
      <w:bookmarkEnd w:id="107"/>
      <w:bookmarkEnd w:id="108"/>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十三五”期间持续促进福田区文化产业的结构优质化，重点发展创意水平高、科技含量高、附加值高的产业门类，形成创意设计业扬帆领航，新媒体及文化信息服务业、广告业、影视演艺业、时尚产业、文化会展业、文化软件业快速增长，文化旅游业和文化遗产开发业不断前进，高端印刷、图书出版业稳步提升的良好格局。形成做大做强出版业、印刷业等优势文化产业；大力推动创意设计业、新媒体和文化信息服务业、广告业、影视演艺业和文化会展业等主导文化产业的发展；重点发展时尚产业、动漫产业等潜力产业；加快推进“文化+科技”、“文化+信息”、“文化+体育”、“文化+金融”产业融合的文化产业体系。</w:t>
      </w:r>
      <w:r>
        <w:rPr>
          <w:rFonts w:hint="eastAsia" w:ascii="仿宋" w:hAnsi="仿宋" w:eastAsia="仿宋" w:cs="仿宋"/>
          <w:kern w:val="2"/>
          <w:sz w:val="32"/>
          <w:szCs w:val="32"/>
          <w:lang w:val="en-US" w:eastAsia="zh-CN" w:bidi="ar-SA"/>
        </w:rPr>
        <w:pict>
          <v:shape id="Straight Connector 2" o:spid="_x0000_s2050" o:spt="32" type="#_x0000_t32" style="position:absolute;left:0pt;margin-left:741.75pt;margin-top:15.15pt;height:40.5pt;width:0.05pt;z-index:251660288;mso-width-relative:page;mso-height-relative:page;" o:connectortype="straight"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shape>
        </w:pict>
      </w:r>
      <w:r>
        <w:rPr>
          <w:rFonts w:hint="eastAsia" w:ascii="仿宋" w:hAnsi="仿宋" w:eastAsia="仿宋" w:cs="仿宋"/>
          <w:kern w:val="2"/>
          <w:sz w:val="32"/>
          <w:szCs w:val="32"/>
          <w:lang w:val="en-US" w:eastAsia="zh-CN" w:bidi="ar-SA"/>
        </w:rPr>
        <w:pict>
          <v:shape id="Straight Connector 3" o:spid="_x0000_s2051" o:spt="32" type="#_x0000_t32" style="position:absolute;left:0pt;margin-left:541.5pt;margin-top:15.15pt;height:40.5pt;width:0.05pt;z-index:251659264;mso-width-relative:page;mso-height-relative:page;" o:connectortype="straight"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shape>
        </w:pic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09" w:name="_Toc425592556"/>
      <w:bookmarkStart w:id="110" w:name="_Toc416283764"/>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3.产业发展方式的有效转型</w:t>
      </w:r>
      <w:bookmarkEnd w:id="109"/>
      <w:bookmarkEnd w:id="110"/>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坚持文化与科技相结合，推进文化科技创新，提高自主创新能力，实现文化与科技两轮驱动、两翼齐飞。以数字化、信息化的高新技术带动文化的产业化，推动信息产业与内容产业融合发展，一方面加快推进以新兴数字技术为支持的新媒体信息内容文化率先走上产业化道路；另一方面从文化创意产业入手，以数字、网络等高新技术和现代生产方式改造传统文化创作、生产和传播模式，促进文化的产业化，延伸文化产业链，带动整个文化产业全面发展和提升。</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11" w:name="_Toc416283765"/>
      <w:bookmarkStart w:id="112" w:name="_Toc425592557"/>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4.创意企业总部的及时认定</w:t>
      </w:r>
      <w:bookmarkEnd w:id="111"/>
      <w:bookmarkEnd w:id="112"/>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b/>
          <w:color w:val="000000"/>
          <w:w w:val="9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福田具有发展总部优势得天独厚的优势，对于文化产业，由于特定的地缘性优势，目前像深圳报业集团、深圳广电集团、深圳出版发行集团全部落户福田，涌现了华视传媒、航美传媒等新型出版、媒介企业，电子商务领域聚集了业界领先的环球资源以及阿里巴巴（深圳）、芒果网、华强电子世界、中国航空网、中企网、中搜网、商讯网等著名的网络公司。这些企业具备进一步总部化发展的规模条件。</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b w:val="0"/>
          <w:color w:val="000000"/>
          <w:w w:val="90"/>
          <w:sz w:val="32"/>
          <w:szCs w:val="32"/>
        </w:rPr>
      </w:pPr>
      <w:bookmarkStart w:id="113" w:name="_Toc416283766"/>
      <w:bookmarkStart w:id="114" w:name="_Toc425592558"/>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5.企业主体得到进一步培育</w:t>
      </w:r>
      <w:bookmarkEnd w:id="113"/>
      <w:bookmarkEnd w:id="114"/>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福田区将借鉴外国经验与大胆创新有机结合起来，使得微观主体真正成为自主经营、自负盈亏、自我发展、自我约束的主体；政策、法规较为完善，有着有利于文化企业发展的社会环境；文化产业的生产与需求矛盾得到有效解决，社会化、产业化程度达到一定水平，能较好地满足人民群众日益增长的精神文化需求；微观企业经营管理水平相对较高，技术发展和创新能力较高，技术手段和管理手段超前。</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15" w:name="_Toc416283767"/>
      <w:bookmarkStart w:id="116" w:name="_Toc425592559"/>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6.文化市场得到充分的培育</w:t>
      </w:r>
      <w:bookmarkEnd w:id="115"/>
      <w:bookmarkEnd w:id="116"/>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福田区将设立一批文化产业实验特区、示范园区，打造区域性特色文化产业群，以基地和园区建设作为文化产业发展的引擎；构建统一、开放、竞争、有序的文化市场体系,使得文化产品和生产要素得到合理流动，文化产品市场和文化要素市场得到培育完善。</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17" w:name="_Toc425592560"/>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(三)指标体系</w:t>
      </w:r>
      <w:bookmarkEnd w:id="117"/>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18" w:name="_Toc416283768"/>
      <w:bookmarkStart w:id="119" w:name="_Toc425592561"/>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1.文化产业指标体系构建方法</w:t>
      </w:r>
      <w:bookmarkEnd w:id="118"/>
      <w:bookmarkEnd w:id="119"/>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（1）借鉴一 ——以欧洲创意指数理论为基础</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2002年，美国经济学家理查德•弗罗里达在其《创意阶层的崛起》一书中，首次提出创意资本论，构建出了一套创意产业发展衡量指标，即“3T”理论，包括了人才指数、技术指数以及包容性指数。在此基础上，提出了更为具体的次级指标，其具体指标包括以下四部分，以创意阶级在就业人口中所占的比例来衡量的人才指数、以每人的专利数目来测量的创新指标、高科技指数以及以同性恋指数等来测量的综合多元化指数。理查德•弗罗里达和泰内格莉将“3T”架构应用于欧洲地区，并在《创意阶层的崛起》一书分析架构的基础上对中欧、北欧的14个国家与美国进行了比较，提出了“欧洲创意指数”。</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作为一项开创性的工程，欧洲创意指数无疑对全球其他创意指数具有指导性意义。但不容置疑的是“欧洲创意指数”的指标体系在中国存在适用性的问题。一方面因为“欧洲创意指数”是建立在美国文化创意产业主要依托其高度发达的出版产业的背景下产生的，这与我国正在发展的文化创意产业存在明显差异，而且受美国自由主义经济思潮的主流思想，“3T”理论并没有关于政府调控、支持产业发展的测度，也没有对文化产业产出效应的描述。另一方面，欧洲创意指数是在欧洲的发展现状基础上构建的，有些二级指标等细化指标不适用于我国的国情，如衡量“包容性”的“综合多样性指数”，选择的同性恋指数，在我国无法接受也难以测量和评估。但我们可以以此理论为基础，充分借鉴欧洲创意指数的人才指数、技术指数来量化人才和科技两个指标。</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（2）借鉴二——以香港创意指数为参考</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为适应香港经济日益依赖于“知识”、“信息”和“创意”的变化特征，香港大学文化政策研究中心在创意阶层指数和欧洲创意指数的基础上提出了“5Cs”理论，并根据这一理论创立了一套适用于香港创意产业指标体系—香港创意指数(HKCI)。“5Cs”指创意效益、结构与制度资本、人力资本、社会资本与文化资本，它界定了香港创意指数的基本范围，该理论主要表述了影响创意增长的四项决定因素，即结构/制度、人力、社会和文化资本四种资本形式，以及由这些决定性因素的积累效应形成的结果，即创意成果或产出。该指数涵盖了从法律体系、言论自由、国际惯例、社会和文化的基础结构到研发、教育、人力资本、文化参与度等一系列关于社会基础和公众利益的指标。下设88个三级衡量指标，指标体系科学全面。</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香港创意指数为研究城市尤其是亚洲城市的创意发展提供了一个统计性框架，但在内地使用还是存在诸多问题。一方面“5Cs”理论虽然补充了“3T”理论中忽略的产出效应，但其就政府支持方面仍然存在缺失，福田区政府对文化创意产业的支持力度很大，政府支持类因素在指标构建中不可缺少；另一方面，香港创意指标体系过于庞大，涉及的数据来源十分分散，实际应用时很难保证数据的有效性和全面性。但针对香港创意指数大都量化数据，我们在构建福田区文化创意产业发展的指标体系时，可以综合福田区实际情况，充分借鉴香港创意指数中的量化指标。</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（3）借鉴三——以中国省市创意指数为依据</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中国人民大学文化创意产业研究中心在构建指标体系框架的过程中，改进UNESCO Jodhpur论坛提出亚太地区文化产业评价理论—评价文化产业的发展应该从文化资产（资本）、基础设施政策环境、与文化产出（产品及服务）三个方面来考虑。再综合钻石模型及我国文化创意产业发展的实际国情进行测度变量的选取，结合现有统计数据与调研指标，构建出中国省市文化产业发展指数指标体系模型。</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此模型和指标体系解决了地域性的问题,但是从投入产出的角度分析其指标体系，三级指标中既有投入类指标又有产出类指标，并没有清晰的区别文化创意投入类生产要素和产出类要素。但相对来说，中国省市创意指数更贴近国内指标选取，因此，构建福田区文化创意产业指标体系中可以借鉴UNESCO Jodhpur论坛提出亚太地区文化产业评价理论—从文化资产（资本）、基础设施政策环境、与文化产出（产品及服务）三个方面考虑，将其一级指标定义为资本投入类指标、政策环境类指标、创意产出类指标。</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（4）借鉴四——以上海创意指数作为补充</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上海创意中心借鉴了美国、欧洲和香港的创意指数体系，从上海创意产业发展的特点出发，根据《上海创意产业发展重点指南》确定的创意产业内涵与分类，利用《上海统计年鉴》中的统计资料编制了一整套包括产业规模、科技研发、文化环境、人力资源和社会环境五大指标在内的评价体系。上海创意指数考虑到了产业、人、软环境等，甚至细分到社会劳动生产率、社会安全指数、人均城市基础设施建设投资额等方面，具有一定的细化意义和可操作性。统计指标来源上，各项数据取自政府统计部门，确保了数据的正确性，从而保证了上海创意指数的权威性和可靠性。</w:t>
      </w:r>
    </w:p>
    <w:p>
      <w:pPr>
        <w:pageBreakBefore w:val="0"/>
        <w:kinsoku/>
        <w:wordWrap/>
        <w:overflowPunct/>
        <w:topLinePunct w:val="0"/>
        <w:autoSpaceDE/>
        <w:autoSpaceDN/>
        <w:bidi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上海创意指数根据当地统计局资料构建衡量指标，具有很强的地域性，无法普及开来作为我国城市创意指数的统一评价指标体系，而且部分指标难以量化。因此，构建福田区文化创意指标体系过程中，可以将其作为一种借鉴补充。</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20" w:name="_Toc416283769"/>
      <w:bookmarkStart w:id="121" w:name="_Toc425592562"/>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2.文化产业指标体系选择依据</w:t>
      </w:r>
      <w:bookmarkEnd w:id="120"/>
      <w:bookmarkEnd w:id="121"/>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构建福田区文化创意产业指标体系的关键在于把握以下两点：一是从文化产业自身特性出发，遵从文化产业自身特有的规律，从影响文化创意产业的众多因素中，筛选出最能体现产业实质的评价指标；二是从福田区具体情况出发，根据区域文化发展的实际情况，设计更加符合区域文化产业发展特点的指标体系。</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（1）一级指标选择依据</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通过对欧洲创意指数、香港创意指数、上海城市创意指数以及中国省市创意指数的对比分析比较，借鉴UNESCO Jodhpur论坛提出评价文化产业的发展应该从文化资产（资本）、基础设施政策环境、与文化产出（产品及服务）三个方面来考虑。于是我们将指标体系的一级指标确立由投入类指标、环境类指标、产出类指标构成。</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（2）二级指标选择依据</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投入类指标：综合各指数来看，可以发现文化创意产业的发展始终离不开人力、技术，这接近“3T”理论的核心，人力资本和科技资本必不可少。此外，产业、金融、创意资本也是文化创意发展的重要投入类指标，定义投入类指标由产业资本、金融资本、科技资本、人力资本、创意资本构成；</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环境类指标：综合福田区所处的文化创意产业自身发展环境的政治经济环境以及文化氛围，定义环境类指标由综合环境、法治环境、营商环境、人文环境、生态环境构成；</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产出类指标：综合产出类指标体系构成、福田区文化创意产业发展实际情况以及数据可获得性定义产出类指标由三大园区产业规模、销售规模、产出结构、对外贸易构成。</w:t>
      </w:r>
    </w:p>
    <w:p>
      <w:pPr>
        <w:pStyle w:val="15"/>
        <w:pageBreakBefore w:val="0"/>
        <w:kinsoku/>
        <w:wordWrap/>
        <w:overflowPunct/>
        <w:topLinePunct w:val="0"/>
        <w:autoSpaceDE/>
        <w:autoSpaceDN/>
        <w:bidi w:val="0"/>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22" w:name="_Toc425592563"/>
      <w:bookmarkStart w:id="123" w:name="_Toc416283770"/>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3.福田文化产业指标体系构建</w:t>
      </w:r>
      <w:bookmarkEnd w:id="122"/>
      <w:bookmarkEnd w:id="123"/>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bookmarkStart w:id="124" w:name="_Toc416283771"/>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综合国内外各个指标体系的优劣势，同时考虑到影响文化创意产业发展的关键要素、现实的统计资料的可获得性情况以及福田区文化创意产业发展的具体情况来对三级指标进行选取（如表3）。</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（1）投入类三级指标</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产业资本指标：总部文化企业数量、品牌文化企业数量、上市文化企业数量、文化产业园区数量、文化企业固定资产投资额、文化产业资本周转速度；</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金融资本指标：社会风险投资年投资总额、国外投资年投资总额、企业融资来源中非金融机构的比例；</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科技资本指标：政府科技研发投入总额、政府科技研发投入总额占全区GDP的百分比、企业科技研发投入总额、企业科技研发投入总额占企业全部销售收入的百分比、高科技自主知识产权产品投入实现产值、高科技产业拥有自主知识产权拥有率、高技术产业增加值、版权交易额、版权交易额比上一年增加的百分比；</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人力资本指标：就业人口中具有硕士以上学历的人数占总就业人数的百分比、具有学士以上学历的出国留学回国的就业人员占就业总人数的百分比、新增劳动力人均受教育年限、外来专业人才人数、参加各种培训的在职人员数；</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创意资本指标：文化部门科研机构高级职称从业人员每万人数量、文化科技单位人均研发经费、文博会上国际交流效果；</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（2）环境类三级指标</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综合环境指标：社会劳动生产率、社会安全指数、宽带接入用户数、每年专项资金支持总额、政策完善程度、公共服务的满意度、知识产权保护的程度；</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法治环境指标：政府完全依法办事的程度、法律明确、公开、稳定、公正的程度、法律程序开放、公平、高效的程度、司法制度具备高效、开放、有效的程度；</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营商环境指标：合同执行数量、从金融机构获得的融资贷款的占比、税收制度的完善程度、每年文化企业开办和申请营业执照数量、每年文化企业倒闭数量、行业协会组织每年发动的文化活动数目；</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人文环境指标：家庭文化消费支出、公共图书馆每百万人拥有量、人均借阅图书馆图书的数目、区属文化馆数量、社会投资博物馆数量、人均参观文化馆/博物馆的次数、举办国际展览会项目数；</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生态环境指标：环保投入占GDP百分比、人均公共绿地面积、每万人拥有的实行免费开放公园数(按常住人口计算)；</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（3）产出类三级指标</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三大园区产出规模：田面设计之都产出规模、深圳文化创意园产出规模、雅昌艺术馆产出规模；</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产业规模：规模以上文化企业数量、文化创意企业数量、文化创意产业企业数量比上一年增加的百分比、文化创意产业就业人数、文化创意产业增加值；</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销售规模：文化创意产业营业收入、文化创意产业净利润；</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产出结构：规模以上企业占比、高端创意企业占比、文化创意产业就业人数占全区就业人数的百分比、文化创意产业创造的增加值占全区总增加值的比重；</w:t>
      </w:r>
    </w:p>
    <w:p>
      <w:pPr>
        <w:pageBreakBefore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文化创意产业对外贸易：文化创意产品出口占全区总体出口贸易比重、文化创意服务出口占全区总体出口贸易比重。</w:t>
      </w:r>
    </w:p>
    <w:p>
      <w:pPr>
        <w:spacing w:line="360" w:lineRule="auto"/>
        <w:ind w:left="0" w:leftChars="0" w:firstLine="0" w:firstLineChars="0"/>
        <w:jc w:val="center"/>
        <w:rPr>
          <w:rFonts w:hint="eastAsia" w:ascii="仿宋" w:hAnsi="仿宋" w:eastAsia="仿宋" w:cs="仿宋"/>
          <w:color w:val="000000"/>
          <w:w w:val="90"/>
          <w:sz w:val="32"/>
          <w:szCs w:val="32"/>
        </w:rPr>
      </w:pPr>
      <w:r>
        <w:rPr>
          <w:rFonts w:hint="eastAsia" w:ascii="仿宋" w:hAnsi="仿宋" w:eastAsia="仿宋" w:cs="仿宋"/>
          <w:color w:val="000000"/>
          <w:w w:val="90"/>
          <w:sz w:val="32"/>
          <w:szCs w:val="32"/>
        </w:rPr>
        <w:t>表3   福田区文化创意产业评价指标体系</w:t>
      </w:r>
    </w:p>
    <w:tbl>
      <w:tblPr>
        <w:tblStyle w:val="22"/>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3"/>
        <w:gridCol w:w="2268"/>
        <w:gridCol w:w="5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blHeader/>
        </w:trPr>
        <w:tc>
          <w:tcPr>
            <w:tcW w:w="1433"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一级指标</w:t>
            </w:r>
          </w:p>
        </w:tc>
        <w:tc>
          <w:tcPr>
            <w:tcW w:w="2268"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二级指标</w:t>
            </w:r>
          </w:p>
        </w:tc>
        <w:tc>
          <w:tcPr>
            <w:tcW w:w="5386"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三级指标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restart"/>
            <w:tcBorders>
              <w:top w:val="nil"/>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p>
            <w:pPr>
              <w:widowControl/>
              <w:ind w:left="0" w:leftChars="0" w:firstLine="0" w:firstLineChars="0"/>
              <w:jc w:val="center"/>
              <w:rPr>
                <w:rFonts w:hint="eastAsia" w:ascii="仿宋" w:hAnsi="仿宋" w:eastAsia="仿宋" w:cs="仿宋"/>
                <w:b/>
                <w:color w:val="000000"/>
                <w:kern w:val="0"/>
                <w:sz w:val="28"/>
                <w:szCs w:val="28"/>
              </w:rPr>
            </w:pPr>
          </w:p>
          <w:p>
            <w:pPr>
              <w:widowControl/>
              <w:ind w:left="0" w:leftChars="0" w:firstLine="0" w:firstLineChars="0"/>
              <w:jc w:val="center"/>
              <w:rPr>
                <w:rFonts w:hint="eastAsia" w:ascii="仿宋" w:hAnsi="仿宋" w:eastAsia="仿宋" w:cs="仿宋"/>
                <w:b/>
                <w:color w:val="000000"/>
                <w:kern w:val="0"/>
                <w:sz w:val="28"/>
                <w:szCs w:val="28"/>
              </w:rPr>
            </w:pPr>
          </w:p>
          <w:p>
            <w:pPr>
              <w:widowControl/>
              <w:ind w:left="0" w:leftChars="0" w:firstLine="0" w:firstLineChars="0"/>
              <w:jc w:val="center"/>
              <w:rPr>
                <w:rFonts w:hint="eastAsia" w:ascii="仿宋" w:hAnsi="仿宋" w:eastAsia="仿宋" w:cs="仿宋"/>
                <w:b/>
                <w:color w:val="000000"/>
                <w:kern w:val="0"/>
                <w:sz w:val="28"/>
                <w:szCs w:val="28"/>
              </w:rPr>
            </w:pPr>
          </w:p>
          <w:p>
            <w:pPr>
              <w:widowControl/>
              <w:ind w:left="0" w:leftChars="0" w:firstLine="0" w:firstLineChars="0"/>
              <w:jc w:val="center"/>
              <w:rPr>
                <w:rFonts w:hint="eastAsia" w:ascii="仿宋" w:hAnsi="仿宋" w:eastAsia="仿宋" w:cs="仿宋"/>
                <w:b/>
                <w:color w:val="000000"/>
                <w:kern w:val="0"/>
                <w:sz w:val="28"/>
                <w:szCs w:val="28"/>
              </w:rPr>
            </w:pPr>
          </w:p>
          <w:p>
            <w:pPr>
              <w:widowControl/>
              <w:ind w:left="0" w:leftChars="0" w:firstLine="0" w:firstLineChars="0"/>
              <w:jc w:val="center"/>
              <w:rPr>
                <w:rFonts w:hint="eastAsia" w:ascii="仿宋" w:hAnsi="仿宋" w:eastAsia="仿宋" w:cs="仿宋"/>
                <w:b/>
                <w:color w:val="000000"/>
                <w:kern w:val="0"/>
                <w:sz w:val="28"/>
                <w:szCs w:val="28"/>
              </w:rPr>
            </w:pPr>
          </w:p>
          <w:p>
            <w:pPr>
              <w:widowControl/>
              <w:ind w:left="0" w:leftChars="0" w:firstLine="0" w:firstLineChars="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资本投入类指标</w:t>
            </w:r>
          </w:p>
        </w:tc>
        <w:tc>
          <w:tcPr>
            <w:tcW w:w="2268" w:type="dxa"/>
            <w:vMerge w:val="restart"/>
            <w:tcBorders>
              <w:top w:val="nil"/>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rPr>
              <w:t>产业资本</w:t>
            </w: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总部文化企业数量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品牌文化企业数量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上市文化企业数量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文化产业园区数量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文化企业固定资产投资额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文化产业资本周转速度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restart"/>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金融资本</w:t>
            </w: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社会风险投资年投资总额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国外投资年投资总额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企业融资来源中非金融机构的比例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restart"/>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科技资本</w:t>
            </w: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政府科技研发投入总额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政府科技研发投入总额占全区GDP的百分比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企业科技研发投入总额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企业科技研发投入总额占企业全部销售收入的百分比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高科技自主知识产权产品投入实现产值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高科技产业拥有自主知识产权拥有率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高技术产业增加值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版权交易额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版权交易额比上一年增加的百分比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restart"/>
            <w:tcBorders>
              <w:top w:val="nil"/>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人力资本</w:t>
            </w: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r>
              <w:rPr>
                <w:rFonts w:hint="eastAsia" w:ascii="仿宋" w:hAnsi="仿宋" w:eastAsia="仿宋" w:cs="仿宋"/>
                <w:color w:val="000000"/>
                <w:kern w:val="0"/>
                <w:sz w:val="28"/>
                <w:szCs w:val="28"/>
              </w:rPr>
              <w:t>就业人口中具有硕士以上学历的人数占总就业人数的百分比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具有学士以上学历的出国留学回国的就业人员占就业总人数的百分比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新增劳动力人均受教育年限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外来专业人才人数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参加各种培训的在职人员数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restart"/>
            <w:tcBorders>
              <w:top w:val="nil"/>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创意资本</w:t>
            </w: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文化部门科研机构高级职称从业人员每万人数量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文化科技单位人均研发经费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文博会上国际交流效果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blHeader/>
        </w:trPr>
        <w:tc>
          <w:tcPr>
            <w:tcW w:w="1433" w:type="dxa"/>
            <w:vMerge w:val="restart"/>
            <w:tcBorders>
              <w:top w:val="nil"/>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p>
            <w:pPr>
              <w:widowControl/>
              <w:ind w:left="0" w:leftChars="0" w:firstLine="0" w:firstLineChars="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环境类指标</w:t>
            </w:r>
          </w:p>
        </w:tc>
        <w:tc>
          <w:tcPr>
            <w:tcW w:w="2268" w:type="dxa"/>
            <w:vMerge w:val="restart"/>
            <w:tcBorders>
              <w:top w:val="nil"/>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综合环境</w:t>
            </w: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社会劳动生产率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社会安全指数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宽带接入用户数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每年专项资金支持总额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政策完善程度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公共服务的满意度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知识产权保护的程度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restart"/>
            <w:tcBorders>
              <w:top w:val="nil"/>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法治环境</w:t>
            </w: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政府完全依法办事的程度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法律明确、公开、稳定、公正的程度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法律程序开放、公平、高效的程度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司法制度具备高效、开放、有效的程度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restart"/>
            <w:tcBorders>
              <w:top w:val="nil"/>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营商环境</w:t>
            </w: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合同执行数量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从金融机构获得的融资贷款的占比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税收制度的完善程度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每年文化企业开办和申请营业执照数量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每年文化企业倒闭数量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行业协会组织每年发动的文化活动数目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restart"/>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人文环境</w:t>
            </w: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家庭文化消费支出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公共图书馆每百万人拥有量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人均借阅图书馆图书的数目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区属文化馆数量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社会投资博物馆数量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人均参观文化馆、博物馆的次数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举办国际展览会项目数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restart"/>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生态环境</w:t>
            </w: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环保投入占GDP百分比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人均公共绿地面积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每万人拥有的实行免费开放公园数(按常住人口计算)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restart"/>
            <w:tcBorders>
              <w:top w:val="nil"/>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p>
            <w:pPr>
              <w:widowControl/>
              <w:ind w:left="0" w:leftChars="0" w:firstLine="0" w:firstLineChars="0"/>
              <w:jc w:val="center"/>
              <w:rPr>
                <w:rFonts w:hint="eastAsia" w:ascii="仿宋" w:hAnsi="仿宋" w:eastAsia="仿宋" w:cs="仿宋"/>
                <w:b/>
                <w:color w:val="000000"/>
                <w:kern w:val="0"/>
                <w:sz w:val="28"/>
                <w:szCs w:val="28"/>
              </w:rPr>
            </w:pPr>
          </w:p>
          <w:p>
            <w:pPr>
              <w:widowControl/>
              <w:ind w:left="0" w:leftChars="0" w:firstLine="0" w:firstLineChars="0"/>
              <w:jc w:val="center"/>
              <w:rPr>
                <w:rFonts w:hint="eastAsia" w:ascii="仿宋" w:hAnsi="仿宋" w:eastAsia="仿宋" w:cs="仿宋"/>
                <w:b/>
                <w:color w:val="000000"/>
                <w:kern w:val="0"/>
                <w:sz w:val="28"/>
                <w:szCs w:val="28"/>
              </w:rPr>
            </w:pPr>
          </w:p>
          <w:p>
            <w:pPr>
              <w:widowControl/>
              <w:ind w:left="0" w:leftChars="0" w:firstLine="0" w:firstLineChars="0"/>
              <w:jc w:val="center"/>
              <w:rPr>
                <w:rFonts w:hint="eastAsia" w:ascii="仿宋" w:hAnsi="仿宋" w:eastAsia="仿宋" w:cs="仿宋"/>
                <w:b/>
                <w:color w:val="000000"/>
                <w:kern w:val="0"/>
                <w:sz w:val="28"/>
                <w:szCs w:val="28"/>
              </w:rPr>
            </w:pPr>
          </w:p>
          <w:p>
            <w:pPr>
              <w:widowControl/>
              <w:ind w:left="0" w:leftChars="0" w:firstLine="0" w:firstLineChars="0"/>
              <w:jc w:val="center"/>
              <w:rPr>
                <w:rFonts w:hint="eastAsia" w:ascii="仿宋" w:hAnsi="仿宋" w:eastAsia="仿宋" w:cs="仿宋"/>
                <w:b/>
                <w:color w:val="000000"/>
                <w:kern w:val="0"/>
                <w:sz w:val="28"/>
                <w:szCs w:val="28"/>
              </w:rPr>
            </w:pPr>
          </w:p>
          <w:p>
            <w:pPr>
              <w:widowControl/>
              <w:ind w:left="0" w:leftChars="0" w:firstLine="0" w:firstLineChars="0"/>
              <w:jc w:val="center"/>
              <w:rPr>
                <w:rFonts w:hint="eastAsia" w:ascii="仿宋" w:hAnsi="仿宋" w:eastAsia="仿宋" w:cs="仿宋"/>
                <w:b/>
                <w:color w:val="000000"/>
                <w:kern w:val="0"/>
                <w:sz w:val="28"/>
                <w:szCs w:val="28"/>
              </w:rPr>
            </w:pPr>
          </w:p>
          <w:p>
            <w:pPr>
              <w:widowControl/>
              <w:ind w:left="0" w:leftChars="0" w:firstLine="0" w:firstLineChars="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产出类指标</w:t>
            </w:r>
          </w:p>
        </w:tc>
        <w:tc>
          <w:tcPr>
            <w:tcW w:w="2268" w:type="dxa"/>
            <w:vMerge w:val="restart"/>
            <w:tcBorders>
              <w:top w:val="nil"/>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三大园区产出规模</w:t>
            </w: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田面设计之都产出规模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深圳文化创意园产出规模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2268" w:type="dxa"/>
            <w:vMerge w:val="continue"/>
            <w:tcBorders>
              <w:top w:val="nil"/>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雅昌艺术馆产出规模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2268" w:type="dxa"/>
            <w:vMerge w:val="restart"/>
            <w:tcBorders>
              <w:top w:val="nil"/>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产业规模</w:t>
            </w: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r>
              <w:rPr>
                <w:rFonts w:hint="eastAsia" w:ascii="仿宋" w:hAnsi="仿宋" w:eastAsia="仿宋" w:cs="仿宋"/>
                <w:color w:val="000000"/>
                <w:kern w:val="0"/>
                <w:sz w:val="28"/>
                <w:szCs w:val="28"/>
              </w:rPr>
              <w:t>规模以上文化企业数量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2268" w:type="dxa"/>
            <w:vMerge w:val="continue"/>
            <w:tcBorders>
              <w:top w:val="nil"/>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文化创意企业数量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2268" w:type="dxa"/>
            <w:vMerge w:val="continue"/>
            <w:tcBorders>
              <w:top w:val="nil"/>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文化创意产业企业数量比上一年增加的百分比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2268" w:type="dxa"/>
            <w:vMerge w:val="continue"/>
            <w:tcBorders>
              <w:top w:val="nil"/>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文化创意产业就业人数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2268" w:type="dxa"/>
            <w:vMerge w:val="continue"/>
            <w:tcBorders>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文化创意产业增加值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2268" w:type="dxa"/>
            <w:vMerge w:val="restart"/>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销售规模</w:t>
            </w: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文化创意产业营业收入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2268" w:type="dxa"/>
            <w:vMerge w:val="continue"/>
            <w:tcBorders>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文化创意产业净利润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2268" w:type="dxa"/>
            <w:vMerge w:val="restart"/>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产出结构</w:t>
            </w: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规模以上企业占比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高端创意企业占比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2268"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文化创意产业就业人数占全区就业人数的百分比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2268" w:type="dxa"/>
            <w:vMerge w:val="continue"/>
            <w:tcBorders>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文化创意产业创造的增加值占全区总增加值的比重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2268" w:type="dxa"/>
            <w:vMerge w:val="restart"/>
            <w:tcBorders>
              <w:top w:val="nil"/>
              <w:left w:val="nil"/>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对外贸易</w:t>
            </w:r>
          </w:p>
        </w:tc>
        <w:tc>
          <w:tcPr>
            <w:tcW w:w="5386" w:type="dxa"/>
            <w:tcBorders>
              <w:top w:val="nil"/>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文化创意产品出口占全区总体出口贸易比重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blHeader/>
        </w:trPr>
        <w:tc>
          <w:tcPr>
            <w:tcW w:w="1433" w:type="dxa"/>
            <w:vMerge w:val="continue"/>
            <w:tcBorders>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b/>
                <w:color w:val="000000"/>
                <w:kern w:val="0"/>
                <w:sz w:val="28"/>
                <w:szCs w:val="28"/>
              </w:rPr>
            </w:pPr>
          </w:p>
        </w:tc>
        <w:tc>
          <w:tcPr>
            <w:tcW w:w="2268" w:type="dxa"/>
            <w:vMerge w:val="continue"/>
            <w:tcBorders>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p>
        </w:tc>
        <w:tc>
          <w:tcPr>
            <w:tcW w:w="5386" w:type="dxa"/>
            <w:tcBorders>
              <w:left w:val="nil"/>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文化创意服务出口占全区总体出口贸易比重</w:t>
            </w:r>
          </w:p>
        </w:tc>
      </w:tr>
    </w:tbl>
    <w:p>
      <w:pPr>
        <w:spacing w:line="440" w:lineRule="exact"/>
        <w:ind w:left="0" w:leftChars="0" w:firstLine="0" w:firstLineChars="0"/>
        <w:rPr>
          <w:rFonts w:hint="eastAsia" w:ascii="仿宋" w:hAnsi="仿宋" w:eastAsia="仿宋" w:cs="仿宋"/>
          <w:color w:val="000000"/>
          <w:kern w:val="0"/>
          <w:sz w:val="32"/>
          <w:szCs w:val="32"/>
          <w:shd w:val="clear" w:color="auto" w:fill="FFFFFF"/>
        </w:rPr>
      </w:pPr>
      <w:bookmarkStart w:id="125" w:name="_Toc425592564"/>
      <w:r>
        <w:rPr>
          <w:rFonts w:hint="eastAsia" w:ascii="仿宋" w:hAnsi="仿宋" w:eastAsia="仿宋" w:cs="仿宋"/>
          <w:color w:val="000000"/>
          <w:kern w:val="0"/>
          <w:sz w:val="32"/>
          <w:szCs w:val="32"/>
          <w:shd w:val="clear" w:color="auto" w:fill="FFFFFF"/>
        </w:rPr>
        <w:t>资料来源：根据区统计局、区属内部资料与课题组的综合调研。</w:t>
      </w:r>
    </w:p>
    <w:p>
      <w:pPr>
        <w:rPr>
          <w:rFonts w:hint="eastAsia"/>
        </w:rPr>
      </w:pPr>
    </w:p>
    <w:p>
      <w:pPr>
        <w:pStyle w:val="3"/>
        <w:keepNext/>
        <w:keepLines/>
        <w:pageBreakBefore w:val="0"/>
        <w:widowControl w:val="0"/>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0"/>
        <w:rPr>
          <w:rFonts w:hint="eastAsia" w:ascii="黑体" w:hAnsi="黑体" w:eastAsia="黑体" w:cs="黑体"/>
          <w:b w:val="0"/>
          <w:bCs w:val="0"/>
          <w:color w:val="000000"/>
          <w:w w:val="90"/>
          <w:sz w:val="32"/>
          <w:szCs w:val="32"/>
        </w:rPr>
      </w:pPr>
      <w:r>
        <w:rPr>
          <w:rFonts w:hint="eastAsia" w:ascii="黑体" w:hAnsi="黑体" w:eastAsia="黑体" w:cs="黑体"/>
          <w:b w:val="0"/>
          <w:bCs w:val="0"/>
          <w:color w:val="000000"/>
          <w:w w:val="90"/>
          <w:sz w:val="32"/>
          <w:szCs w:val="32"/>
        </w:rPr>
        <w:t>四、发展重点与产业安排</w:t>
      </w:r>
      <w:bookmarkEnd w:id="124"/>
      <w:bookmarkEnd w:id="125"/>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26" w:name="_Toc425592565"/>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(一)发展重点</w:t>
      </w:r>
      <w:bookmarkEnd w:id="126"/>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27" w:name="_Toc416283772"/>
      <w:bookmarkStart w:id="128" w:name="_Toc425592566"/>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1.提高一个博览会办会水平</w:t>
      </w:r>
      <w:bookmarkEnd w:id="127"/>
      <w:bookmarkEnd w:id="128"/>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至2015年，中国（深圳）国际文化产业博览交易会（以下简称“文博会”）已经为福田文化产业带来了第十一个丰收年。其间,福田区成交总量达到400亿元人民币,占全市的20%;</w:t>
      </w:r>
      <w:r>
        <w:rPr>
          <w:rFonts w:hint="eastAsia" w:ascii="仿宋" w:hAnsi="仿宋" w:eastAsia="仿宋" w:cs="仿宋"/>
          <w:color w:val="000000"/>
          <w:sz w:val="32"/>
          <w:szCs w:val="32"/>
        </w:rPr>
        <w:t>作为中心城区，福田区参加本届文博会的1大主展馆、10个分会场、20个专项活动可谓精彩纷呈，个性魅力十足,</w:t>
      </w:r>
      <w:r>
        <w:rPr>
          <w:rFonts w:hint="eastAsia" w:ascii="仿宋" w:hAnsi="仿宋" w:eastAsia="仿宋" w:cs="仿宋"/>
          <w:color w:val="000000"/>
          <w:kern w:val="0"/>
          <w:sz w:val="32"/>
          <w:szCs w:val="32"/>
          <w:shd w:val="clear" w:color="auto" w:fill="FFFFFF"/>
        </w:rPr>
        <w:t>体现了福田文化产业发展欣欣向荣的景象。文博会以“国际化、专业化、市场化、规范化、精品化”为办展思路，致力于展示我国最优秀的文化产品和文化成果。对于福田区来说，文博会也是福田文化产业整体实力展示的最大舞台，搭建的是福田文化创意产业扬帆出海的贸易平台，突出的是福田文化创意产业的最新形象展示。多年来，通过这个平台，福田区已经取得了斐然的成绩。但是，我们也应该清醒地认识到，要更高水准的举办福田分会场、更充分的利用这个平台，福田区还面临不少亟需解决的制约因素和瓶颈：展览杂而散；专业化水平不高；缺乏良好的市场调节，国际参展商、采购商参展比重偏低等。未来，提高“文博会”福田活动组织水平和成效，还有很大的提升空间。总体来说，需要加强主会场福田展区建设，做好前期规划和展区设计；不断提升分会场和专项活动承办水平，加强调研和分类指导；并努力开拓新的分会场和专项活动项目，力争每年均有所提升。具体来讲，可以：</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（1）确立政府牵头的办展模式，建立强有力的可持续发展机制</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以福田区宣传部为牵头单位，争取各部门积极配合的运作模式，进一步加强文博会各分会场的总体策划、组织实施以及对外联络和协调工作，做到全区联动、统筹协调、整体推进。不断加强媒体对文博会的宣传报道，扩大文博会的影响力，建立牵头部门对文博会分会场的联系指导制度，力争每届文博会举办一项以上领域内的权威活动，同时整合各自领域同类展会资源，逐步将适合文博会展示交易的内容整合进来。</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（2）增强承办主体核心竞争力，有效促进各分会场市场化运作</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完善承办主体。鼓励通过股份合作、兼并、收购等形式，整合文博会硬件设施，营销网络和人才资源，积极引导福田会展资源与文化企业互补，形成合力，加强各分会场资本运作能力，提高盈利能力和抗风险能力，增强各分会场的核心竞争力。</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加强与国际知名会展公司的合作。综合运用各种政策手段，营造公开、公平、公正的市场竞争环境和一流的投资贸易环境，采取定向补贴和免费提供办公场所等方式，引进国际著名会展公司合作筹办分会场，与国际公关公司和各国驻中国商会协会等中介机构建立战略合作关系，并共同投资建设会展场馆等配套项目，增强各会场承办力量，提升福田分会场整体质量和水平。</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（3）大力实施品牌化战略，全面提升文博会专业化水平</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遵循国际知名品牌会展的成功经验，在现有深圳会展中心的基础上，整合资源，按照多点启动、以点带面的思路，通过以政府投入为主，社会资金参与的模式，建设具备国际一流水平，体现福田特色的会展场馆群，为文博会办成国际知名品牌提供硬件保障，构建一流的展览模式。在保持综合性特点的前提下，顺应会展经济专业化发展趋势，彻底改变以往大而全、杂而散的展览模式，每届选择若干行业领域作为文博会主题展示和交易领域，从成果和信息展示交流、行业技术前瞻牵引、行业发展前景反映等节点入手，展示主题行业整个产业链各个环节的最新成果、最新技术、最新产品和最新信息，既做到展览类别的综合性，也符合产品项目的专业性要求。</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（4）创新招商拓展模式，不断提高各会场国际化水平</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建立内联外通的招商拓展机制，对内通过举办招商推介会、走访参展区、交流联谊等形式，与各文化企业建立紧密联系友好协作的内部协调制度，同时要加强与相关文化产业行业协会的合作，充分调动和组织更多的优秀文化企业和项目参展；对外通过邀请海外专业展览公司、大型活动组织机构等，建立长期合作关系，并广泛邀请海外文化机构负责人、外国文化官员、海外买家参会，调动国外驻华机构和相关专业机构的积极性，加强对福田区分会场的宣传推介。通过在海外设立招商代表处、委托招商代理机构等形式，广泛寻找有实力的专业采购商，建立专业采购商会员制，对有良好采购记录、较强购买能力的海外采购商建立会员制度，成立国际会员俱乐部，为海外采购商量身定做采购方案，逐一制定海外买家邀约洽谈计划，对参展商进行专业配对，为项目与资本“一对一”、“一对多”洽谈提供个性化服务，促成区内参展商与海外专业买家的合作，形成良性互动和有效结合，进一步提高文化产品和服务的交易输出水平。</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（5）加大财政投入，为文博会提供强力支撑</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出台经费补贴标准，对国家鼓励发展的公益类项目参展实施大额补贴，加大对文博会各种公共文化活动和展览项目场租的支持力度，制定扶持会展业发展的优惠措施，建立会展服务业绿色通道，在办展审批项目落地等方面给予支持；对从事会展业的企业和单位实现的营业收入、利润总额形成地方财力部分，给予一定的补贴；对文博会的承办企业和办展机构由财政按其所纳税额给予一定的支持。</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29" w:name="_Toc425592567"/>
      <w:bookmarkStart w:id="130" w:name="_Toc416283773"/>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2.加强二个国家级平台联系</w:t>
      </w:r>
      <w:bookmarkEnd w:id="129"/>
      <w:bookmarkEnd w:id="130"/>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借助设在福田区的两个国家级文化产业平台——中国文化产业投资基金和深圳文化产权交易所，也是促进我区文化产业快速健康发展的重点之一。积极沟通，加强与两个平台的联系，引导文化企业参与并提高文化产权交易效率，加强融资与孵化，促进辖区文化企业快速成长。</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（1）中国文化产业投资基金</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当前，越来越多的非公经济文化企业</w:t>
      </w:r>
      <w:r>
        <w:rPr>
          <w:rFonts w:hint="eastAsia" w:ascii="仿宋" w:hAnsi="仿宋" w:eastAsia="仿宋" w:cs="仿宋"/>
          <w:color w:val="000000"/>
          <w:kern w:val="0"/>
          <w:sz w:val="32"/>
          <w:szCs w:val="32"/>
          <w:shd w:val="clear" w:color="auto" w:fill="FFFFFF"/>
          <w:lang w:eastAsia="zh-CN"/>
        </w:rPr>
        <w:t>已经</w:t>
      </w:r>
      <w:r>
        <w:rPr>
          <w:rFonts w:hint="eastAsia" w:ascii="仿宋" w:hAnsi="仿宋" w:eastAsia="仿宋" w:cs="仿宋"/>
          <w:color w:val="000000"/>
          <w:kern w:val="0"/>
          <w:sz w:val="32"/>
          <w:szCs w:val="32"/>
          <w:shd w:val="clear" w:color="auto" w:fill="FFFFFF"/>
        </w:rPr>
        <w:t>进入市场，市场竞争日益激烈，靠政府来解决资金问题已不可能了，文化产业投资基金正好弥补政府资金退出后的空缺，为文化企业提供市场化和专业化投资管理服务。</w:t>
      </w:r>
      <w:bookmarkStart w:id="175" w:name="_GoBack"/>
      <w:bookmarkEnd w:id="175"/>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a</w:t>
      </w:r>
      <w:r>
        <w:rPr>
          <w:rFonts w:hint="eastAsia" w:ascii="仿宋" w:hAnsi="仿宋" w:eastAsia="仿宋" w:cs="仿宋"/>
          <w:color w:val="000000"/>
          <w:kern w:val="0"/>
          <w:sz w:val="32"/>
          <w:szCs w:val="32"/>
          <w:shd w:val="clear" w:color="auto" w:fill="FFFFFF"/>
        </w:rPr>
        <w:t>）充分利用中国文化产业投资基金平台，发挥创业投资的作用。我区文化企业资金匮乏问题，是文化创意成果实现工业化、产业化的主要障碍之一。利用产业投资基金，不仅可以为产业企业和个人提供最初的资金投入和关键时刻的营运资金，尽快促成创意成果的转化和较大规模的产品市场推广；也可以对长线项目和产业化二次开发项目所需资金提供支持，待项目成功后，通过出售、转让产业投资基金在项目中的投资股份而获得较高额回报。</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b</w:t>
      </w:r>
      <w:r>
        <w:rPr>
          <w:rFonts w:hint="eastAsia" w:ascii="仿宋" w:hAnsi="仿宋" w:eastAsia="仿宋" w:cs="仿宋"/>
          <w:color w:val="000000"/>
          <w:kern w:val="0"/>
          <w:sz w:val="32"/>
          <w:szCs w:val="32"/>
          <w:shd w:val="clear" w:color="auto" w:fill="FFFFFF"/>
        </w:rPr>
        <w:t>）充分利用中国文化产业投资基金平台，发挥担保基金的作用。在生产经营过程中，文化企业不免要向银行贷款或向其他机构借款。由中国文化产业投资基金充当担保基金的角色，为基金的股东企业或业内提供专业的、有偿的融资担保服务是十分必要的和有效的。</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c</w:t>
      </w:r>
      <w:r>
        <w:rPr>
          <w:rFonts w:hint="eastAsia" w:ascii="仿宋" w:hAnsi="仿宋" w:eastAsia="仿宋" w:cs="仿宋"/>
          <w:color w:val="000000"/>
          <w:kern w:val="0"/>
          <w:sz w:val="32"/>
          <w:szCs w:val="32"/>
          <w:shd w:val="clear" w:color="auto" w:fill="FFFFFF"/>
        </w:rPr>
        <w:t>）加强与中国文化产业投资基金的合作，对我区文化产业进行公益性投资。对文化产业进行公益性投资是指宣传、推广我区文化产业的整体形象，树立整个产业的市场信誉，而非指某一企业或某一产品的广告宣传和形象推广。通过与文化产业投资基金合作投资公益性文化事业所获得的回报往往是大众审美意识、思想道德水平层面的提升，有助于整个文化产业的市场培育和我区文化产业的长期发展。</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（2）深圳文化产权交易所</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深圳文化产权交易所是文化产业与资本市场之间筑起的一座桥梁，它一端连着资本,一端连着文化产品和文化企业, 产权交易是其核心,旨在促成文化产业与各类资本有效对接。而文化产业的发展和高端人才的集聚关键在于有强大的功能载体和良好的发展环境，文化产权交易市场便是其中的核心平台。</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正是主要基于这一认识，福田区应充分利用这一有利条件，加强联系以抢占发展制高点，为我区的优质文化产业项目、重点项目、创新型项目的招商引资、项目孵化、资本对接创造条件。目前，我区尚存在大量的文化创意成果因缺乏资金无法产业化，同时大量的金融资本、产业资本、风险投资由于寻找不到合适的投资机会而只能闲置，这都造成了社会资源的极大浪费。文化产权交易市场汇聚了大量文化创意成果，产业资本以及金融资本，为提高文化项目与资本间进行资源配置以及提高资源配置效率奠定了良好的基础，有利于扩大我区文化产业并形成规模集约效应。因此，政府应制定相关政策，积极鼓励我区的优秀作品版权、优质项目等到深圳文化产权交易所进行交易，并为其交易提供指导和便利条件。</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31" w:name="_Toc416283774"/>
      <w:bookmarkStart w:id="132" w:name="_Toc425592568"/>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3.推进三大新兴园区的</w:t>
      </w:r>
      <w:bookmarkEnd w:id="131"/>
      <w:r>
        <w:rPr>
          <w:rFonts w:hint="eastAsia" w:ascii="仿宋" w:hAnsi="仿宋" w:eastAsia="仿宋" w:cs="仿宋"/>
          <w:color w:val="000000"/>
          <w:w w:val="90"/>
          <w:sz w:val="32"/>
          <w:szCs w:val="32"/>
        </w:rPr>
        <w:t>发展</w:t>
      </w:r>
      <w:bookmarkEnd w:id="132"/>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随着文化产业对福田经济的影响不断深化，文化产业园区化已经成为当下我区文化产业发展的一个显著特征和重要趋势，其一方面在促进资源整合、营造文化创新氛围、实现各方要素集聚上有着先天的优势；另一方面可充分引起社会对文化产业的关注，为文化产业提供更大的物质空间载体。然而近年来，福田区在产业园区建设方面的新突破并不多，面对剧烈的区域竞争，进一步发挥园区产业模式的优势，鼓励社会力量参与我区文化产业园区的建设，已经成为当下我区发展文化产业的一个重要课题。</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2014年，福田区政府结合福田保税区转型升级的要求，积极拓展文化创意产业发展空间，鼓励和引导民营企业发展文化产业园区，目前，在福田保税区已涌现了三个新的产业园区：“深圳创意保税园”、“深圳国际文化产业园区”和“中芬设计园”，为我区文化产业发展注入了新的活力。这三个项目，合计可为我区新增近12万平方米的产业空间，将成为实现中央商务区（CBD）向南拓展的重要载体。</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（1）产业定位要突出比较优势</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运作良好的文化产业园区，都有自己明确的产业定位，在园区规划过程中，政府应加大指导力度，引导园区依据本区优势资源和产业基础，选择相对于他区难以竞争的优势，对相关行业进行分类筛选，确定资源配置的方向和策略，综合利用各种因素，彰显地方特色文化氛围，在建设成本最优的基础上，突出产业园区的文化主题。</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（2）园区价值体现依托专业化人才</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运营人才是文化产业发展的灵魂，没有创意产业人才就无所谓创意产业。为了新兴园区聚集创意人才，政府必须大力创造吸引人才的基本条件，如可以开展论坛交流，产学研合作; 组织各种集群会议，形成高能量中心; 通过引进、培训、推介等手段，聚集起创意人才等。</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（3）完善商务活动要借力中介机构</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文化产业的特点决定了它需要有中介机构来发现、挖掘和推介这个产业的价值。政府可利用已经发展成熟的文化产业园的中介资源，鼓励中介资源分支落户新兴产业园，并引导高质量的中介机构与新兴产业园企业的沟通和联系，借力中介机构加快新兴产业园的发展。</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（4）紧密联系媒体扩大社会影响</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在文化产业园的规划初期，就要与媒体保持极为密切的合作关系，扩大园区影响。可由政府牵头，不定期举办文化创意产业专题高峰论坛等，通过不断地开展专题活动，吸引媒体注意力，充分发动媒体资源带动新兴园区招商引资。</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（5）实现文化资源与资本双轮驱动</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文化资源与资本的融合是形成文化产业的基础，新兴文化产业园作为产业融合发展平台，投融资平台是产业园建设中的重要环节，为资本融入产业提供坚实的资金和物质保障。政府应为园区投融资平台的形成提供政策支持，推动银企合作，促进产业园区资本与产业的有效融合。</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33" w:name="_Toc425592569"/>
      <w:bookmarkStart w:id="134" w:name="_Toc416283775"/>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4.促进四大产业园区模式创新</w:t>
      </w:r>
      <w:bookmarkEnd w:id="133"/>
      <w:bookmarkEnd w:id="134"/>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2006年至今，福田区先后成功打造了田面设计之都创意产业园、深圳文化创意园、雅昌艺术馆、中国（深圳）新媒体广告产业园等文化产业园区，积极推动产业结构调整，形成了行业集聚、区域集群发展的良好局面。但近年来，面对剧烈的产业内竞争，如何进一步发挥园区产业优势，促进四大重点产业园的模式创新，打造“创意福田”品牌，成为摆在我们面前的一个重要课题。</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（1）构建区域性创新体系, 形成多样化的产业集群模式。</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a</w:t>
      </w:r>
      <w:r>
        <w:rPr>
          <w:rFonts w:hint="eastAsia" w:ascii="仿宋" w:hAnsi="仿宋" w:eastAsia="仿宋" w:cs="仿宋"/>
          <w:color w:val="000000"/>
          <w:kern w:val="0"/>
          <w:sz w:val="32"/>
          <w:szCs w:val="32"/>
          <w:shd w:val="clear" w:color="auto" w:fill="FFFFFF"/>
        </w:rPr>
        <w:t>）完善技术创新体系。在保护创新者利益和积极性的同时,促进技术合理有偿的扩散,协助园区企业建立信息网络, 当好园区企业与大学和科研机构之间的“媒人”, 建立以企业为主体、市场为导向、“产”字当头、产—学—研紧密结合的运行体系, 支持和鼓励企业与科研院所建立优势互补、风险共担、利益共享、共同发展的产学研合作机制, 构建全社会的公共研发平台。</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b</w:t>
      </w:r>
      <w:r>
        <w:rPr>
          <w:rFonts w:hint="eastAsia" w:ascii="仿宋" w:hAnsi="仿宋" w:eastAsia="仿宋" w:cs="仿宋"/>
          <w:color w:val="000000"/>
          <w:kern w:val="0"/>
          <w:sz w:val="32"/>
          <w:szCs w:val="32"/>
          <w:shd w:val="clear" w:color="auto" w:fill="FFFFFF"/>
        </w:rPr>
        <w:t>）建立组织创新体系。有效整合企业资源、科技资源、人力资源等要素, 用现代企业制度规范企业行为, 将松散无序的产业组织结构调整为以产业链为纽带的产业群组织模式, 并进一步通过规模化、专业化的途径来优化产业组织结构, 努力培育有竞争力的龙头企业和拳头产品。</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（2）大力发展文化中介组织，建立以风险资本为主体的投融资的企业支撑模式。</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风险投资的聚集对高新技术企业群的形成起着至关重要的作用，自主技术创新从最初的资金投入到最终的产业化, 其间风险巨大, 完善风险投资机制,以公共政策吸引风险投资公司进入园区成为政府的责任。同时, 健全的服务支撑体系, 尤其是健全的中介服务体系对文化产业园提高创新发展能力意义重大, 包括广告、律师、会计、技术咨询服务、产权交易中心、教育培训与创业服务中心等中介服务组织不仅连接产销市场, 也是沟通企业与政府的桥梁。政府要针对园区现有文化中介机构规模小、不规范、不自律等问题, 强化文化中介服务组织机构建设, 通过认定资质、委托任务等方式扶持发展, 积极引导它们按照市场规律在竞争和服务中提高自身素质和服务质量, 树立诚信形象, 为园区企业文化创新提供权威的、公正的综合服务。</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（3）夯实园区物质基础，开发利用社会资本模式。</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社会资本对文化产业园创新能力的培育与维持, 促进园区的可持续发展有重要作用。良好的社会资本有助于企业获取和整合创新资源, 提高创新的效率; 园区企业利用社会资本可以获取和分享与创新有关的知识及各方面的信息, 从而降低创新的不确定性; 雄厚的社会资本可以有效减少园区内企业创新合作中的协调成本, 促进企业之间合作的可能性, 有利于从整体上提升园区的创新能力和增强园区的竞争优势。因此, 政府在提升文化产业园创新发展能力的过程中, 要在加大资金投入的基础上, 高度重视社会资本的培育。</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35" w:name="_Toc416283776"/>
      <w:bookmarkStart w:id="136" w:name="_Toc425592570"/>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5.持续六大主导产业良性发展</w:t>
      </w:r>
      <w:bookmarkEnd w:id="135"/>
      <w:bookmarkEnd w:id="136"/>
      <w:bookmarkStart w:id="137" w:name="_Toc346721229"/>
      <w:bookmarkStart w:id="138" w:name="_Toc32480"/>
      <w:bookmarkStart w:id="139" w:name="_Toc7625"/>
      <w:bookmarkStart w:id="140" w:name="_Toc21136"/>
      <w:bookmarkStart w:id="141" w:name="_Toc3201"/>
      <w:bookmarkStart w:id="142" w:name="_Toc32068"/>
      <w:bookmarkStart w:id="143" w:name="_Toc9413"/>
      <w:bookmarkStart w:id="144" w:name="_Toc4012"/>
      <w:bookmarkStart w:id="145" w:name="_Toc10146"/>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根据福田区文化产业发展实际情况，加强宏观引导和政策支持，大力推动主导产业发展</w:t>
      </w:r>
      <w:bookmarkEnd w:id="137"/>
      <w:r>
        <w:rPr>
          <w:rFonts w:hint="eastAsia" w:ascii="仿宋" w:hAnsi="仿宋" w:eastAsia="仿宋" w:cs="仿宋"/>
          <w:color w:val="000000"/>
          <w:kern w:val="0"/>
          <w:sz w:val="32"/>
          <w:szCs w:val="32"/>
          <w:shd w:val="clear" w:color="auto" w:fill="FFFFFF"/>
        </w:rPr>
        <w:t>。主导产业包括六大类，分别是时尚产业、创意设计业、新媒体和文化信息服务业、广告业、影视演艺业和文化会展业。</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时尚产业。按照“深圳时尚福田表达、中国时尚南方表达、全球时尚中国表达”三步走的目标定位,明确福田时尚产业的目标任务,打造以天元(时尚奢侈品消费带)、深业上城(时尚文化、创意设计带)、京基滨河时代(时尚设计学院、人才培育带)、CBD消费圈等为核心,重点打造集合时尚生活中心、时尚消费中心、时尚展示中心、时尚发布中心、时尚创意设计中心的时尚产业集群。</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创意设计业。重点发展工业设计、平面设计、服装设计、IC和软件设计、城市与建筑设计、室内设计，以及广告创意与设计、品牌策划与营销等行业。支持创意设计业在国内国际市场的行销推介，借助“文博会”、“创博会”、“埃迪优国际设计大赛”、“室内设计文化节”和“艾特奖”、“福田国际服饰文化旅游节”等活动，开展创意设计交易和品牌展示活动，帮助企业拓展市场。</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3）新媒体及文化信息服务业。重点发展以“三网融合”为基础和运作平台的数字化传媒产业和文化内容服务，以及采用数字技术，提供制作、传播、营销、推广等服务的文化服务企业。支持雅昌艺术网、中华室内设计网、聚橙网等文化信息服务网站的建设，提高服务水平和影响力，做大市场份额；加强文化内容与数字技术结合培育新兴文化业态，丰富文化表现形式，为各种新兴显示终端提供文化内容。</w:t>
      </w:r>
    </w:p>
    <w:bookmarkEnd w:id="138"/>
    <w:bookmarkEnd w:id="139"/>
    <w:bookmarkEnd w:id="140"/>
    <w:bookmarkEnd w:id="141"/>
    <w:bookmarkEnd w:id="142"/>
    <w:bookmarkEnd w:id="143"/>
    <w:bookmarkEnd w:id="144"/>
    <w:bookmarkEnd w:id="145"/>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bookmarkStart w:id="146" w:name="_Toc25899"/>
      <w:bookmarkStart w:id="147" w:name="_Toc7989"/>
      <w:bookmarkStart w:id="148" w:name="_Toc22650"/>
      <w:bookmarkStart w:id="149" w:name="_Toc22621"/>
      <w:bookmarkStart w:id="150" w:name="_Toc11382"/>
      <w:bookmarkStart w:id="151" w:name="_Toc1651"/>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4）广告业。高标准建设和运营中国（深圳）新媒体广告产业园，重点引进跨国新媒体广告企业、国际广告设计和制作企业以及市场信息服务公司；依托园区，建立创意设计、市场调研、信息咨询、人才培训、广告监测等公共服务平台或中介服务机构。按照高端服务业的标准，提高华视传媒、高速广告、泰禾广告、百合蓝色火焰等企业的渠道建设、广告策划、创意、制作及全面服务水平，以优质、诚信、特色服务形成广告企业核心竞争力。</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5）影视演艺业。重点发展影视剧创作、原创音乐、数字影视、动漫游戏内容开发、国际赛事、文艺演出等。发挥产业扶持资金引导作用，强化影视演艺行业的平台建设和统筹发展，促进万科影视、深广传媒、越众影视等影视企业提升内容生产制作水平；提供影视后期制作技术等公共服务；推动数字技术在影视、演艺产业的充分应用。</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6）文化会展业。重点发展创意设计、动漫、数字新媒体和时尚产业等领域品牌展览、会议、论坛，以及节庆文化艺术活动。完成辖区文化会展业策展公司和策展人的信息采集并向社会公布，引入对品牌展会、国际会议和展会数据的第三方认证，提高文化会展的办展水平；发挥会展中心、园博园和现有产业园区的文化集聚效应，协调会展业及其相关产业链条的发展和提升。</w:t>
      </w:r>
    </w:p>
    <w:bookmarkEnd w:id="146"/>
    <w:bookmarkEnd w:id="147"/>
    <w:bookmarkEnd w:id="148"/>
    <w:bookmarkEnd w:id="149"/>
    <w:bookmarkEnd w:id="150"/>
    <w:bookmarkEnd w:id="151"/>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52" w:name="_Toc425592571"/>
      <w:bookmarkStart w:id="153" w:name="_Toc416283777"/>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6.发挥若干平台与团体的作用</w:t>
      </w:r>
      <w:bookmarkEnd w:id="152"/>
      <w:bookmarkEnd w:id="153"/>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福田区拥有《深圳市福田区产业发展专项资金管理办法》、《深圳市福田区产业发展专项资金支持文化产业实施细则》等政府范畴的支持方式，但是依然要应用市场配置资源的方式，发挥民间组织的力量</w:t>
      </w:r>
      <w:r>
        <w:rPr>
          <w:rFonts w:hint="eastAsia" w:ascii="仿宋" w:hAnsi="仿宋" w:eastAsia="仿宋" w:cs="仿宋"/>
          <w:color w:val="000000"/>
          <w:kern w:val="0"/>
          <w:sz w:val="32"/>
          <w:szCs w:val="32"/>
        </w:rPr>
        <w:t>。比如</w:t>
      </w:r>
      <w:r>
        <w:rPr>
          <w:rFonts w:hint="eastAsia" w:ascii="仿宋" w:hAnsi="仿宋" w:eastAsia="仿宋" w:cs="仿宋"/>
          <w:color w:val="000000"/>
          <w:sz w:val="32"/>
          <w:szCs w:val="32"/>
          <w:shd w:val="clear" w:color="auto" w:fill="FFFFFF"/>
        </w:rPr>
        <w:t>福田区2014年安排1亿元财政资金与专业机构合作设立按市场规律运作的福田创投引导基金。同时，还将规范产业扶持资金的投放标准，自我削权限权，不留自有裁量空间。</w:t>
      </w:r>
      <w:r>
        <w:rPr>
          <w:rFonts w:hint="eastAsia" w:ascii="仿宋" w:hAnsi="仿宋" w:eastAsia="仿宋" w:cs="仿宋"/>
          <w:color w:val="000000"/>
          <w:kern w:val="0"/>
          <w:sz w:val="32"/>
          <w:szCs w:val="32"/>
        </w:rPr>
        <w:t>与此同时,福田区民间团体的文化发展能力还可以进一步提升,目前除了文联系统的各类型协会以外,活跃在民间的社会团体主要有福田区文化创意产业协会、福田区文化艺术促进会、福田区群众文化协会、福田区演艺协会、福田区广场文化发展促进会等，民间团体在政府指导下,应不断完善自身，成为文化创意产业发展的思想源泉和后备力量。</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1）立足优势,整合资源。福田区东西方文化交汇，国际交往频繁，对外文化交流广泛，文化产业的吸纳和辐射空间广阔，信息灵敏，交通便捷，市场繁荣，为福田区文化创意产业借力发展提供了良好条件。另外，区内各类文化产品市场、批发零售市场、图书发行和中介市场、影视发行和中介市场、各类演出市场，广告媒体市场等传统文化市场发展日趋完善；各类设计市场、文物市场、艺术品拍卖市场、文化中介市场等新兴文化市场规模也不断扩大，形成了优越的配套环境，使福田成为文化产业和文化要素重要的集散地、配置中心和扩散源。民间团体应立足优势,自觉实现两个“整合”:一是实现相同或相似文化团体的整合,避免文化团体的重复建设,增强文化团体的核心竞争力,促进文化团体向文化产业的转变。二是实现多元文化资源的整合,如民间各类团体可以打造集经纪、演艺、观光为一体的一条龙服务,促进文化事业的繁荣。</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2）加强学习，促进交流。民间文化团体在立足优势的同时，应看到自身不足，通过多种方式不断加强学习，如邀请文化产业专门人才进行文化讲座、借助政府或民间组织的平台开展文化交流活动、加强与相关文化产业的合作和学习等。另外，借助福田区区位优势，加强与区外甚至国外的文化交流与合作，提升团体知名度，增强团体能力，促进自身发展壮大。</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rPr>
        <w:t>（3）带动大众，广泛参与。民间团体是最为贴近百姓生活的文化组织，他们的存在和活动，直接或间接地影响着普通民众对文化活动的认知和参与。因此，民间团体应不断提高自身文化事业能力，并将其积极带入到群众活动中去，吸纳更多的社会力量参与到文化事业中来，增强民众爱国情感和凝聚力，为实现文化创意的广泛参与贡献力量。</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54" w:name="_Toc425592572"/>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(二)产业安排</w:t>
      </w:r>
      <w:bookmarkEnd w:id="154"/>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55" w:name="_Toc425592573"/>
      <w:bookmarkStart w:id="156" w:name="_Toc416283778"/>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1.优化行业集聚与空间集中</w:t>
      </w:r>
      <w:bookmarkEnd w:id="155"/>
      <w:bookmarkEnd w:id="156"/>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近年来福田区不断突出文化创意产业的产业集聚模式，创设新的文化创意产业集聚链，实现产业串联，推动跨行业整合，以CBD文化创意产业圈为核心，整合各片区相关文化创意资源及据点，结合城市更新，通过“三旧”改造的方式，积极盘活存量土地资源，形成了相当数量的高质量文化创意产业园区。针对区内文化产业布局的集群化发展趋势，准确把握福田区发展脉络以指导文化产业整体布局，扩大城市更新的内涵，彰显城市的特色，对提升福田区中心公共生活的质量，发掘福田独特的文化品位，顺利实现城市经济结构转型与升级具有重要意义。</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其一，引导重点文化产业带动产业集群式发展。我区已具有创意设计、新闻出版、影视动漫、网络游戏、新媒体服务、演艺娱乐业、高端工艺美术业、广告会展业等特色文化产业。应重点拓展区内具有一定发展基础的特色文化产业，在招商引资、鼓励民间投资的时候突出其重点产业地位，引导投资方向，提供各种优惠政策吸引企业集聚。</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其二，引导特色产业园区带动产业集群式发展。目前，我区已经成功打造了田面设计之都创意产业园、深圳文化创意园、雅昌艺术馆、中国（深圳）新媒体广告产业园等特色文化产业园区；在福田保税区也已建成深圳创意保税园、中芬设计园以及深圳国际文化产业园三个新的产业园区；还有正在申请筹建的“吉虹创意设计产业园”和“深圳1979”等文化产业园区。我区应真正建立起产业链形态的产业园区集聚，改变许多园区仅仅是同一种产品的集散地和服务场所的园区格局，根据已建成运营或部分建成的创意园区，梳理规范各创意产业园区发展，进一步完善提升现有创意产业园区，对刚建成或正在建的产业园区的基础设施和公共配套设施建设给予支持，对入驻园区的企业给予优惠的条件和便捷服务，促进园区的集聚功能完善、影响力提升。同时，还可以加大专项资金投入，继续打造一批定位明确、特色鲜明的文化产业园区，尽快形成文化产业发展的集聚效应和园区示范效应。</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其三，引导骨干企业带动产业集群式发展。我区集中了广电集团、凤凰卫视、报业集团、出版发行集团等文化龙头企业。政府可以通过政策引导和支持，发挥广电、报业、出版发行集团的聚集优势，做大做强传媒出版龙头企业，逐步形成以龙头骨干企业为支点，大中小企业紧密配合，专业分工与协作完善，具有一定竞争力的产业集群和优势产业链。</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其四，发展文化产业集聚的新模式，培育新兴文化产业业态。当前，跨界与融合成了文化产业发展的关键词。文化产业正在不断涌现新业态，如出版领域的数字出版、自助出版，和网络新媒体有关的微电影、手机院线、云电视，以及一些新兴模式的自驾游等；新旧业态彼此调整寻找市场定位的时期，产业发展呈现“媒介融合”、“强调互动”两大特征趋势。文化产业跨界经营不仅能开发新的市场，创造新的需求，还能产生“广度经济”的“合成效应”。所以福田区要积极培育文化新业态，在土地使用、税费减免、资金投入、人才引进等方面给予文化企业更多的优惠政策，催生和培育文化新业态，促进文化与科技、文化与创意、文化与金融、文化与旅游的深融合，形成文化产业与其他产业相互融合、共同发展的良性格局，加速新兴文化产业集聚区的形成速度。</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57" w:name="_Toc425592574"/>
      <w:bookmarkStart w:id="158" w:name="_Toc416283779"/>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2.强调特色强化与优势互补</w:t>
      </w:r>
      <w:bookmarkEnd w:id="157"/>
      <w:bookmarkEnd w:id="158"/>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特色强化与优势互补是福田文化产业发展的又一引擎, 也是福田文化企业加快发展、提高核心竞争力的需要。近年来, 各文化产业园区依托当地资源优势, 加快特色文化产业建设, 取得了明显的成效。为进一步推进园区特色文化产业建设, 需重点注意以下两方面:</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一是加强特色产业基地的规划引导。在产业集群发展的过程中，要把特色产业纳入到园区的科技规划中。一是注重整合资源, 根据当地资源和经济条件优势, 培育和发展具有区域特色的产业集群; 二是注重合理规划产业园区, 把特色文化产业基地与科技园区等建设结合起来, 积极营造各种内外配套设施; 三是注重找准产业定位, 按照特色化、专业化、差异化的原则, 从各自优势出发, 明确自己的产业定位, 有目的地开展招商引资,促进产业集聚; 四是注重高起点发展, 积极培育园区内的特色企业, 着力提高产业园区的整体特色优势。</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二是构建特色文化产业的动态评价机制, 推动文化业的创新发展。政府要加强对各个文化产业园区的动态管理，构建特色文化企业的评价指标,对特色文化企业和产业园区进行动态跟踪。积极探索设立相应的专家咨询委员会, 不定期向有关职能部门提供专业咨询报告,为福田区产业集群的发展壮大出谋划策。要引入良性竞争机制, 支持核心竞争力突出、产业特色明显的园区进一步做大做强。各级文化部门也要高度关注产业集群的发展, 把特色产业园区建设纳入各级文化发展规划中。要根据区域资源和经济社会条件的优势, 培育和发展具有区域特色的集群产业, 搞好特色文化产业园区的布局和定位，不断提升产业集群的核心竞争力, 促进产业集聚向创新集群的转化。</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59" w:name="_Toc416283780"/>
      <w:bookmarkStart w:id="160" w:name="_Toc425592575"/>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3.注重创意发现与资源发掘</w:t>
      </w:r>
      <w:bookmarkEnd w:id="159"/>
      <w:bookmarkEnd w:id="160"/>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创意是文化商品和服务在市场上立于不败之地的根本，也是文化产业资源开发利用中的根本原则。文化产业要成为福田区经济发展的支柱产业，必须充分注重创意发现，重新整合各种资源，突出挖掘四种优势，解决好三个关键问题。</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挖掘政策和法律优势，解决好行政资源整合问题。近年来，福田区制定了一系列有利于文化产业发展的政策，形成了比较完备的促进文化产业发展的法律法规体系，但是从整体上看，对文化产业整体行业来讲，相关行政资源整合的力度尚不够，如果能够进一步深化文化体制改革，整合与之相关的行政机构，实行垂直一体化的管理和服务模式，就可以使文化产业从根本上摆脱一业多头的困境，一方面可以使行政资源得到更加有效的整合，政策、法律和法规得到更加有效的执行；另一方面，减少办事环节，提高办事效率，能够为文化产业的发展营造一个更加宽松的政策环境。</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挖掘重组、兼并发展优势，解决好产业结构和布局优化问题。经过比较研究，我们发现福田区重组或兼并而组建的大型文化产业集团还不够多，范围偏窄，大集团、大公司的联合发展优势还没有完全形成，产业结构和布局尚需进一步优化。一方面需要乘势而上，紧紧抓住发展机遇，以提高内容创意和生产能力为核心，优先加大政策和资金扶持力度，优先重点发展影视制作、出版发行、演艺娱乐、广告会展、文化旅游、数字内容、动漫和网络游戏等创意大产业，另一方面，要坚持政府引导为先，立足市场运作，实施科学规划，调整合理布局，在重点文化产业中选择一批竞争力强、成长性优、业绩突出的文化企业或企业集团，从政策上加大扶持的力度，创造条件，积极推动企业跨地区跨行业联合或重组，尽快壮大文化企业规模，提高其集约化经营水平，促进文化领域资源整合和结构调整。第三方面，要优先培植一批主业突出、实力雄厚的大型文化企业和企业集团，重点培育一批竞争力强、成长性好的龙头文化企业，加快发展一批“专、精、特、新”的中小文化企业，重视发挥文化企业中优秀分子的典型示范和引领作用，提高产业集中度和集约化经营水平，促进产业内的合理分工和资源优化配置，形成特色鲜明、结构合理、富有活力的优势文化企业集群。</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3）挖掘文化产业集群园区或基地建设优势，解决好产业扶持问题。近年来，福田区不断加强文化产业基地和区域性特色文化产业集群园区建设，然而不可忽视的是，文化产业园区建设滞后现象比较普遍，其根本问题，一是定位不清，管理能力不足，对文化产业园区建设缺乏系统研究，缺乏“人脉”或“人气”，导致某些园区门可罗雀；二是没有形成完整流畅的文化产业链，造成园区青黄不接；三是政策落实不到位，市场准入门槛太高，造成园区无人问津。为改善现状，应重点加强三个方面的建设：首先，要加强基础设施和配套设施建设，把握“人脉”，留住“人气”，比如比较成功的文化产业园区，既有生产经营，又有人文生活，还有相关的服务行业，稳定齐全的配套生活区能够反哺文化产业园区的建设发展，能够聚住“人气”；其次要重视产业链建设，注重选择主导产业，突出产业特色，大力培育生产原创性文化产业，积极发展文化产业下游的衍生品生产企业，把文化产业园区建成集生产、制造、销售、居住、服务于一体化的产业链。再次，要重视对中小企业帮扶建设，从政策服务、技术指导、创业设施、经营管理等方面为中小企业提供宽松的政策环境，加大扶持力度，降低市场准入门槛，帮助园区中小企业顺利快速发展，为整个文化产业园区这棵大树的发展续根留须，促其扎根发芽，茁壮成长。</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61" w:name="_Toc416283781"/>
      <w:bookmarkStart w:id="162" w:name="_Toc425592576"/>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4.推进支柱产业链价值延伸</w:t>
      </w:r>
      <w:bookmarkEnd w:id="161"/>
      <w:bookmarkEnd w:id="162"/>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产业链是指以价值链为基础的具有连续追加价值关系的企业组成的企业联盟。福田区文化产业主要集中在产业链的中间段，即从技术集成到产品营运段，而对于高附加值的研发创新和版权贸易涉足较少，这严重降低了福田区文化产业创造价值的能力，为此应重点推进支柱产业链的价值延伸，将文化产业链向两上下游延长。</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（1）构建完整和相对稳定的特色文化产业链</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第一，加强特色文化研究和相关产品开发，建立产、学、研之间以及特色文化产业之间的互动机制，推动创新能力提升，为文化产业发展提供相对稳定的创新源泉，从而使特色文化产业链更有活力。</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第二，合理有序地引入发展文化产业的相关企业。在特色文化产业集聚区内，在积极进行招商引资的过程中，要按照总体发展方向和定位，有重点地引进和发展相关文化企业，确保产业链的完整及个性特色的强化。</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第三，坚持内外结合，利用精华资源，拉长产业链。有些特色文化资源及相关产业是不能移动的，要坚持内外结合，以特色文化产业集聚区为龙头，把区内和区外本地的文化产业按照整体发展思路，统一规划，合理发展，整合生产、旅游、商贸于一体，打造完整的特色文化产业链。</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第四，加强人才培养，充分挖掘区域文化产业人力资源，为特色文化产业发展提供良好的人才供应链。</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（2）立足产业链，积极扩大产业集群</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在福田区各个新兴文化产业园发展的起步阶段，就应以搭建产业链为核心，规划园区内的企业结构，以求产生驱动产品制造，拉动产品销售，带动后续产品开发的理想效应，最终能够在基地内形成上下联动、左右衔接、一次投入、多次产出的相对完整的产业链条。为此各产业园区应该以产业链为导向进行战略规划，优化招商引资结构，提高企业入驻门槛，保证入驻企业能够与产业链实质性对接，这不仅能够实现资源的优化配置和整合重组，还能够通过企业之间的横向和纵向勾连，降低产品开发成本。</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63" w:name="_Toc416283782"/>
      <w:bookmarkStart w:id="164" w:name="_Toc425592577"/>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5.促进制造向智造转型</w:t>
      </w:r>
      <w:bookmarkEnd w:id="163"/>
      <w:r>
        <w:rPr>
          <w:rFonts w:hint="eastAsia" w:ascii="仿宋" w:hAnsi="仿宋" w:eastAsia="仿宋" w:cs="仿宋"/>
          <w:color w:val="000000"/>
          <w:w w:val="90"/>
          <w:sz w:val="32"/>
          <w:szCs w:val="32"/>
        </w:rPr>
        <w:t>升级</w:t>
      </w:r>
      <w:bookmarkEnd w:id="164"/>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伴随工业4.0概念的流行和“中国制造2025 ”的出台,我们非常有必要促进福田文化产业由制造向智造的转型，就是要推进福田文化产业的转型升级，这是福田文化经济的发展过程中突破瓶颈、实现跨越式发展的必经阶段。面对由科学技术引发的文化生产方式和文化产品形态的重大变革，政府对文化产业的科学认识、规划、管理决定了文化产业转型升级的方向、速度和水平。</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首先，要制定文化产业转型升级的战略体系。理念上，实现文化产业由粗放经营向集约型发展的战略转变，提高文化产业规模化、集约化、专业化水平。在科学发展路径上，实现新兴文化产业和高新技术由技术合作向多元深度融合的战略转变，形成国际化的多业务领域、多市场平台、多产业整合的立体文化产业网络。在科学发展方式上，实现由以加工代工生产为主向以创意内容产品生产为主的战略转变，提升福田文化精品的综合竞争力、可持续开发能力和企业经济效益。在科学发展动力上，实现由政府投入驱动创新为主向依靠企业自主创新驱动为主的战略转变，推广文化用品加工和文化设备制造企业产品自主研发的创新经验。在科学发展模式上，实现由文化产业内部小融合向文化产业与国民经济其他产业大融合的战略转变，不断延伸文化产业的产业链和价值链，尝试文化产业全域化发展。</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其次，进一步优化文化产业科技创新体系。要努力解决文化企业自主创新过程面临的实际困难，增强文化科技创新项目研究的原创性、基础性、战略性和前沿性，促进新兴文化企业技术创新和技术产业化的突破性进展。新的文化产业科技创新体系构建要以文化企业为主体、以文化市场为导向、政产学研用相结合，支持有关产学研战略联盟和公共服务平台建设，培育文化科技创新的服务机构，分层次优化技术创新主体、新兴文化产业经营主体的创新激励机制，促进文化与科技创新要素的有效对接。不断提高科技创新对新兴文化业态的创新培育、转化应用能力和文化产业对先进技术的集成应用能力。</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65" w:name="_Toc416283783"/>
      <w:bookmarkStart w:id="166" w:name="_Toc425592578"/>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w w:val="90"/>
          <w:sz w:val="32"/>
          <w:szCs w:val="32"/>
        </w:rPr>
        <w:t>6.推动产业创意与营销创新</w:t>
      </w:r>
      <w:bookmarkEnd w:id="165"/>
      <w:bookmarkEnd w:id="166"/>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随着经济社会的发展，文化市场的营销环境也在发生变化，经过多年发展形成的福田文化品牌，已经成为区域和企业的重要资产，其市场竞争力和品牌价值来之不易，因此需要充分推动产业创意与营销创新，不断对其进行维护和传播。</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做好集聚区形象设计。特别要凸显福田区域文化特色，只有这样才会避免品牌雷同、形象类似等现象的出现，进一步放大特色文化产业集聚所形成的品牌效应，提高集聚区的知名度，强化品牌个性，提升品牌美誉度，增强品牌吸引力和持续发展力，建立消费者需求、企业优势和社会责任三位一体的营销观念。</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（2）开拓新市场。首先，要正确认识和寻找市场;其次,要重视市场的调查,把握消费者需求及购买行为变化;第三,要选择满足程度低或易被市场忽视的空档商品和负需求商品,拾遗补缺。</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3）营销管理创新。持续增加企业弹性,引导企业发挥创新精神,培育企业文化,提高管理制度、组织机构的高效性，营销人员高效管理和人员的评估与激励等方面要不断适应外部环境和内部条件的变化，以提高管理效率。</w:t>
      </w:r>
    </w:p>
    <w:p>
      <w:pPr>
        <w:pStyle w:val="3"/>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rPr>
          <w:rFonts w:hint="eastAsia" w:ascii="黑体" w:hAnsi="黑体" w:eastAsia="黑体" w:cs="黑体"/>
          <w:color w:val="000000"/>
          <w:w w:val="90"/>
          <w:sz w:val="32"/>
          <w:szCs w:val="32"/>
        </w:rPr>
      </w:pPr>
      <w:bookmarkStart w:id="167" w:name="_Toc416283784"/>
      <w:bookmarkStart w:id="168" w:name="_Toc425592579"/>
      <w:r>
        <w:rPr>
          <w:rFonts w:hint="eastAsia" w:ascii="黑体" w:hAnsi="黑体" w:eastAsia="黑体" w:cs="黑体"/>
          <w:b w:val="0"/>
          <w:bCs w:val="0"/>
          <w:color w:val="000000"/>
          <w:w w:val="90"/>
          <w:sz w:val="32"/>
          <w:szCs w:val="32"/>
        </w:rPr>
        <w:t>五、体制创新与保障措施</w:t>
      </w:r>
      <w:bookmarkEnd w:id="167"/>
      <w:bookmarkEnd w:id="168"/>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楷体" w:hAnsi="楷体" w:eastAsia="楷体" w:cs="楷体"/>
          <w:b w:val="0"/>
          <w:bCs w:val="0"/>
          <w:color w:val="000000"/>
          <w:w w:val="90"/>
          <w:sz w:val="32"/>
          <w:szCs w:val="32"/>
        </w:rPr>
      </w:pPr>
      <w:bookmarkStart w:id="169" w:name="_Toc425592580"/>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(一)推进文化管理体制改革创新</w:t>
      </w:r>
      <w:bookmarkEnd w:id="169"/>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lang w:val="en-US" w:eastAsia="zh-CN"/>
        </w:rPr>
        <w:t>1.</w:t>
      </w:r>
      <w:r>
        <w:rPr>
          <w:rFonts w:hint="eastAsia" w:ascii="仿宋" w:hAnsi="仿宋" w:eastAsia="仿宋" w:cs="仿宋"/>
          <w:color w:val="000000"/>
          <w:kern w:val="0"/>
          <w:sz w:val="32"/>
          <w:szCs w:val="32"/>
          <w:shd w:val="clear" w:color="auto" w:fill="FFFFFF"/>
        </w:rPr>
        <w:t>按建设法治政府和服务型政府的要求，强化福田区政府对文化产业的政策调节、市场监管、社会管理和公共服务职能。</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合理下放审批权限，明确行政审批、行政奖励工作权限，进一步规范行政审批项目和审批流程，进一步采取下放、取消、合并、转移等措施，改进审批方式，完善审批制度，简化办事程式，大大提高行政效率。</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文化主管部门要从经办文化事业的具体事务中解脱出来，把主要精力放到定政策、做规划、抓监管上来，转到依法行政、社会管理和公共事务上来，如将文化部门直属的经营性文化事业、企业单位，划转到企业集团主管主办。</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理顺政府与文化企事业单位的关系，突破束缚文化生产力发展的体制性障碍，充分发挥市场机制积极作用，健全现代文化市场体系，社会效益与经济效益齐头并进。现代文化市场体系从总体构成上可以分为两大类，一大类是公益文化事业，另一大类是经营性文化产业，这两大类运营的根本目的截然不同，两种不同类型的文化体系均应在政府文化主管部门的领导、监督和管理下有序发展，加快各类文化产品和要素市场的发展，构建统一、开放、有序、竞争的现代文化市场体系，搭建多种多样的文化产品交易平台，促进文化产品的合理交流和流动，形成广阔的文化产品流通网络，促进各地区、各类别文化的交流与合作，形成一个权责明晰、功能齐全、管理科学、良性运行和和谐发展的现代文化市场体系。</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3</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创新公共文化服务体系，转变公共文化产品和服务的提供模式</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创新公共文化服务发展模式，改变以往政府采购、服务外包、委托经营、国有民办、民办国助的以政府为中心的单一中心提供模式，变为政府主导、市场运作、企业参与的市场经济体制下的发展模式，不仅可以吸引丰富的社会资源，提高政府的管理效率，提升文化服务的供给量，更重要的是经营的单位是积极主动进行投资投入，必将结合文化市场的发展趋势有效地进行经营运作和管理，一定意义上推动了文化产业的发展和建设。</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2）创新公共文化服务的宏观体制环境，大力推进与此相应的政策制定，明确政府部门承担的职责和义务，进一步明确文化管理部门在发展公益性文化事业中的社会责任。</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3)创新公共文化服务绩效考核与评估机制，形成一整套行之有效的、合理科学的考评体系，健全制度建设，完善规章制度，使文化事业单位以及文化产业单位有法可依，有章可循。科学合理的考核标准，公平公正的考评机制，规范高效的管理模式，良性和谐的发展环境，完善的市场化运作体系，对促进福田文化产业大发展大繁荣具有重大的现实意义。</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4</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设立超越体制鸿沟、面向全社会的综合性公共经费资助渠道与管理体制，激发市场主体创新的积极性，如设立“文化创新基金会”，并从制度上明确文化创新基金会的非营利组织性质,设立相对独立的管理体制。传统的公共经费管理体制存在行业体制内循环的局限,本质上不是一种面向社会的公共资助渠道。借助于开放式的管理模式, 发挥政府的主导作用,整合资源，引导社会超越体制鸿沟、贯通体制内与体制外，建立基金会相对独立和公开、透明、竞争、契约管理的运作机制，可以更大限度的促进社会文化创新活动的开展。</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5</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提高文化管理体制改革透明度、参与度和规范度，进一步推动改革进程的公开化、民主化，及时充分地搜集、披露与反馈改革进程信息，提供多渠道、全方位的沟通机制，创设机会、条件并充分鼓励文化系统公务人员、文化企事业单位职员以及专家学者、公众等参与改革目标、路线图和时间表的讨论，使得改革方案尽量兼顾各方利益诉求，获取改革认同基础的最大化，强与巩固改革的内在、外在动力机制，减缓与弱化改革的阻力机制，创造良好的改革制度与社会环境，并促成改革方案制定及实施机制的科学化、合理化、规范化，降低改革偏差的发生概率。</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70" w:name="_Toc425592581"/>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(二)发挥市场配置资源决定作用</w:t>
      </w:r>
      <w:bookmarkEnd w:id="170"/>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多年来，我区在资源配置方式上基本实现了由政府计划配置为主向市场配置为主的转变，市场机制的作用不断增强。但从经济发展的客观要求来看，目前市场配置资源的作用发挥得还不够，在一些文化产业的关键环节和重点领域，生产要素资源的配置、重要产品价格形成等仍然受到政府决策的影响。因此，十三五期间发展福田文化产业，需要大幅度减少政府对经济活动的干预，使市场在文化资源配置中起决定性作用。</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提供良好的文化资源配置环境需要营造良好的政策环境。通过出台相关政策法规，加强文化产品交易市场建设，要为文化产品交易者提供快捷便利的交易平台，为投资者提供畅通的投资渠道与场所，健全市场供求信息快速披露体系和制度，使市场进入者在接触、洽谈和协商中完成价格发现和价值交易活动。</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文化企业破产与各类文化人才再就业市场建设必须及时跟上。随着文化企业发展和文化人才市场竞争的日益激烈，文化企业破产与各类文化人才再就业现象发生的概率会有一定程度的提升，政府可通过设立专门人员辅导制度、举办文化产业人才专场招聘会等措施，协助文化产业通过市场竞争和人力资源的调节与配置，促进文化产品价格机制的健全和充分发挥作用。</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3）扩大文化企业定价自主权，强化政企之间的合作关系。扩大文化企业定价自主权必须以政府职能规范和产品管理权限明确为前提，政府的职责在于以治理文化市场环境为抓手，做好文化市场发展规划，落实企业资质审核以及某些产品的审批等政务工作。企业愿意办、办得好的事务，政府应充分尊重企业自主权，做到既不缺位，也不越位。</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楷体" w:hAnsi="楷体" w:eastAsia="楷体" w:cs="楷体"/>
          <w:b w:val="0"/>
          <w:bCs w:val="0"/>
          <w:color w:val="000000"/>
          <w:w w:val="90"/>
          <w:sz w:val="32"/>
          <w:szCs w:val="32"/>
        </w:rPr>
      </w:pPr>
      <w:bookmarkStart w:id="171" w:name="_Toc425592582"/>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(三)完善发展文化产业配套政策</w:t>
      </w:r>
      <w:bookmarkEnd w:id="171"/>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从目前福田区文化创意产业发展情况看，扩大产业规模，提高产业发展水平，调整产业结构和布局，提高产业发展质量，提高产业发展效益等，都迫切需要实施广泛而深刻的政府职能转变和综合配套改革。</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建立更权威的产业发展协调机构，健全完善文化创意产业融合发展的综合协调机制。目前福田区针对文化产业的发展所进行的文化体制改革已经取得了一些先行先试的经验，如为促进文化产业发展下设区文化产业发展办公室，作为区政府主管文化产业的职能部门，接受区委宣传部的联系和指导。下一步可以在认真总结经验教训的基础上，努力建立起具有更超前和良好产业综合管理机制的行政管理体系，不仅考虑文化产业内部产业的融合和产业链结合，也要考虑文化产业与科技、信息、通信、财政、金融等相关部门的高效衔接，着眼于推动文化产业的大发展和长远发展，建立起涵盖范围广、行业指导性强、有权威有实权、协调高效管用的文化产业综合协调机制。</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加快建立和完善区内文化创意产业法规体系，为区内文化创意产业大融合大发展保驾护航。适应产业发展大势，制定完善文化创意及其相关产业的各项法规，是调整和规范产业行为的根本途径。我区的文化创意产业涉及面广、产业链长，既包括知识密集型和资金密集型产业，又包括一部分劳动密集型产业，在未来区内经济发展布局中占有重要地位。同时，文化创意产业又是一项战略性新兴产业，产业发展远未定型，很多产业行为规范和规划需要着眼长远，一方面要破除制约文化产业规模化集约化发展的法规，另一方面要通过制定前瞻性的产业法规调整产业关系，从根本上长远上调整和安排产业布局、产业结构、产业发展目标和重点发展项目，从体制机制上为文化产业发展保驾护航。</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3</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完善产业政策，规范市场秩序，加强产业监管，推动文化创意产业转变发展方式。从机制上推动文化产业科学发展需从两个层面加以推动，一是要从产业政策层面加以政策引导和激励。这需要充分调动文化产业各主管部门，产业发展相关部门，包括财税、金融、工商、国资、国土，以及广大产业实体企业的积极性和智慧，制定和完善有针对性、有超前预见性、能够推动文化创意产业实现协调可持续发展的产业政策体系，出台对区内文化创意企业具有实质利好和产业导向作用的政策措施，制定好产业市场化运作的规则，确立起产权责任匹配的市场主体，通过政策实施规范市场秩序，对文化产业实施科学有效的调控和引导，为文化产业转变发展方式提供政策条件和环境。二是要引导企业实体自觉贯彻产业政策，充分利用区内的产业政策和优惠条件，自觉发展、上马符合福田区文化创意产业政策导向的项目，自觉克服产业链低端、低附加值、一哄而上重复建设、产品低质等产业发展初期的不良问题，在文化创意产业科学发展中扮演排头兵。建议加快建立文化创意产业各行业协会建立的步伐，加快建立和完善文化产业相关行业技术、产品质量标准，充分发挥行业协会的监督管理作用，既为文化创意企业营造宽松的发展环境，又为其提高发展质量提供帮助。</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4</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引入市场竞争机制，加大吸纳民资的力度，为文化创意产业转变发展方式注入内生动力。推动文化创意产业转变发展方式，既需要运用法律、政策、规划等司法和行政手段的规范和引导，但根本上还是需要区内广大产业实体能够认识到科学发展对文化创意产业繁荣发展和长远发展的重要意义和作用，在发展文化产业的过程中自觉转变发展方式。而要实现这个目标，我们不能仅仅寄希望于硬性管理，更多的还是应当靠市场，引入市场机制，靠市场机制的强大资源配置作用和广大市场主体追求发展质量和效益的内在动力。而要真正将市场机制引入文化产业领域，使文化市场风生水起，必须放开文化市场准入条件，积极稳妥地吸收引进民间资本，借鉴发达国家文化产业发展经验，吸引国内外市场力量进入我区文化产业领域。特别是民营企业在体制创新、机制创新上有独特的优势，应努力吸引有战略眼光的民营企业有选择地进入我区文化创意产业，在实现企业自身转型升级的同时, 积极为福田区文化创意产业的发展和繁荣作出自己的贡献，并为文化企业转变发展方式提供示范，积累更多经验。</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楷体" w:hAnsi="楷体" w:eastAsia="楷体" w:cs="楷体"/>
          <w:b w:val="0"/>
          <w:bCs w:val="0"/>
          <w:color w:val="000000"/>
          <w:w w:val="90"/>
          <w:sz w:val="32"/>
          <w:szCs w:val="32"/>
        </w:rPr>
      </w:pPr>
      <w:bookmarkStart w:id="172" w:name="_Toc425592583"/>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(四)营造高品质产业的发展环境</w:t>
      </w:r>
      <w:bookmarkEnd w:id="172"/>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kern w:val="0"/>
          <w:sz w:val="32"/>
          <w:szCs w:val="32"/>
          <w:shd w:val="clear" w:color="auto" w:fill="FFFFFF"/>
          <w:lang w:val="en-US" w:eastAsia="zh-CN"/>
        </w:rPr>
        <w:t>1.</w:t>
      </w:r>
      <w:r>
        <w:rPr>
          <w:rFonts w:hint="eastAsia" w:ascii="仿宋" w:hAnsi="仿宋" w:eastAsia="仿宋" w:cs="仿宋"/>
          <w:b/>
          <w:bCs/>
          <w:color w:val="000000"/>
          <w:kern w:val="0"/>
          <w:sz w:val="32"/>
          <w:szCs w:val="32"/>
          <w:shd w:val="clear" w:color="auto" w:fill="FFFFFF"/>
        </w:rPr>
        <w:t>政策环境</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从某种意义上说，政府的政策对于一个产业的发展具有决定性的意义，特别是在一个产业发展的初期；而产业的发展也能在一定程度上促使政府制定相关政策对其予以支持，这是一种互动的关系。“十三五”期间，福田区政府应着手制订文化产业企业的认定标准，完善政策优惠体系，加强规划引导。规划的有效性取决于规划的预见性、科学性、民主性和配套性，即取决于其是否准确反映了文化产业发展的趋势，是否能够有效地发挥福田区的各项优势，是否能够适应市场需求的变化，是否反映了企业家的发展意愿，是否具有与发展目标相适应的各种配套措施，等等。而各种优惠政策要达到预期目的要做到如下两点:一是优惠要有力度，要在观念和程序上大胆创新；二是优惠要有高度的专业性和可操作性，使文化创意企业能真切感受到优惠带来的利益。</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kern w:val="0"/>
          <w:sz w:val="32"/>
          <w:szCs w:val="32"/>
          <w:shd w:val="clear" w:color="auto" w:fill="FFFFFF"/>
          <w:lang w:val="en-US" w:eastAsia="zh-CN"/>
        </w:rPr>
        <w:t>2.</w:t>
      </w:r>
      <w:r>
        <w:rPr>
          <w:rFonts w:hint="eastAsia" w:ascii="仿宋" w:hAnsi="仿宋" w:eastAsia="仿宋" w:cs="仿宋"/>
          <w:b/>
          <w:bCs/>
          <w:color w:val="000000"/>
          <w:kern w:val="0"/>
          <w:sz w:val="32"/>
          <w:szCs w:val="32"/>
          <w:shd w:val="clear" w:color="auto" w:fill="FFFFFF"/>
        </w:rPr>
        <w:t>投融资环境</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资金问题是文化创意产业发展的基础和前提。目前，福田区文化企业的投融资情况不容乐观，融资困难，资金匮乏的企业不在少数。解决这一问题，既需要企业方面完善治理结构，加强与银行的联系，也需要政府尽快制订相关政策，并借鉴国外成功经验开辟文化创意企业尤其是中小文化企业的融资渠道。</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尽快建立文化企业信用担保体系，为产业融资创造条件。担保体系按照“一体两翼”模式运作。一体指主体模式，强调多元化经营，市场化操作，绩优者扶持。两翼指商业性担保和民间性担保作为必要补充。同时，把解决融资问题与培养企业信用制度相结合，支持信用良好的信息企业发展。</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积极拓宽融资渠道。</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首先，应建立向文化创意企业融资的激励和约束机制，鼓励股份制银行、城市合作金融机构以中小文化企业作为服务对象。其次，扩大对中小企业贷款利率的浮动幅度，积极研究开发适应文化创意企业发展的信贷服务项目。再次，大胆尝试文化企业股权融资，应有选择、有条件的对一些中小文化企业实行产权试点。建立风险投资公司，加速社会资本与信息产业的相互对接。</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3</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充分发挥政府在文化产业融资中的作用。加大政策性金融机构对文化产业的贷款力度，增加政府对文化产业的直接扶持。在资金来源上要有创新意识，包括政府财政拨款，从中小企业经营收入中提取一定比例基金等。</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kern w:val="0"/>
          <w:sz w:val="32"/>
          <w:szCs w:val="32"/>
          <w:shd w:val="clear" w:color="auto" w:fill="FFFFFF"/>
        </w:rPr>
        <w:t>3</w:t>
      </w:r>
      <w:r>
        <w:rPr>
          <w:rFonts w:hint="eastAsia" w:ascii="仿宋" w:hAnsi="仿宋" w:eastAsia="仿宋" w:cs="仿宋"/>
          <w:b/>
          <w:bCs/>
          <w:color w:val="000000"/>
          <w:kern w:val="0"/>
          <w:sz w:val="32"/>
          <w:szCs w:val="32"/>
          <w:shd w:val="clear" w:color="auto" w:fill="FFFFFF"/>
          <w:lang w:val="en-US" w:eastAsia="zh-CN"/>
        </w:rPr>
        <w:t>.</w:t>
      </w:r>
      <w:r>
        <w:rPr>
          <w:rFonts w:hint="eastAsia" w:ascii="仿宋" w:hAnsi="仿宋" w:eastAsia="仿宋" w:cs="仿宋"/>
          <w:b/>
          <w:bCs/>
          <w:color w:val="000000"/>
          <w:kern w:val="0"/>
          <w:sz w:val="32"/>
          <w:szCs w:val="32"/>
          <w:shd w:val="clear" w:color="auto" w:fill="FFFFFF"/>
        </w:rPr>
        <w:t>中介服务环境</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en-US" w:eastAsia="zh-CN"/>
        </w:rPr>
        <w:t xml:space="preserve">    </w:t>
      </w:r>
      <w:r>
        <w:rPr>
          <w:rFonts w:hint="eastAsia" w:ascii="仿宋" w:hAnsi="仿宋" w:eastAsia="仿宋" w:cs="仿宋"/>
          <w:color w:val="000000"/>
          <w:kern w:val="0"/>
          <w:sz w:val="32"/>
          <w:szCs w:val="32"/>
          <w:shd w:val="clear" w:color="auto" w:fill="FFFFFF"/>
        </w:rPr>
        <w:t>首先，要规范现有的中介服务机构运作。对现有的资产评估机构、律师事务所、会计师事务所、人才交易市场等中介服务机构加大监管力度，使其按照市场经济规律运行，为企业提供完善的服务。其次，尽快成立技术产权交易、技术开发和信息咨询服务机构。以实现技术、资金、人才等生产要素与信息产业的相互融合。再次，政府应建立服务中介收费体系，制订服务市场的发展规划，颁布相关法规对中介服务队伍进行管理。</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color w:val="000000"/>
          <w:w w:val="90"/>
          <w:sz w:val="32"/>
          <w:szCs w:val="32"/>
        </w:rPr>
      </w:pPr>
      <w:bookmarkStart w:id="173" w:name="_Toc425592584"/>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(五)强化高端人才的集聚与作用</w:t>
      </w:r>
      <w:bookmarkEnd w:id="173"/>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建立和强化福田区文化产业高端人才聚集机制，充分发挥各类人才的积极性和创造性，努力形成“引得进人才、留得住人才、用得好人才”的优质高效的人才激励机制，必须按照发展社会主义市场经济的要求，适应世界高新技术迅猛发展和知识经济时代对高素质人才的需要，进一步解放思想，更新人才观念，从营造良好人才环境、改革人才管理体制、完善人才政策体系、加强人才精神激励等方面着手，逐步建立健全与人才激励机制相配套的用人机制、动力机制、流动机制、保障机制和约束机制，为福田区文化产业的全面协调发展作出贡献。</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lang w:val="en-US" w:eastAsia="zh-CN"/>
        </w:rPr>
        <w:t>1.</w:t>
      </w:r>
      <w:r>
        <w:rPr>
          <w:rFonts w:hint="eastAsia" w:ascii="仿宋" w:hAnsi="仿宋" w:eastAsia="仿宋" w:cs="仿宋"/>
          <w:color w:val="000000"/>
          <w:kern w:val="0"/>
          <w:sz w:val="32"/>
          <w:szCs w:val="32"/>
          <w:shd w:val="clear" w:color="auto" w:fill="FFFFFF"/>
        </w:rPr>
        <w:t>建立和完善文化产业高端人才数据库。政府应建立和完善文化人才数据库，为文化人才的“选、引、育、用、管”工作奠定基础，全面、准确、客观地收录文化产业高端人才的详细信息，并实行专人和动态封闭管理，确保安全、科学、高效运行，实现文化产业高端人才队伍建设信息化、动态化、科学化和规范化。充分发挥人才库的汇总、统计、查询等功能和作用，准确提供人才基础数据，在人才培养和使用上发挥更加积极的作用。同时要发挥中介组织作用，为高层次文化人才队伍建设提供有效平台。</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出台文化产业高端人才紧缺目录，并且对紧缺人才各方面实行优惠补贴等扶持政策。引导企业在对高端紧缺人才的吸引、激励和保留上积极配合政府政策，加强组织之间的对话与交流，在重大项目的建设中促进高层次人才的自我价值实现，使我区文化产业集聚中产生的发达经济环境、优良的政策环境和完善的法制环境成为高层次人才集聚中的激励因素。对文化产业实践实用型人才采取以市场促进为主的人才集聚模式，通过较为完善的市场机制和市场对接方式为实践实用型人才提供成长平台，加大我区文化产业实践实用型人才的流动和集聚自由度。</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3</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创新文化产业高端人才激励机制。要建立高端创新人才和青年人才的培养、引进、使用和激励机制，促进文化人才队伍总量持续增长。对科研上有重大突破、创作上有重大成果、经营管理上实现较高经济社会效益的人才给予重奖和激励，对优秀创作成果进行重点表彰奖励。按照公开、平等、竞争、择优的原则，继续推行和完善公开招考、社会招聘、竞争上岗等措施办法，建立起能上能下、动态管理的长效用人机制。</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4</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增加教育投入，加快文化产业高端人才培养。一是福田区政府要加大教育和各类科技资金的投入，保证政府投入资金每年都有一定比例的增长。资金应向本区的科研机构倾斜。各产业园区可以设立区的文化创意产业研究开发基金，支持本地文化创意产业项目。积极帮助有条件的企业建立文化创意产业研究中心和工作站等高层次的研究机构。二是各部门和单位应加强文化创意产业技术人员的在职培训。三是要培养社会的创意文化意识，增强创意文化观念在全社会的辐射力度，加强对创意文化的宣传，以推动文化创意产业的快速发展。</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5</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加强舆论宣传的力度，创设“崇尚文化、崇尚人才、崇尚贡献”的社会环境，让人才是最重要的资本，而且是一种战略资本成为人们的共识。要积极培养和树立典型，及时收集、掌握文化产业高端人才在福田区创业的动态情况，大力宣传海内外优秀文化人才参加福田开发、在福田创业的典型事迹，不断提高文化产业高端人才的政治和社会地位，增强福田区吸引优秀文化人才的集聚能力。</w:t>
      </w:r>
    </w:p>
    <w:p>
      <w:pPr>
        <w:pStyle w:val="15"/>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楷体" w:hAnsi="楷体" w:eastAsia="楷体" w:cs="楷体"/>
          <w:b w:val="0"/>
          <w:bCs w:val="0"/>
          <w:color w:val="000000"/>
          <w:w w:val="90"/>
          <w:sz w:val="32"/>
          <w:szCs w:val="32"/>
        </w:rPr>
      </w:pPr>
      <w:bookmarkStart w:id="174" w:name="_Toc425592585"/>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w w:val="90"/>
          <w:sz w:val="32"/>
          <w:szCs w:val="32"/>
        </w:rPr>
        <w:t>(六)加强文化产业发展风险控制</w:t>
      </w:r>
      <w:bookmarkEnd w:id="174"/>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文化产品生产的固定成本很高，但复制的边际成本低，正是这个特征决定了文化产业的高收益性和高风险性。然而轻视文化产业风险是错误的，夸大风险而令文化产业裹步不前更是害人的。在文化产业兴起的今天，建立行之有效的风险防控机制是极为必要的。一个有效的制度安排，能在文化项目的经营管理过程中规避风险，增加文化企业的持续发展能力，在体制机制和政策保障上持续促进文化产业的健康发展。</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以开放求发展，以实力保安全。文化产业发展中要以开放、主动、适度、灵活的防控策略对待产业发展风险。产业中文化资源的多少，在一定程度上取决于是否以开放的心态去开发和吸收，文化发展战略的开放度，决定了文化资源的丰富度；在文化体制改革中产业发展应该把握主动权，提高推动文化科学发展的能力；文化产业发展应该有所取舍，在文化资源保护的基础上适度产业化经营，对于文化特色强、市场潜力大的文化资源可作为产业化运作的重心。</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建立风险预警体系，增强预防风险能力。在防控主体建设上，从宏观层面，政府应从产业发展力、产业竞争力、产业对外依存度、产业控制力，以及产业发展环境、产业科技素质、产业市场份额等指标，立体构筑文化产业风险预警指标体系。从微观层面，政府应引导区内文化企业把风险管理上升到企业战略管理的高度加以重视，增强预防风险能力，有效控制市场风险、营运风险、政策风险、知识产权保护风险、投资风险。</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3</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rPr>
        <w:t>创新防控风险方式，规制、扶持、救济并用。</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1）规制：用政策安排弥补市场失灵的风险，可视为对文化产业事前风险的控制。对于政府层面的风险控制，应该集中在制度建设上，通过政府引导，让市场发挥积极作用。比如在建立各种基金（如种子基金、私募股权基金等等）中，政府可出一部分资金（母基金）以吸引社会资金加入，而在基金运营成功后也可择时退出。尤其是近年来对于文化产业的社会投资资本主要集中在网络娱乐业和新型媒介等行业，而广播、电视、平面媒体、有线网络和内容制作等由于受到政府的管制比较严格，因此社会资本对这些文化产业领域的介入还不够深入。这就需要政府在制度建设方面进行革新，可实行创业辅导制度等方式，对文化创业团队和个体大力扶持，提高文化创业的成功率。</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2）扶持：政府应该加大对文化产业的扶持力度，可视为文化产业事中风险的控制。特别是文化产业发展的软环境建设，是控制文化产业发展风险的最重要方面。政府应该在建立信息平台、法制环境方面发挥作用。良好的信息平台，有助于减少信息不对称，减少文化企业决策时的逆向选择风险。同时，政府在扶持文化产业时，需要时刻关注市场发展的规模，避免重蹈过去在其他产业发展中出现的低水平重复、浪费社会资源的状况。在发展文化产业过程中，必须从市场空间、消费能力与水平、投资回报比等方面展开文化项目不可行性论证。论证应该组织包括政府、学术、产业等各界人士参加，以求多视角接近真实。在建设文化产业园区、打造产业链中都应让市场需求决定文化产业的发展规模。</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kern w:val="0"/>
          <w:sz w:val="32"/>
          <w:szCs w:val="32"/>
          <w:shd w:val="clear" w:color="auto" w:fill="FFFFFF"/>
        </w:rPr>
        <w:t>3）救济：保险赔偿可视为事后风险的弥补。文化企业和文化项目的经营都具有很大风险，而保险的本质属性就是提供全面的风险管理和风险保障。文化产业和保险的对接能减轻风险发生后文化企业的危害和损失。政府可制定措施，加大保险行业对文化产业的关注度和支持度，对保险业支持和服务文化产业发展工作进行全面部署，对开设适用于文化产业并容易推广的险种给予一定的政府补贴，为区内各文化主体构建一张“安全网”，提高应对风险的能力，为我区文化产业的健康发展保驾护航。</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14" w:left="1587" w:header="851" w:footer="992"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4"/>
      </w:rPr>
    </w:pPr>
    <w:r>
      <w:rPr>
        <w:rStyle w:val="24"/>
      </w:rPr>
      <w:fldChar w:fldCharType="begin"/>
    </w:r>
    <w:r>
      <w:rPr>
        <w:rStyle w:val="24"/>
      </w:rPr>
      <w:instrText xml:space="preserve">PAGE  </w:instrText>
    </w:r>
    <w:r>
      <w:rPr>
        <w:rStyle w:val="24"/>
      </w:rPr>
      <w:fldChar w:fldCharType="separate"/>
    </w:r>
    <w:r>
      <w:rPr>
        <w:rStyle w:val="24"/>
      </w:rPr>
      <w:t>47</w:t>
    </w:r>
    <w:r>
      <w:rPr>
        <w:rStyle w:val="24"/>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ind w:firstLine="360"/>
      <w:rPr>
        <w:rStyle w:val="24"/>
      </w:rPr>
    </w:pPr>
    <w:r>
      <w:rPr>
        <w:rStyle w:val="24"/>
      </w:rPr>
      <w:fldChar w:fldCharType="begin"/>
    </w:r>
    <w:r>
      <w:rPr>
        <w:rStyle w:val="24"/>
      </w:rPr>
      <w:instrText xml:space="preserve">PAGE  </w:instrText>
    </w:r>
    <w:r>
      <w:rPr>
        <w:rStyle w:val="24"/>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40"/>
  <w:drawingGridVerticalSpacing w:val="381"/>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AxNzQ0NWMxYWRhNjU2NDRmMDMyOWMyNmI0MTI0ODQifQ=="/>
  </w:docVars>
  <w:rsids>
    <w:rsidRoot w:val="00455795"/>
    <w:rsid w:val="00001B8C"/>
    <w:rsid w:val="00011C6F"/>
    <w:rsid w:val="00014C67"/>
    <w:rsid w:val="00022470"/>
    <w:rsid w:val="000255FA"/>
    <w:rsid w:val="000262B8"/>
    <w:rsid w:val="0003116E"/>
    <w:rsid w:val="000323FD"/>
    <w:rsid w:val="000330F3"/>
    <w:rsid w:val="000355CB"/>
    <w:rsid w:val="00037FDB"/>
    <w:rsid w:val="0004554F"/>
    <w:rsid w:val="00046F80"/>
    <w:rsid w:val="0005151C"/>
    <w:rsid w:val="000516DA"/>
    <w:rsid w:val="00054879"/>
    <w:rsid w:val="00056E4E"/>
    <w:rsid w:val="000602C4"/>
    <w:rsid w:val="000626F0"/>
    <w:rsid w:val="000661FF"/>
    <w:rsid w:val="00067B16"/>
    <w:rsid w:val="000701E1"/>
    <w:rsid w:val="0009066E"/>
    <w:rsid w:val="000A0FD3"/>
    <w:rsid w:val="000A1C1A"/>
    <w:rsid w:val="000A3681"/>
    <w:rsid w:val="000A53AA"/>
    <w:rsid w:val="000B1F46"/>
    <w:rsid w:val="000B3109"/>
    <w:rsid w:val="000B5852"/>
    <w:rsid w:val="000B6959"/>
    <w:rsid w:val="000B7730"/>
    <w:rsid w:val="000C181C"/>
    <w:rsid w:val="000C2422"/>
    <w:rsid w:val="000C633F"/>
    <w:rsid w:val="000C73BD"/>
    <w:rsid w:val="000D4363"/>
    <w:rsid w:val="000E1F8F"/>
    <w:rsid w:val="000E3224"/>
    <w:rsid w:val="000E4D37"/>
    <w:rsid w:val="000F0499"/>
    <w:rsid w:val="000F050A"/>
    <w:rsid w:val="0010463B"/>
    <w:rsid w:val="001140CD"/>
    <w:rsid w:val="001167E3"/>
    <w:rsid w:val="0011772C"/>
    <w:rsid w:val="00122E9F"/>
    <w:rsid w:val="00131A48"/>
    <w:rsid w:val="001361F0"/>
    <w:rsid w:val="00140CB2"/>
    <w:rsid w:val="00145D61"/>
    <w:rsid w:val="001463F6"/>
    <w:rsid w:val="0016289F"/>
    <w:rsid w:val="00163808"/>
    <w:rsid w:val="00164A01"/>
    <w:rsid w:val="001656DC"/>
    <w:rsid w:val="0016715A"/>
    <w:rsid w:val="0017777D"/>
    <w:rsid w:val="001803CC"/>
    <w:rsid w:val="00181D4D"/>
    <w:rsid w:val="001854E8"/>
    <w:rsid w:val="001865DC"/>
    <w:rsid w:val="00197074"/>
    <w:rsid w:val="001A0718"/>
    <w:rsid w:val="001A2CFE"/>
    <w:rsid w:val="001B109E"/>
    <w:rsid w:val="001B24CD"/>
    <w:rsid w:val="001B351B"/>
    <w:rsid w:val="001B3F69"/>
    <w:rsid w:val="001B4417"/>
    <w:rsid w:val="001B7BC6"/>
    <w:rsid w:val="001C757B"/>
    <w:rsid w:val="001D484B"/>
    <w:rsid w:val="001F67F5"/>
    <w:rsid w:val="001F73C3"/>
    <w:rsid w:val="00202FCB"/>
    <w:rsid w:val="00203604"/>
    <w:rsid w:val="002038B1"/>
    <w:rsid w:val="00203D63"/>
    <w:rsid w:val="0021704F"/>
    <w:rsid w:val="0022719F"/>
    <w:rsid w:val="00233DA7"/>
    <w:rsid w:val="00233FDF"/>
    <w:rsid w:val="00241E85"/>
    <w:rsid w:val="002448A6"/>
    <w:rsid w:val="0024505F"/>
    <w:rsid w:val="00247D57"/>
    <w:rsid w:val="002508D0"/>
    <w:rsid w:val="00252FD7"/>
    <w:rsid w:val="002624F9"/>
    <w:rsid w:val="00265C5E"/>
    <w:rsid w:val="00271C04"/>
    <w:rsid w:val="00291178"/>
    <w:rsid w:val="00297BE8"/>
    <w:rsid w:val="002A26F8"/>
    <w:rsid w:val="002A319A"/>
    <w:rsid w:val="002B62BB"/>
    <w:rsid w:val="002B661D"/>
    <w:rsid w:val="002C3F0B"/>
    <w:rsid w:val="002C4B5D"/>
    <w:rsid w:val="002D5BE5"/>
    <w:rsid w:val="002D6D54"/>
    <w:rsid w:val="002E12E0"/>
    <w:rsid w:val="002E2362"/>
    <w:rsid w:val="00304336"/>
    <w:rsid w:val="0030436D"/>
    <w:rsid w:val="003050E0"/>
    <w:rsid w:val="0031009E"/>
    <w:rsid w:val="003109A9"/>
    <w:rsid w:val="0031229A"/>
    <w:rsid w:val="00315334"/>
    <w:rsid w:val="00316340"/>
    <w:rsid w:val="00320F76"/>
    <w:rsid w:val="0032287D"/>
    <w:rsid w:val="00330676"/>
    <w:rsid w:val="00331446"/>
    <w:rsid w:val="003459F4"/>
    <w:rsid w:val="00350D6B"/>
    <w:rsid w:val="00355625"/>
    <w:rsid w:val="0036361F"/>
    <w:rsid w:val="00365724"/>
    <w:rsid w:val="00367369"/>
    <w:rsid w:val="00374402"/>
    <w:rsid w:val="003902D9"/>
    <w:rsid w:val="00392845"/>
    <w:rsid w:val="00393C2E"/>
    <w:rsid w:val="003955B9"/>
    <w:rsid w:val="003A2E52"/>
    <w:rsid w:val="003A3233"/>
    <w:rsid w:val="003A3683"/>
    <w:rsid w:val="003A65FA"/>
    <w:rsid w:val="003A7807"/>
    <w:rsid w:val="003B3A14"/>
    <w:rsid w:val="003B52FF"/>
    <w:rsid w:val="003B602B"/>
    <w:rsid w:val="003B6045"/>
    <w:rsid w:val="003B76D8"/>
    <w:rsid w:val="003C3BF9"/>
    <w:rsid w:val="003D4715"/>
    <w:rsid w:val="003E1030"/>
    <w:rsid w:val="003E3C26"/>
    <w:rsid w:val="003F1D9B"/>
    <w:rsid w:val="003F751E"/>
    <w:rsid w:val="00412946"/>
    <w:rsid w:val="004202E4"/>
    <w:rsid w:val="00420F53"/>
    <w:rsid w:val="00421ADA"/>
    <w:rsid w:val="004221E6"/>
    <w:rsid w:val="004342AA"/>
    <w:rsid w:val="00435293"/>
    <w:rsid w:val="00435405"/>
    <w:rsid w:val="00440F43"/>
    <w:rsid w:val="00445B6E"/>
    <w:rsid w:val="0045443E"/>
    <w:rsid w:val="00455795"/>
    <w:rsid w:val="00457BF7"/>
    <w:rsid w:val="004649B5"/>
    <w:rsid w:val="00470953"/>
    <w:rsid w:val="00470973"/>
    <w:rsid w:val="004710E2"/>
    <w:rsid w:val="00473083"/>
    <w:rsid w:val="00487167"/>
    <w:rsid w:val="004920F3"/>
    <w:rsid w:val="00496F33"/>
    <w:rsid w:val="004A362C"/>
    <w:rsid w:val="004A567D"/>
    <w:rsid w:val="004A5DF7"/>
    <w:rsid w:val="004A7AAA"/>
    <w:rsid w:val="004B2F4D"/>
    <w:rsid w:val="004B3080"/>
    <w:rsid w:val="004B4470"/>
    <w:rsid w:val="004C1014"/>
    <w:rsid w:val="004C148D"/>
    <w:rsid w:val="004D2B0D"/>
    <w:rsid w:val="004E3C7E"/>
    <w:rsid w:val="004E6FF2"/>
    <w:rsid w:val="0050051A"/>
    <w:rsid w:val="00500C7C"/>
    <w:rsid w:val="00503F67"/>
    <w:rsid w:val="005110AB"/>
    <w:rsid w:val="00512A0F"/>
    <w:rsid w:val="00526A92"/>
    <w:rsid w:val="00526D7A"/>
    <w:rsid w:val="00527125"/>
    <w:rsid w:val="00530A69"/>
    <w:rsid w:val="00530D79"/>
    <w:rsid w:val="00540FFB"/>
    <w:rsid w:val="00544149"/>
    <w:rsid w:val="00545FA9"/>
    <w:rsid w:val="00546BDD"/>
    <w:rsid w:val="00554303"/>
    <w:rsid w:val="00555DC5"/>
    <w:rsid w:val="005652F7"/>
    <w:rsid w:val="005766E2"/>
    <w:rsid w:val="005801E7"/>
    <w:rsid w:val="00586008"/>
    <w:rsid w:val="00595B14"/>
    <w:rsid w:val="005A3696"/>
    <w:rsid w:val="005A530E"/>
    <w:rsid w:val="005A6A52"/>
    <w:rsid w:val="005B3B7B"/>
    <w:rsid w:val="005C5484"/>
    <w:rsid w:val="005D0C06"/>
    <w:rsid w:val="005E422A"/>
    <w:rsid w:val="005F0410"/>
    <w:rsid w:val="0060279F"/>
    <w:rsid w:val="00603382"/>
    <w:rsid w:val="00603C89"/>
    <w:rsid w:val="00604A1F"/>
    <w:rsid w:val="00606B35"/>
    <w:rsid w:val="0061076D"/>
    <w:rsid w:val="00620409"/>
    <w:rsid w:val="0062339D"/>
    <w:rsid w:val="006268D0"/>
    <w:rsid w:val="00627200"/>
    <w:rsid w:val="0063475B"/>
    <w:rsid w:val="00634D13"/>
    <w:rsid w:val="00635625"/>
    <w:rsid w:val="00636C1B"/>
    <w:rsid w:val="00647AAA"/>
    <w:rsid w:val="006548FA"/>
    <w:rsid w:val="00655795"/>
    <w:rsid w:val="00656EBD"/>
    <w:rsid w:val="00666DB3"/>
    <w:rsid w:val="00671F88"/>
    <w:rsid w:val="00675BB8"/>
    <w:rsid w:val="00682812"/>
    <w:rsid w:val="00684177"/>
    <w:rsid w:val="00694AE0"/>
    <w:rsid w:val="006A18A4"/>
    <w:rsid w:val="006A222D"/>
    <w:rsid w:val="006A3402"/>
    <w:rsid w:val="006A4CFA"/>
    <w:rsid w:val="006B1B20"/>
    <w:rsid w:val="006B1EF1"/>
    <w:rsid w:val="006B364C"/>
    <w:rsid w:val="006B5151"/>
    <w:rsid w:val="006B5A55"/>
    <w:rsid w:val="006B6F4C"/>
    <w:rsid w:val="006C1D23"/>
    <w:rsid w:val="006C7C98"/>
    <w:rsid w:val="006D3EC2"/>
    <w:rsid w:val="006D59DD"/>
    <w:rsid w:val="006E08E5"/>
    <w:rsid w:val="006E0F6D"/>
    <w:rsid w:val="006E49E0"/>
    <w:rsid w:val="006F0166"/>
    <w:rsid w:val="006F24BD"/>
    <w:rsid w:val="006F3A74"/>
    <w:rsid w:val="00703C1D"/>
    <w:rsid w:val="00707813"/>
    <w:rsid w:val="0071710D"/>
    <w:rsid w:val="007250D2"/>
    <w:rsid w:val="007327E1"/>
    <w:rsid w:val="00732D5B"/>
    <w:rsid w:val="00733F58"/>
    <w:rsid w:val="007442D5"/>
    <w:rsid w:val="00746E82"/>
    <w:rsid w:val="00753313"/>
    <w:rsid w:val="0075331A"/>
    <w:rsid w:val="0075350C"/>
    <w:rsid w:val="00753C51"/>
    <w:rsid w:val="00762F1F"/>
    <w:rsid w:val="00763A9E"/>
    <w:rsid w:val="00765D20"/>
    <w:rsid w:val="00773E4A"/>
    <w:rsid w:val="00775C6F"/>
    <w:rsid w:val="007949BC"/>
    <w:rsid w:val="007A0CDC"/>
    <w:rsid w:val="007A25B4"/>
    <w:rsid w:val="007B0699"/>
    <w:rsid w:val="007B4CA9"/>
    <w:rsid w:val="007C3345"/>
    <w:rsid w:val="007C5435"/>
    <w:rsid w:val="007D560B"/>
    <w:rsid w:val="007E14DC"/>
    <w:rsid w:val="007E201A"/>
    <w:rsid w:val="007E21F0"/>
    <w:rsid w:val="007F0D78"/>
    <w:rsid w:val="007F22D9"/>
    <w:rsid w:val="007F2405"/>
    <w:rsid w:val="007F3C77"/>
    <w:rsid w:val="007F6E03"/>
    <w:rsid w:val="00800545"/>
    <w:rsid w:val="0080186C"/>
    <w:rsid w:val="00806B3C"/>
    <w:rsid w:val="00834A28"/>
    <w:rsid w:val="0084770E"/>
    <w:rsid w:val="00853281"/>
    <w:rsid w:val="00854AD1"/>
    <w:rsid w:val="008578FC"/>
    <w:rsid w:val="00860104"/>
    <w:rsid w:val="00861153"/>
    <w:rsid w:val="00863B5E"/>
    <w:rsid w:val="008669DD"/>
    <w:rsid w:val="00880B79"/>
    <w:rsid w:val="0088645B"/>
    <w:rsid w:val="00886A6B"/>
    <w:rsid w:val="00886BCC"/>
    <w:rsid w:val="00887067"/>
    <w:rsid w:val="00895B8D"/>
    <w:rsid w:val="008A12E1"/>
    <w:rsid w:val="008B070E"/>
    <w:rsid w:val="008C3A71"/>
    <w:rsid w:val="008C4788"/>
    <w:rsid w:val="008D22E1"/>
    <w:rsid w:val="008E0D46"/>
    <w:rsid w:val="008E2BC0"/>
    <w:rsid w:val="008E7349"/>
    <w:rsid w:val="008F14C5"/>
    <w:rsid w:val="008F15E1"/>
    <w:rsid w:val="00900ECE"/>
    <w:rsid w:val="00901EBE"/>
    <w:rsid w:val="00907153"/>
    <w:rsid w:val="00910B0F"/>
    <w:rsid w:val="009113FB"/>
    <w:rsid w:val="00916212"/>
    <w:rsid w:val="0092105F"/>
    <w:rsid w:val="00924D0E"/>
    <w:rsid w:val="00924F3A"/>
    <w:rsid w:val="00925579"/>
    <w:rsid w:val="00925907"/>
    <w:rsid w:val="00927794"/>
    <w:rsid w:val="009305B8"/>
    <w:rsid w:val="00943E98"/>
    <w:rsid w:val="00961D71"/>
    <w:rsid w:val="00981CDF"/>
    <w:rsid w:val="0098272A"/>
    <w:rsid w:val="0099003C"/>
    <w:rsid w:val="009901AB"/>
    <w:rsid w:val="00994A88"/>
    <w:rsid w:val="009A73AF"/>
    <w:rsid w:val="009B062C"/>
    <w:rsid w:val="009B2DB7"/>
    <w:rsid w:val="009B3058"/>
    <w:rsid w:val="009C0A6F"/>
    <w:rsid w:val="009C1541"/>
    <w:rsid w:val="009C4FB2"/>
    <w:rsid w:val="009D1B1E"/>
    <w:rsid w:val="009D4270"/>
    <w:rsid w:val="009D582F"/>
    <w:rsid w:val="009D6405"/>
    <w:rsid w:val="009D6E85"/>
    <w:rsid w:val="009D7004"/>
    <w:rsid w:val="009D73B7"/>
    <w:rsid w:val="009F24D4"/>
    <w:rsid w:val="009F3072"/>
    <w:rsid w:val="00A0751E"/>
    <w:rsid w:val="00A1520D"/>
    <w:rsid w:val="00A1548F"/>
    <w:rsid w:val="00A26BF7"/>
    <w:rsid w:val="00A34001"/>
    <w:rsid w:val="00A402DE"/>
    <w:rsid w:val="00A40FBA"/>
    <w:rsid w:val="00A420AF"/>
    <w:rsid w:val="00A42EF2"/>
    <w:rsid w:val="00A56934"/>
    <w:rsid w:val="00A578B0"/>
    <w:rsid w:val="00A672DE"/>
    <w:rsid w:val="00A7398F"/>
    <w:rsid w:val="00A74A3A"/>
    <w:rsid w:val="00A74CAD"/>
    <w:rsid w:val="00A868EA"/>
    <w:rsid w:val="00A913AD"/>
    <w:rsid w:val="00AB1C8D"/>
    <w:rsid w:val="00AC17A9"/>
    <w:rsid w:val="00AC40CA"/>
    <w:rsid w:val="00AC48DB"/>
    <w:rsid w:val="00AC65B4"/>
    <w:rsid w:val="00AF6C0B"/>
    <w:rsid w:val="00B0202F"/>
    <w:rsid w:val="00B029F8"/>
    <w:rsid w:val="00B02E2D"/>
    <w:rsid w:val="00B07731"/>
    <w:rsid w:val="00B1212E"/>
    <w:rsid w:val="00B21AE3"/>
    <w:rsid w:val="00B229CF"/>
    <w:rsid w:val="00B256FA"/>
    <w:rsid w:val="00B3059E"/>
    <w:rsid w:val="00B32085"/>
    <w:rsid w:val="00B348C2"/>
    <w:rsid w:val="00B438B4"/>
    <w:rsid w:val="00B5148B"/>
    <w:rsid w:val="00B60726"/>
    <w:rsid w:val="00B60A15"/>
    <w:rsid w:val="00B60BA3"/>
    <w:rsid w:val="00B64ACD"/>
    <w:rsid w:val="00B653D4"/>
    <w:rsid w:val="00B669AA"/>
    <w:rsid w:val="00B673E0"/>
    <w:rsid w:val="00B73DF5"/>
    <w:rsid w:val="00B77161"/>
    <w:rsid w:val="00B77D47"/>
    <w:rsid w:val="00B82975"/>
    <w:rsid w:val="00B93822"/>
    <w:rsid w:val="00BA0EAE"/>
    <w:rsid w:val="00BA20D9"/>
    <w:rsid w:val="00BA2AC9"/>
    <w:rsid w:val="00BB35F4"/>
    <w:rsid w:val="00BB36B3"/>
    <w:rsid w:val="00BB71C8"/>
    <w:rsid w:val="00BB7338"/>
    <w:rsid w:val="00BC0270"/>
    <w:rsid w:val="00BD37D4"/>
    <w:rsid w:val="00BE14CA"/>
    <w:rsid w:val="00BE5075"/>
    <w:rsid w:val="00C05C2E"/>
    <w:rsid w:val="00C12762"/>
    <w:rsid w:val="00C4084B"/>
    <w:rsid w:val="00C4316F"/>
    <w:rsid w:val="00C43D2E"/>
    <w:rsid w:val="00C46342"/>
    <w:rsid w:val="00C50800"/>
    <w:rsid w:val="00C514D4"/>
    <w:rsid w:val="00C54798"/>
    <w:rsid w:val="00C61C48"/>
    <w:rsid w:val="00C62251"/>
    <w:rsid w:val="00C73825"/>
    <w:rsid w:val="00C75104"/>
    <w:rsid w:val="00C77B56"/>
    <w:rsid w:val="00C85694"/>
    <w:rsid w:val="00C91D9D"/>
    <w:rsid w:val="00C95EFC"/>
    <w:rsid w:val="00CA265A"/>
    <w:rsid w:val="00CA7C48"/>
    <w:rsid w:val="00CB4B5E"/>
    <w:rsid w:val="00CC14B6"/>
    <w:rsid w:val="00CC179A"/>
    <w:rsid w:val="00CC2694"/>
    <w:rsid w:val="00CC62B8"/>
    <w:rsid w:val="00D06FAD"/>
    <w:rsid w:val="00D072F4"/>
    <w:rsid w:val="00D21001"/>
    <w:rsid w:val="00D26074"/>
    <w:rsid w:val="00D26329"/>
    <w:rsid w:val="00D27133"/>
    <w:rsid w:val="00D37A61"/>
    <w:rsid w:val="00D37E2E"/>
    <w:rsid w:val="00D4487E"/>
    <w:rsid w:val="00D4738A"/>
    <w:rsid w:val="00D5614D"/>
    <w:rsid w:val="00D573C7"/>
    <w:rsid w:val="00D60384"/>
    <w:rsid w:val="00D61152"/>
    <w:rsid w:val="00D671EA"/>
    <w:rsid w:val="00D701F3"/>
    <w:rsid w:val="00D74122"/>
    <w:rsid w:val="00D90DF8"/>
    <w:rsid w:val="00D92374"/>
    <w:rsid w:val="00D971E7"/>
    <w:rsid w:val="00DA2647"/>
    <w:rsid w:val="00DA2A62"/>
    <w:rsid w:val="00DA4302"/>
    <w:rsid w:val="00DB134B"/>
    <w:rsid w:val="00DB7183"/>
    <w:rsid w:val="00DC080D"/>
    <w:rsid w:val="00DC1AFA"/>
    <w:rsid w:val="00DC5D3B"/>
    <w:rsid w:val="00DC6B49"/>
    <w:rsid w:val="00DD244D"/>
    <w:rsid w:val="00DD673A"/>
    <w:rsid w:val="00DD73F3"/>
    <w:rsid w:val="00DE164B"/>
    <w:rsid w:val="00DF0111"/>
    <w:rsid w:val="00DF102B"/>
    <w:rsid w:val="00DF202D"/>
    <w:rsid w:val="00DF52B3"/>
    <w:rsid w:val="00DF6609"/>
    <w:rsid w:val="00DF6A1B"/>
    <w:rsid w:val="00E00139"/>
    <w:rsid w:val="00E025AC"/>
    <w:rsid w:val="00E02923"/>
    <w:rsid w:val="00E1516A"/>
    <w:rsid w:val="00E177B4"/>
    <w:rsid w:val="00E32762"/>
    <w:rsid w:val="00E37DE4"/>
    <w:rsid w:val="00E40FF8"/>
    <w:rsid w:val="00E43972"/>
    <w:rsid w:val="00E510F2"/>
    <w:rsid w:val="00E568A7"/>
    <w:rsid w:val="00E63345"/>
    <w:rsid w:val="00E63988"/>
    <w:rsid w:val="00E63A4E"/>
    <w:rsid w:val="00E7401B"/>
    <w:rsid w:val="00E80BFD"/>
    <w:rsid w:val="00E81BCF"/>
    <w:rsid w:val="00E85562"/>
    <w:rsid w:val="00E86AAC"/>
    <w:rsid w:val="00E90115"/>
    <w:rsid w:val="00EA047A"/>
    <w:rsid w:val="00EA64C1"/>
    <w:rsid w:val="00EB580C"/>
    <w:rsid w:val="00EC2013"/>
    <w:rsid w:val="00EC3EBB"/>
    <w:rsid w:val="00ED4603"/>
    <w:rsid w:val="00ED7244"/>
    <w:rsid w:val="00ED77A6"/>
    <w:rsid w:val="00EE0080"/>
    <w:rsid w:val="00EE7196"/>
    <w:rsid w:val="00EE78A9"/>
    <w:rsid w:val="00EE7DE4"/>
    <w:rsid w:val="00EF0D2B"/>
    <w:rsid w:val="00F01DE9"/>
    <w:rsid w:val="00F07E45"/>
    <w:rsid w:val="00F26040"/>
    <w:rsid w:val="00F261CA"/>
    <w:rsid w:val="00F27ADB"/>
    <w:rsid w:val="00F42310"/>
    <w:rsid w:val="00F47A9D"/>
    <w:rsid w:val="00F5659E"/>
    <w:rsid w:val="00F56794"/>
    <w:rsid w:val="00F67837"/>
    <w:rsid w:val="00F93D9B"/>
    <w:rsid w:val="00F950E6"/>
    <w:rsid w:val="00FA2762"/>
    <w:rsid w:val="00FB501E"/>
    <w:rsid w:val="00FC019E"/>
    <w:rsid w:val="00FC4B6E"/>
    <w:rsid w:val="00FD3913"/>
    <w:rsid w:val="00FD6F12"/>
    <w:rsid w:val="00FE371A"/>
    <w:rsid w:val="00FF1093"/>
    <w:rsid w:val="01E272A3"/>
    <w:rsid w:val="02572AE5"/>
    <w:rsid w:val="048168F2"/>
    <w:rsid w:val="04CF69F1"/>
    <w:rsid w:val="056C1671"/>
    <w:rsid w:val="08855808"/>
    <w:rsid w:val="08F32571"/>
    <w:rsid w:val="09390B2F"/>
    <w:rsid w:val="0BBC084E"/>
    <w:rsid w:val="0C6E60F3"/>
    <w:rsid w:val="0D934BD1"/>
    <w:rsid w:val="0F4F61AB"/>
    <w:rsid w:val="107B371A"/>
    <w:rsid w:val="12F605AB"/>
    <w:rsid w:val="13283B7C"/>
    <w:rsid w:val="159468F5"/>
    <w:rsid w:val="15E24476"/>
    <w:rsid w:val="16872A06"/>
    <w:rsid w:val="1731761B"/>
    <w:rsid w:val="177C6796"/>
    <w:rsid w:val="18194096"/>
    <w:rsid w:val="189555C4"/>
    <w:rsid w:val="1A8E28A0"/>
    <w:rsid w:val="1B232D94"/>
    <w:rsid w:val="1BCE542B"/>
    <w:rsid w:val="1BD8783D"/>
    <w:rsid w:val="1BEB6F5A"/>
    <w:rsid w:val="1C3715D7"/>
    <w:rsid w:val="1F5472F6"/>
    <w:rsid w:val="1F5B6C81"/>
    <w:rsid w:val="1FE62FE2"/>
    <w:rsid w:val="20510493"/>
    <w:rsid w:val="215F4DCD"/>
    <w:rsid w:val="217472F0"/>
    <w:rsid w:val="22F506E6"/>
    <w:rsid w:val="231256DE"/>
    <w:rsid w:val="256F5577"/>
    <w:rsid w:val="28E64C29"/>
    <w:rsid w:val="299B3453"/>
    <w:rsid w:val="2AAF5C6A"/>
    <w:rsid w:val="2B270994"/>
    <w:rsid w:val="2C420DA8"/>
    <w:rsid w:val="2D466457"/>
    <w:rsid w:val="2D680B8A"/>
    <w:rsid w:val="2D6C2E14"/>
    <w:rsid w:val="2DA1586C"/>
    <w:rsid w:val="2E2831C7"/>
    <w:rsid w:val="303E6135"/>
    <w:rsid w:val="30914A91"/>
    <w:rsid w:val="30AA2B64"/>
    <w:rsid w:val="30C86099"/>
    <w:rsid w:val="30CC121C"/>
    <w:rsid w:val="31863ECE"/>
    <w:rsid w:val="31E5776A"/>
    <w:rsid w:val="32907C03"/>
    <w:rsid w:val="343A4E8D"/>
    <w:rsid w:val="34A36369"/>
    <w:rsid w:val="35942EBB"/>
    <w:rsid w:val="3596247A"/>
    <w:rsid w:val="35C41CC4"/>
    <w:rsid w:val="37321E9B"/>
    <w:rsid w:val="381B1E18"/>
    <w:rsid w:val="381F62A0"/>
    <w:rsid w:val="393F7D35"/>
    <w:rsid w:val="395D3729"/>
    <w:rsid w:val="3B4535CA"/>
    <w:rsid w:val="3C335D38"/>
    <w:rsid w:val="3DAB1A5B"/>
    <w:rsid w:val="3E7B0B8E"/>
    <w:rsid w:val="3F2A54AE"/>
    <w:rsid w:val="3FA52BFA"/>
    <w:rsid w:val="412C397A"/>
    <w:rsid w:val="42A14B19"/>
    <w:rsid w:val="44607078"/>
    <w:rsid w:val="44D70EFD"/>
    <w:rsid w:val="456C1740"/>
    <w:rsid w:val="45826E17"/>
    <w:rsid w:val="45B6056B"/>
    <w:rsid w:val="47A14C13"/>
    <w:rsid w:val="488009FE"/>
    <w:rsid w:val="4A6D2A49"/>
    <w:rsid w:val="4BCE13F8"/>
    <w:rsid w:val="4DB14B03"/>
    <w:rsid w:val="4DEA1263"/>
    <w:rsid w:val="50CF605D"/>
    <w:rsid w:val="50E449C6"/>
    <w:rsid w:val="51804844"/>
    <w:rsid w:val="521F5647"/>
    <w:rsid w:val="541447FD"/>
    <w:rsid w:val="544A504B"/>
    <w:rsid w:val="555C5E19"/>
    <w:rsid w:val="55DC1BEA"/>
    <w:rsid w:val="57FB5468"/>
    <w:rsid w:val="5B1146F6"/>
    <w:rsid w:val="5BBA388A"/>
    <w:rsid w:val="5C127B1C"/>
    <w:rsid w:val="5D7209DD"/>
    <w:rsid w:val="5FAD4A84"/>
    <w:rsid w:val="63B764A7"/>
    <w:rsid w:val="63FA0916"/>
    <w:rsid w:val="65A73E55"/>
    <w:rsid w:val="66C023A3"/>
    <w:rsid w:val="676550B0"/>
    <w:rsid w:val="68FD0CE8"/>
    <w:rsid w:val="69034A8C"/>
    <w:rsid w:val="691959FB"/>
    <w:rsid w:val="69F753E9"/>
    <w:rsid w:val="6ADA7BDA"/>
    <w:rsid w:val="6B973810"/>
    <w:rsid w:val="6CF56FD0"/>
    <w:rsid w:val="6D303931"/>
    <w:rsid w:val="6DEB4065"/>
    <w:rsid w:val="6EC923CE"/>
    <w:rsid w:val="6F8F6914"/>
    <w:rsid w:val="703A2630"/>
    <w:rsid w:val="705431DA"/>
    <w:rsid w:val="70C53DD6"/>
    <w:rsid w:val="71155816"/>
    <w:rsid w:val="71617E94"/>
    <w:rsid w:val="73050544"/>
    <w:rsid w:val="737B3A06"/>
    <w:rsid w:val="73E47BB2"/>
    <w:rsid w:val="75352259"/>
    <w:rsid w:val="759D1102"/>
    <w:rsid w:val="75FB149C"/>
    <w:rsid w:val="784F7772"/>
    <w:rsid w:val="790B5926"/>
    <w:rsid w:val="7E446E38"/>
    <w:rsid w:val="7EE91B4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rules v:ext="edit">
        <o:r id="V:Rule1" type="connector" idref="#Straight Connector 2"/>
        <o:r id="V:Rule2" type="connector" idref="#Straight Connector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ocked="1"/>
    <w:lsdException w:uiPriority="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8"/>
      <w:szCs w:val="22"/>
      <w:lang w:val="en-US" w:eastAsia="zh-CN" w:bidi="ar-SA"/>
    </w:rPr>
  </w:style>
  <w:style w:type="paragraph" w:styleId="3">
    <w:name w:val="heading 1"/>
    <w:basedOn w:val="1"/>
    <w:next w:val="1"/>
    <w:link w:val="32"/>
    <w:qFormat/>
    <w:uiPriority w:val="99"/>
    <w:pPr>
      <w:keepNext/>
      <w:keepLines/>
      <w:spacing w:before="220" w:after="210" w:line="578" w:lineRule="auto"/>
      <w:jc w:val="center"/>
      <w:outlineLvl w:val="0"/>
    </w:pPr>
    <w:rPr>
      <w:rFonts w:ascii="Calibri" w:hAnsi="Calibri" w:eastAsia="黑体"/>
      <w:b/>
      <w:bCs/>
      <w:kern w:val="44"/>
      <w:sz w:val="32"/>
      <w:szCs w:val="44"/>
    </w:rPr>
  </w:style>
  <w:style w:type="paragraph" w:styleId="2">
    <w:name w:val="heading 2"/>
    <w:basedOn w:val="1"/>
    <w:next w:val="1"/>
    <w:link w:val="33"/>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4"/>
    <w:qFormat/>
    <w:uiPriority w:val="99"/>
    <w:pPr>
      <w:keepNext/>
      <w:keepLines/>
      <w:spacing w:before="260" w:after="260" w:line="416" w:lineRule="auto"/>
      <w:outlineLvl w:val="2"/>
    </w:pPr>
    <w:rPr>
      <w:b/>
      <w:bCs/>
      <w:kern w:val="0"/>
      <w:sz w:val="32"/>
      <w:szCs w:val="32"/>
    </w:rPr>
  </w:style>
  <w:style w:type="character" w:default="1" w:styleId="23">
    <w:name w:val="Default Paragraph Font"/>
    <w:semiHidden/>
    <w:qFormat/>
    <w:uiPriority w:val="99"/>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jc w:val="both"/>
    </w:pPr>
    <w:rPr>
      <w:sz w:val="21"/>
    </w:rPr>
  </w:style>
  <w:style w:type="paragraph" w:styleId="6">
    <w:name w:val="annotation text"/>
    <w:basedOn w:val="1"/>
    <w:link w:val="43"/>
    <w:semiHidden/>
    <w:qFormat/>
    <w:uiPriority w:val="99"/>
  </w:style>
  <w:style w:type="paragraph" w:styleId="7">
    <w:name w:val="toc 5"/>
    <w:basedOn w:val="1"/>
    <w:next w:val="1"/>
    <w:qFormat/>
    <w:uiPriority w:val="99"/>
    <w:pPr>
      <w:ind w:left="1680" w:leftChars="800"/>
      <w:jc w:val="both"/>
    </w:pPr>
    <w:rPr>
      <w:sz w:val="21"/>
    </w:rPr>
  </w:style>
  <w:style w:type="paragraph" w:styleId="8">
    <w:name w:val="toc 3"/>
    <w:basedOn w:val="1"/>
    <w:next w:val="1"/>
    <w:qFormat/>
    <w:uiPriority w:val="99"/>
    <w:pPr>
      <w:ind w:left="840" w:leftChars="400"/>
      <w:jc w:val="both"/>
    </w:pPr>
    <w:rPr>
      <w:sz w:val="21"/>
    </w:rPr>
  </w:style>
  <w:style w:type="paragraph" w:styleId="9">
    <w:name w:val="toc 8"/>
    <w:basedOn w:val="1"/>
    <w:next w:val="1"/>
    <w:qFormat/>
    <w:uiPriority w:val="99"/>
    <w:pPr>
      <w:ind w:left="2940" w:leftChars="1400"/>
      <w:jc w:val="both"/>
    </w:pPr>
    <w:rPr>
      <w:sz w:val="21"/>
    </w:rPr>
  </w:style>
  <w:style w:type="paragraph" w:styleId="10">
    <w:name w:val="Balloon Text"/>
    <w:basedOn w:val="1"/>
    <w:link w:val="35"/>
    <w:qFormat/>
    <w:uiPriority w:val="99"/>
    <w:rPr>
      <w:sz w:val="16"/>
      <w:szCs w:val="16"/>
    </w:rPr>
  </w:style>
  <w:style w:type="paragraph" w:styleId="11">
    <w:name w:val="footer"/>
    <w:basedOn w:val="1"/>
    <w:link w:val="36"/>
    <w:qFormat/>
    <w:uiPriority w:val="99"/>
    <w:pPr>
      <w:tabs>
        <w:tab w:val="center" w:pos="4153"/>
        <w:tab w:val="right" w:pos="8306"/>
      </w:tabs>
      <w:snapToGrid w:val="0"/>
    </w:pPr>
    <w:rPr>
      <w:kern w:val="0"/>
      <w:sz w:val="18"/>
      <w:szCs w:val="18"/>
    </w:rPr>
  </w:style>
  <w:style w:type="paragraph" w:styleId="12">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pPr>
      <w:tabs>
        <w:tab w:val="right" w:leader="dot" w:pos="8296"/>
      </w:tabs>
      <w:jc w:val="center"/>
    </w:pPr>
    <w:rPr>
      <w:b/>
      <w:w w:val="90"/>
    </w:rPr>
  </w:style>
  <w:style w:type="paragraph" w:styleId="14">
    <w:name w:val="toc 4"/>
    <w:basedOn w:val="1"/>
    <w:next w:val="1"/>
    <w:qFormat/>
    <w:uiPriority w:val="99"/>
    <w:pPr>
      <w:ind w:left="1260" w:leftChars="600"/>
      <w:jc w:val="both"/>
    </w:pPr>
    <w:rPr>
      <w:sz w:val="21"/>
    </w:rPr>
  </w:style>
  <w:style w:type="paragraph" w:styleId="15">
    <w:name w:val="Subtitle"/>
    <w:basedOn w:val="1"/>
    <w:next w:val="4"/>
    <w:link w:val="38"/>
    <w:qFormat/>
    <w:uiPriority w:val="99"/>
    <w:pPr>
      <w:spacing w:before="240" w:after="60" w:line="312" w:lineRule="auto"/>
      <w:outlineLvl w:val="1"/>
    </w:pPr>
    <w:rPr>
      <w:rFonts w:ascii="Cambria" w:hAnsi="Cambria"/>
      <w:b/>
      <w:bCs/>
      <w:kern w:val="28"/>
      <w:sz w:val="32"/>
      <w:szCs w:val="32"/>
    </w:rPr>
  </w:style>
  <w:style w:type="paragraph" w:styleId="16">
    <w:name w:val="toc 6"/>
    <w:basedOn w:val="1"/>
    <w:next w:val="1"/>
    <w:qFormat/>
    <w:uiPriority w:val="99"/>
    <w:pPr>
      <w:ind w:left="2100" w:leftChars="1000"/>
      <w:jc w:val="both"/>
    </w:pPr>
    <w:rPr>
      <w:sz w:val="21"/>
    </w:rPr>
  </w:style>
  <w:style w:type="paragraph" w:styleId="17">
    <w:name w:val="toc 2"/>
    <w:basedOn w:val="1"/>
    <w:next w:val="1"/>
    <w:qFormat/>
    <w:uiPriority w:val="99"/>
    <w:pPr>
      <w:tabs>
        <w:tab w:val="right" w:leader="dot" w:pos="8296"/>
      </w:tabs>
      <w:ind w:left="560" w:leftChars="200"/>
    </w:pPr>
    <w:rPr>
      <w:w w:val="90"/>
    </w:rPr>
  </w:style>
  <w:style w:type="paragraph" w:styleId="18">
    <w:name w:val="toc 9"/>
    <w:basedOn w:val="1"/>
    <w:next w:val="1"/>
    <w:qFormat/>
    <w:uiPriority w:val="99"/>
    <w:pPr>
      <w:ind w:left="3360" w:leftChars="1600"/>
      <w:jc w:val="both"/>
    </w:pPr>
    <w:rPr>
      <w:sz w:val="21"/>
    </w:rPr>
  </w:style>
  <w:style w:type="paragraph" w:styleId="19">
    <w:name w:val="Normal (Web)"/>
    <w:basedOn w:val="1"/>
    <w:qFormat/>
    <w:uiPriority w:val="99"/>
    <w:pPr>
      <w:widowControl/>
      <w:spacing w:before="100" w:beforeAutospacing="1" w:after="100" w:afterAutospacing="1"/>
    </w:pPr>
    <w:rPr>
      <w:rFonts w:ascii="宋体" w:hAnsi="宋体" w:cs="宋体"/>
      <w:kern w:val="0"/>
      <w:szCs w:val="28"/>
    </w:rPr>
  </w:style>
  <w:style w:type="paragraph" w:styleId="20">
    <w:name w:val="Title"/>
    <w:basedOn w:val="1"/>
    <w:next w:val="1"/>
    <w:link w:val="39"/>
    <w:qFormat/>
    <w:uiPriority w:val="99"/>
    <w:pPr>
      <w:spacing w:before="240" w:after="60"/>
      <w:jc w:val="center"/>
      <w:outlineLvl w:val="0"/>
    </w:pPr>
    <w:rPr>
      <w:rFonts w:ascii="Cambria" w:hAnsi="Cambria"/>
      <w:b/>
      <w:bCs/>
      <w:kern w:val="0"/>
      <w:sz w:val="32"/>
      <w:szCs w:val="32"/>
    </w:rPr>
  </w:style>
  <w:style w:type="paragraph" w:styleId="21">
    <w:name w:val="annotation subject"/>
    <w:basedOn w:val="6"/>
    <w:next w:val="6"/>
    <w:link w:val="44"/>
    <w:semiHidden/>
    <w:qFormat/>
    <w:uiPriority w:val="99"/>
    <w:rPr>
      <w:b/>
      <w:bCs/>
    </w:rPr>
  </w:style>
  <w:style w:type="character" w:styleId="24">
    <w:name w:val="page number"/>
    <w:basedOn w:val="23"/>
    <w:qFormat/>
    <w:uiPriority w:val="99"/>
    <w:rPr>
      <w:rFonts w:cs="Times New Roman"/>
    </w:rPr>
  </w:style>
  <w:style w:type="character" w:styleId="25">
    <w:name w:val="Hyperlink"/>
    <w:basedOn w:val="23"/>
    <w:qFormat/>
    <w:uiPriority w:val="99"/>
    <w:rPr>
      <w:rFonts w:cs="Times New Roman"/>
      <w:color w:val="0000FF"/>
      <w:u w:val="single"/>
    </w:rPr>
  </w:style>
  <w:style w:type="character" w:styleId="26">
    <w:name w:val="annotation reference"/>
    <w:basedOn w:val="23"/>
    <w:semiHidden/>
    <w:qFormat/>
    <w:uiPriority w:val="99"/>
    <w:rPr>
      <w:rFonts w:cs="Times New Roman"/>
      <w:sz w:val="21"/>
    </w:rPr>
  </w:style>
  <w:style w:type="paragraph" w:customStyle="1" w:styleId="27">
    <w:name w:val="Char Char3 Char Char Char1 Char"/>
    <w:basedOn w:val="1"/>
    <w:qFormat/>
    <w:uiPriority w:val="99"/>
    <w:rPr>
      <w:b/>
      <w:bCs/>
    </w:rPr>
  </w:style>
  <w:style w:type="paragraph" w:customStyle="1" w:styleId="28">
    <w:name w:val="Char Char Char1 Char Char Char Char"/>
    <w:basedOn w:val="1"/>
    <w:qFormat/>
    <w:uiPriority w:val="99"/>
    <w:rPr>
      <w:szCs w:val="20"/>
    </w:rPr>
  </w:style>
  <w:style w:type="paragraph" w:customStyle="1" w:styleId="29">
    <w:name w:val="p0"/>
    <w:basedOn w:val="1"/>
    <w:qFormat/>
    <w:uiPriority w:val="99"/>
    <w:pPr>
      <w:widowControl/>
    </w:pPr>
    <w:rPr>
      <w:kern w:val="0"/>
      <w:szCs w:val="21"/>
    </w:rPr>
  </w:style>
  <w:style w:type="paragraph" w:customStyle="1" w:styleId="30">
    <w:name w:val="无间隔1"/>
    <w:link w:val="42"/>
    <w:qFormat/>
    <w:uiPriority w:val="99"/>
    <w:rPr>
      <w:rFonts w:ascii="Calibri" w:hAnsi="Calibri" w:eastAsia="宋体" w:cs="Times New Roman"/>
      <w:kern w:val="0"/>
      <w:sz w:val="22"/>
      <w:szCs w:val="22"/>
      <w:lang w:val="en-US" w:eastAsia="zh-CN" w:bidi="ar-SA"/>
    </w:rPr>
  </w:style>
  <w:style w:type="paragraph" w:customStyle="1" w:styleId="31">
    <w:name w:val="TOC 标题1"/>
    <w:basedOn w:val="3"/>
    <w:next w:val="1"/>
    <w:qFormat/>
    <w:uiPriority w:val="99"/>
    <w:pPr>
      <w:jc w:val="left"/>
      <w:outlineLvl w:val="9"/>
    </w:pPr>
  </w:style>
  <w:style w:type="character" w:customStyle="1" w:styleId="32">
    <w:name w:val="Heading 1 Char"/>
    <w:basedOn w:val="23"/>
    <w:link w:val="3"/>
    <w:qFormat/>
    <w:locked/>
    <w:uiPriority w:val="99"/>
    <w:rPr>
      <w:rFonts w:ascii="Calibri" w:hAnsi="Calibri" w:eastAsia="黑体" w:cs="Times New Roman"/>
      <w:b/>
      <w:kern w:val="44"/>
      <w:sz w:val="32"/>
    </w:rPr>
  </w:style>
  <w:style w:type="character" w:customStyle="1" w:styleId="33">
    <w:name w:val="Heading 2 Char"/>
    <w:basedOn w:val="23"/>
    <w:link w:val="2"/>
    <w:semiHidden/>
    <w:qFormat/>
    <w:locked/>
    <w:uiPriority w:val="99"/>
    <w:rPr>
      <w:rFonts w:ascii="Cambria" w:hAnsi="Cambria" w:eastAsia="宋体" w:cs="Times New Roman"/>
      <w:b/>
      <w:sz w:val="32"/>
    </w:rPr>
  </w:style>
  <w:style w:type="character" w:customStyle="1" w:styleId="34">
    <w:name w:val="Heading 3 Char"/>
    <w:basedOn w:val="23"/>
    <w:link w:val="4"/>
    <w:semiHidden/>
    <w:qFormat/>
    <w:locked/>
    <w:uiPriority w:val="99"/>
    <w:rPr>
      <w:rFonts w:cs="Times New Roman"/>
      <w:b/>
      <w:sz w:val="32"/>
    </w:rPr>
  </w:style>
  <w:style w:type="character" w:customStyle="1" w:styleId="35">
    <w:name w:val="Balloon Text Char"/>
    <w:basedOn w:val="23"/>
    <w:link w:val="10"/>
    <w:qFormat/>
    <w:locked/>
    <w:uiPriority w:val="99"/>
    <w:rPr>
      <w:rFonts w:cs="Times New Roman"/>
      <w:kern w:val="2"/>
      <w:sz w:val="16"/>
    </w:rPr>
  </w:style>
  <w:style w:type="character" w:customStyle="1" w:styleId="36">
    <w:name w:val="Footer Char"/>
    <w:basedOn w:val="23"/>
    <w:link w:val="11"/>
    <w:semiHidden/>
    <w:qFormat/>
    <w:locked/>
    <w:uiPriority w:val="99"/>
    <w:rPr>
      <w:rFonts w:cs="Times New Roman"/>
      <w:sz w:val="18"/>
    </w:rPr>
  </w:style>
  <w:style w:type="character" w:customStyle="1" w:styleId="37">
    <w:name w:val="Header Char"/>
    <w:basedOn w:val="23"/>
    <w:link w:val="12"/>
    <w:qFormat/>
    <w:locked/>
    <w:uiPriority w:val="99"/>
    <w:rPr>
      <w:rFonts w:cs="Times New Roman"/>
      <w:kern w:val="2"/>
      <w:sz w:val="18"/>
    </w:rPr>
  </w:style>
  <w:style w:type="character" w:customStyle="1" w:styleId="38">
    <w:name w:val="Subtitle Char"/>
    <w:basedOn w:val="23"/>
    <w:link w:val="15"/>
    <w:qFormat/>
    <w:locked/>
    <w:uiPriority w:val="99"/>
    <w:rPr>
      <w:rFonts w:ascii="Cambria" w:hAnsi="Cambria" w:eastAsia="宋体" w:cs="Times New Roman"/>
      <w:b/>
      <w:kern w:val="28"/>
      <w:sz w:val="32"/>
    </w:rPr>
  </w:style>
  <w:style w:type="character" w:customStyle="1" w:styleId="39">
    <w:name w:val="Title Char"/>
    <w:basedOn w:val="23"/>
    <w:link w:val="20"/>
    <w:qFormat/>
    <w:locked/>
    <w:uiPriority w:val="99"/>
    <w:rPr>
      <w:rFonts w:ascii="Cambria" w:hAnsi="Cambria" w:eastAsia="宋体" w:cs="Times New Roman"/>
      <w:b/>
      <w:sz w:val="32"/>
    </w:rPr>
  </w:style>
  <w:style w:type="character" w:customStyle="1" w:styleId="40">
    <w:name w:val="black0001"/>
    <w:qFormat/>
    <w:uiPriority w:val="99"/>
    <w:rPr>
      <w:b/>
      <w:color w:val="000000"/>
      <w:sz w:val="24"/>
    </w:rPr>
  </w:style>
  <w:style w:type="character" w:customStyle="1" w:styleId="41">
    <w:name w:val="updatecss"/>
    <w:qFormat/>
    <w:uiPriority w:val="99"/>
  </w:style>
  <w:style w:type="character" w:customStyle="1" w:styleId="42">
    <w:name w:val="No Spacing Char"/>
    <w:link w:val="30"/>
    <w:qFormat/>
    <w:locked/>
    <w:uiPriority w:val="99"/>
    <w:rPr>
      <w:sz w:val="22"/>
      <w:lang w:val="en-US" w:eastAsia="zh-CN"/>
    </w:rPr>
  </w:style>
  <w:style w:type="character" w:customStyle="1" w:styleId="43">
    <w:name w:val="Comment Text Char"/>
    <w:basedOn w:val="23"/>
    <w:link w:val="6"/>
    <w:semiHidden/>
    <w:qFormat/>
    <w:locked/>
    <w:uiPriority w:val="99"/>
    <w:rPr>
      <w:rFonts w:cs="Times New Roman"/>
      <w:kern w:val="2"/>
      <w:sz w:val="22"/>
    </w:rPr>
  </w:style>
  <w:style w:type="character" w:customStyle="1" w:styleId="44">
    <w:name w:val="Comment Subject Char"/>
    <w:basedOn w:val="43"/>
    <w:link w:val="21"/>
    <w:semiHidden/>
    <w:qFormat/>
    <w:locked/>
    <w:uiPriority w:val="99"/>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48</Pages>
  <Words>8664</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2015-10-09T02:38:00Z</dcterms:created>
  <dc:creator>深圳市福田区文化产业发展办深圳大学产业经济研究中心</dc:creator>
  <cp:lastModifiedBy>吖文</cp:lastModifiedBy>
  <dcterms:modified xsi:type="dcterms:W3CDTF">2024-01-03T03:09:06Z</dcterms:modified>
  <dc:title>福田区文化产业发展“十三五”规划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91B80F725B764E69AA70BCE681E5A523_12</vt:lpwstr>
  </property>
</Properties>
</file>