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right="0"/>
        <w:jc w:val="center"/>
        <w:textAlignment w:val="auto"/>
        <w:rPr>
          <w:rFonts w:hint="eastAsia" w:ascii="仿宋_GB2312" w:hAnsi="仿宋_GB2312" w:eastAsia="仿宋_GB2312" w:cs="仿宋_GB2312"/>
          <w:kern w:val="2"/>
          <w:sz w:val="44"/>
          <w:szCs w:val="44"/>
        </w:rPr>
      </w:pPr>
      <w:r>
        <w:rPr>
          <w:rFonts w:hint="eastAsia" w:ascii="方正小标宋简体" w:hAnsi="方正小标宋简体" w:eastAsia="方正小标宋简体" w:cs="方正小标宋简体"/>
          <w:kern w:val="2"/>
          <w:sz w:val="44"/>
          <w:szCs w:val="44"/>
          <w:lang w:val="en-US" w:eastAsia="zh-CN" w:bidi="ar"/>
        </w:rPr>
        <w:t>关于深圳市福田区政协第六届第三次会议提案《以“文化+”的理念推动文化产业融合发展》第2023049号的回复</w:t>
      </w:r>
    </w:p>
    <w:p>
      <w:pPr>
        <w:pStyle w:val="3"/>
        <w:keepNext w:val="0"/>
        <w:keepLines w:val="0"/>
        <w:pageBreakBefore w:val="0"/>
        <w:kinsoku/>
        <w:overflowPunct/>
        <w:topLinePunct w:val="0"/>
        <w:autoSpaceDN/>
        <w:bidi w:val="0"/>
        <w:spacing w:line="579" w:lineRule="exact"/>
        <w:ind w:firstLine="880" w:firstLineChars="200"/>
        <w:textAlignment w:val="auto"/>
        <w:rPr>
          <w:rFonts w:hint="eastAsia"/>
          <w:lang w:val="en-US" w:eastAsia="zh-CN"/>
        </w:rPr>
      </w:pPr>
    </w:p>
    <w:p>
      <w:pPr>
        <w:keepNext w:val="0"/>
        <w:keepLines w:val="0"/>
        <w:pageBreakBefore w:val="0"/>
        <w:kinsoku/>
        <w:overflowPunct/>
        <w:topLinePunct w:val="0"/>
        <w:autoSpaceDN/>
        <w:bidi w:val="0"/>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尊敬的李晓锐等委员：</w:t>
      </w:r>
    </w:p>
    <w:p>
      <w:pPr>
        <w:keepNext w:val="0"/>
        <w:keepLines w:val="0"/>
        <w:pageBreakBefore w:val="0"/>
        <w:kinsoku/>
        <w:overflowPunct/>
        <w:topLinePunct w:val="0"/>
        <w:autoSpaceDN/>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你们好！你们在福田区政协六届三次会议上的提案第2023049号</w:t>
      </w:r>
      <w:r>
        <w:rPr>
          <w:rFonts w:hint="eastAsia" w:ascii="仿宋_GB2312" w:hAnsi="仿宋_GB2312" w:eastAsia="仿宋_GB2312" w:cs="仿宋_GB2312"/>
          <w:sz w:val="32"/>
          <w:szCs w:val="32"/>
          <w:lang w:eastAsia="zh-CN"/>
        </w:rPr>
        <w:t>《以“文化+”的理念推动文化产业融合发展》已收悉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rPr>
        <w:t>首先感谢</w:t>
      </w:r>
      <w:r>
        <w:rPr>
          <w:rFonts w:hint="eastAsia" w:ascii="仿宋_GB2312" w:hAnsi="仿宋_GB2312" w:eastAsia="仿宋_GB2312" w:cs="仿宋_GB2312"/>
          <w:b w:val="0"/>
          <w:bCs w:val="0"/>
          <w:sz w:val="32"/>
          <w:szCs w:val="32"/>
          <w:lang w:eastAsia="zh-CN"/>
        </w:rPr>
        <w:t>你们</w:t>
      </w:r>
      <w:r>
        <w:rPr>
          <w:rFonts w:hint="eastAsia" w:ascii="仿宋_GB2312" w:hAnsi="仿宋_GB2312" w:eastAsia="仿宋_GB2312" w:cs="仿宋_GB2312"/>
          <w:b w:val="0"/>
          <w:bCs w:val="0"/>
          <w:sz w:val="32"/>
          <w:szCs w:val="32"/>
        </w:rPr>
        <w:t>对福田区</w:t>
      </w:r>
      <w:r>
        <w:rPr>
          <w:rFonts w:hint="eastAsia" w:ascii="仿宋_GB2312" w:hAnsi="仿宋_GB2312" w:eastAsia="仿宋_GB2312" w:cs="仿宋_GB2312"/>
          <w:b w:val="0"/>
          <w:bCs w:val="0"/>
          <w:sz w:val="32"/>
          <w:szCs w:val="32"/>
          <w:lang w:eastAsia="zh-CN"/>
        </w:rPr>
        <w:t>文化产</w:t>
      </w:r>
      <w:r>
        <w:rPr>
          <w:rFonts w:hint="eastAsia" w:ascii="仿宋_GB2312" w:hAnsi="仿宋_GB2312" w:eastAsia="仿宋_GB2312" w:cs="仿宋_GB2312"/>
          <w:b w:val="0"/>
          <w:bCs w:val="0"/>
          <w:sz w:val="32"/>
          <w:szCs w:val="32"/>
        </w:rPr>
        <w:t>业的关心和重视，所提建议对我区未来</w:t>
      </w:r>
      <w:r>
        <w:rPr>
          <w:rFonts w:hint="eastAsia" w:ascii="仿宋_GB2312" w:hAnsi="仿宋_GB2312" w:eastAsia="仿宋_GB2312" w:cs="仿宋_GB2312"/>
          <w:b w:val="0"/>
          <w:bCs w:val="0"/>
          <w:sz w:val="32"/>
          <w:szCs w:val="32"/>
          <w:lang w:eastAsia="zh-CN"/>
        </w:rPr>
        <w:t>文化</w:t>
      </w:r>
      <w:r>
        <w:rPr>
          <w:rFonts w:hint="eastAsia" w:ascii="仿宋_GB2312" w:hAnsi="仿宋_GB2312" w:eastAsia="仿宋_GB2312" w:cs="仿宋_GB2312"/>
          <w:b w:val="0"/>
          <w:bCs w:val="0"/>
          <w:sz w:val="32"/>
          <w:szCs w:val="32"/>
        </w:rPr>
        <w:t>产业发展具有重要的参考价值和指导意义，现将办理情况答复如下：</w:t>
      </w:r>
    </w:p>
    <w:p>
      <w:pPr>
        <w:pStyle w:val="3"/>
        <w:keepNext w:val="0"/>
        <w:keepLines w:val="0"/>
        <w:pageBreakBefore w:val="0"/>
        <w:kinsoku/>
        <w:overflowPunct/>
        <w:topLinePunct w:val="0"/>
        <w:autoSpaceDN/>
        <w:bidi w:val="0"/>
        <w:spacing w:line="579"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文化产业是福田区的重要支柱产业之一，近年来，福田区抢抓“双区”驱动、“双区”叠加、“双改”示范的重大历史机遇，围绕“三大新引擎”“三大产业”“三大定位”，创新打造福田文化品牌，在全国较早提出建设现代化文化产业体系与市场体系。福田文化创意产业规模不断增长，市场主体活力迸发，产业结构持续优化，经济效益显著。2023上半年，全区文化产业增加值158.84亿元，增速5.7%，占GDP比重达5.8%。当前，福田正积极打造福田文化品牌影响力，在业态培育、政策保障、园区建设、“文化+金融”“文化+旅游”“文化+科技”“文化+体育”等方面持续发力，形成鲜明的产业特色。站在新起点，</w:t>
      </w:r>
      <w:r>
        <w:rPr>
          <w:rFonts w:hint="eastAsia" w:ascii="仿宋_GB2312" w:hAnsi="仿宋_GB2312" w:eastAsia="仿宋_GB2312" w:cs="仿宋_GB2312"/>
          <w:sz w:val="32"/>
          <w:szCs w:val="32"/>
        </w:rPr>
        <w:t>福田</w:t>
      </w:r>
      <w:r>
        <w:rPr>
          <w:rFonts w:hint="eastAsia" w:ascii="仿宋_GB2312" w:hAnsi="仿宋_GB2312" w:eastAsia="仿宋_GB2312" w:cs="仿宋_GB2312"/>
          <w:sz w:val="32"/>
          <w:szCs w:val="32"/>
          <w:lang w:eastAsia="zh-CN"/>
        </w:rPr>
        <w:t>区将</w:t>
      </w:r>
      <w:r>
        <w:rPr>
          <w:rFonts w:hint="eastAsia" w:ascii="仿宋_GB2312" w:hAnsi="仿宋_GB2312" w:eastAsia="仿宋_GB2312" w:cs="仿宋_GB2312"/>
          <w:sz w:val="32"/>
          <w:szCs w:val="32"/>
        </w:rPr>
        <w:t>围绕建设社会主义现代化典范城区、现代产业引领示范区的总体目标，奋力开辟福田文化产业新征程</w:t>
      </w:r>
      <w:r>
        <w:rPr>
          <w:rFonts w:hint="eastAsia" w:ascii="仿宋_GB2312" w:hAnsi="仿宋_GB2312" w:eastAsia="仿宋_GB2312" w:cs="仿宋_GB2312"/>
          <w:sz w:val="32"/>
          <w:szCs w:val="32"/>
          <w:lang w:eastAsia="zh-CN"/>
        </w:rPr>
        <w:t>。</w:t>
      </w:r>
    </w:p>
    <w:p>
      <w:pPr>
        <w:pStyle w:val="3"/>
        <w:keepNext w:val="0"/>
        <w:keepLines w:val="0"/>
        <w:pageBreakBefore w:val="0"/>
        <w:kinsoku/>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auto"/>
          <w:spacing w:val="0"/>
          <w:kern w:val="0"/>
          <w:sz w:val="32"/>
          <w:szCs w:val="32"/>
          <w:highlight w:val="none"/>
          <w:u w:val="none"/>
          <w:lang w:val="en-US" w:eastAsia="zh-CN" w:bidi="ar-SA"/>
        </w:rPr>
        <w:t>一、工作开展情况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（一）推动福田文旅产业与对口帮扶地区融合发展</w:t>
      </w:r>
    </w:p>
    <w:p>
      <w:pPr>
        <w:pStyle w:val="2"/>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一是建立工作联络机制。</w:t>
      </w:r>
      <w:r>
        <w:rPr>
          <w:rFonts w:hint="eastAsia" w:ascii="仿宋_GB2312" w:hAnsi="仿宋_GB2312" w:eastAsia="仿宋_GB2312" w:cs="仿宋_GB2312"/>
          <w:kern w:val="0"/>
          <w:sz w:val="32"/>
          <w:szCs w:val="32"/>
          <w:lang w:val="en-US" w:eastAsia="zh-CN" w:bidi="ar"/>
        </w:rPr>
        <w:t>我区高度重视文旅对口帮扶工作，与当地文旅部门和景区、景点负责人建立工作联络机制，加强相互交流。</w:t>
      </w:r>
      <w:r>
        <w:rPr>
          <w:rFonts w:hint="eastAsia" w:ascii="仿宋_GB2312" w:hAnsi="仿宋_GB2312" w:eastAsia="仿宋_GB2312" w:cs="仿宋_GB2312"/>
          <w:b/>
          <w:bCs/>
          <w:kern w:val="0"/>
          <w:sz w:val="32"/>
          <w:szCs w:val="32"/>
          <w:lang w:val="en-US" w:eastAsia="zh-CN" w:bidi="ar"/>
        </w:rPr>
        <w:t>二是打造特色旅游线路。</w:t>
      </w:r>
      <w:r>
        <w:rPr>
          <w:rFonts w:hint="eastAsia" w:ascii="仿宋_GB2312" w:hAnsi="仿宋_GB2312" w:eastAsia="仿宋_GB2312" w:cs="仿宋_GB2312"/>
          <w:kern w:val="0"/>
          <w:sz w:val="32"/>
          <w:szCs w:val="32"/>
          <w:lang w:val="en-US" w:eastAsia="zh-CN" w:bidi="ar"/>
        </w:rPr>
        <w:t>我区多次带队组织考察组携辖区头部旅游企业赴博罗县、上林、马山、隆安进行文旅合作专题调研，搭建政企交流合作平台，鼓励推动我区旅行社打造与对口帮扶地区的特色旅游线路，推动当地旅游产业发展。旅游狂欢月期间，推出特色精品线路：两山联动特色游、福桥联动文化游，分别是与我区对口帮扶的博罗县、湘桥区联合打造的跨市联动线路，活动期间共接待游客4000余人。</w:t>
      </w:r>
      <w:r>
        <w:rPr>
          <w:rFonts w:hint="eastAsia" w:ascii="仿宋_GB2312" w:hAnsi="仿宋_GB2312" w:eastAsia="仿宋_GB2312" w:cs="仿宋_GB2312"/>
          <w:b/>
          <w:bCs/>
          <w:kern w:val="0"/>
          <w:sz w:val="32"/>
          <w:szCs w:val="32"/>
          <w:lang w:val="en-US" w:eastAsia="zh-CN" w:bidi="ar"/>
        </w:rPr>
        <w:t>三是加大政策扶持力度。</w:t>
      </w:r>
      <w:r>
        <w:rPr>
          <w:rFonts w:hint="eastAsia" w:ascii="仿宋_GB2312" w:hAnsi="仿宋_GB2312" w:eastAsia="仿宋_GB2312" w:cs="仿宋_GB2312"/>
          <w:kern w:val="0"/>
          <w:sz w:val="32"/>
          <w:szCs w:val="32"/>
          <w:lang w:val="en-US" w:eastAsia="zh-CN" w:bidi="ar"/>
        </w:rPr>
        <w:t>我区出台《深圳市福田区支持都市旅游产业发展若干措施》政策，支持福田区旅游业企业围绕“对口帮扶地区”旅游资源开发旅游线路，对成功上线的旅游产品给予开发费用支持。目前，已打造对口帮扶地区旅游线路3条，出售旅游套票近2000套，累计输送游客近6500人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（二）坚持人才引领驱动夯实文化产业发展根基</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福田创新创业氛围浓，人才磁场效应强。近三年，共引进国家高新人才</w:t>
      </w:r>
      <w:r>
        <w:rPr>
          <w:rFonts w:hint="eastAsia" w:ascii="仿宋_GB2312" w:hAnsi="仿宋_GB2312" w:eastAsia="仿宋_GB2312" w:cs="仿宋_GB2312"/>
          <w:sz w:val="32"/>
          <w:szCs w:val="32"/>
          <w:highlight w:val="none"/>
        </w:rPr>
        <w:t>1429人，重点产业高端研发人员59人。已引进14个重点团队，其中2022年新增4个重点团队，同比增长40%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b/>
          <w:bCs/>
          <w:kern w:val="2"/>
          <w:sz w:val="32"/>
          <w:szCs w:val="32"/>
          <w:highlight w:val="none"/>
          <w:lang w:val="en-US" w:eastAsia="zh-CN" w:bidi="ar-SA"/>
        </w:rPr>
        <w:t>加大招才引智力度。</w:t>
      </w:r>
      <w:r>
        <w:rPr>
          <w:rFonts w:hint="eastAsia" w:ascii="仿宋_GB2312" w:hAnsi="仿宋_GB2312" w:eastAsia="仿宋_GB2312" w:cs="仿宋_GB2312"/>
          <w:sz w:val="32"/>
          <w:szCs w:val="32"/>
          <w:highlight w:val="none"/>
          <w:lang w:val="en-US" w:eastAsia="zh-CN"/>
        </w:rPr>
        <w:t>为落实全市“招大商、招优商、招好商”招商引资工作思路，我局落实“招才引智与招商引资”同步双推动机制，在招商引资时商定给予企业核心人才、急需紧缺人才予以引进奖励，有效引进及稳定企业关键人才，共对2家重点优秀企业8名人才予以支持，促成一批重大产业项目落户福田。</w:t>
      </w:r>
      <w:r>
        <w:rPr>
          <w:rFonts w:hint="eastAsia" w:ascii="仿宋_GB2312" w:hAnsi="仿宋_GB2312" w:eastAsia="仿宋_GB2312" w:cs="仿宋_GB2312"/>
          <w:b/>
          <w:bCs/>
          <w:sz w:val="32"/>
          <w:szCs w:val="32"/>
          <w:highlight w:val="none"/>
          <w:lang w:val="en-US" w:eastAsia="zh-CN"/>
        </w:rPr>
        <w:t>二是稳住高端研发人才。</w:t>
      </w:r>
      <w:r>
        <w:rPr>
          <w:rFonts w:hint="eastAsia" w:ascii="仿宋_GB2312" w:hAnsi="仿宋_GB2312" w:eastAsia="仿宋_GB2312" w:cs="仿宋_GB2312"/>
          <w:b w:val="0"/>
          <w:bCs w:val="0"/>
          <w:color w:val="000000"/>
          <w:sz w:val="32"/>
          <w:szCs w:val="32"/>
          <w:highlight w:val="none"/>
          <w:lang w:val="en-US" w:eastAsia="zh-CN"/>
        </w:rPr>
        <w:t>按照</w:t>
      </w:r>
      <w:r>
        <w:rPr>
          <w:rFonts w:hint="eastAsia" w:ascii="仿宋_GB2312" w:hAnsi="仿宋_GB2312" w:eastAsia="仿宋_GB2312" w:cs="仿宋_GB2312"/>
          <w:strike w:val="0"/>
          <w:sz w:val="32"/>
          <w:szCs w:val="32"/>
          <w:highlight w:val="none"/>
        </w:rPr>
        <w:t>我区</w:t>
      </w:r>
      <w:r>
        <w:rPr>
          <w:rFonts w:hint="eastAsia" w:ascii="仿宋_GB2312" w:hAnsi="仿宋_GB2312" w:eastAsia="仿宋_GB2312" w:cs="仿宋_GB2312"/>
          <w:strike w:val="0"/>
          <w:sz w:val="32"/>
          <w:szCs w:val="32"/>
          <w:highlight w:val="none"/>
          <w:lang w:eastAsia="zh-CN"/>
        </w:rPr>
        <w:t>“</w:t>
      </w:r>
      <w:r>
        <w:rPr>
          <w:rFonts w:hint="eastAsia" w:ascii="仿宋_GB2312" w:hAnsi="仿宋_GB2312" w:eastAsia="仿宋_GB2312" w:cs="仿宋_GB2312"/>
          <w:strike w:val="0"/>
          <w:sz w:val="32"/>
          <w:szCs w:val="32"/>
          <w:highlight w:val="none"/>
          <w:lang w:val="en-US" w:eastAsia="zh-CN"/>
        </w:rPr>
        <w:t>20+8</w:t>
      </w:r>
      <w:r>
        <w:rPr>
          <w:rFonts w:hint="eastAsia" w:ascii="仿宋_GB2312" w:hAnsi="仿宋_GB2312" w:eastAsia="仿宋_GB2312" w:cs="仿宋_GB2312"/>
          <w:strike w:val="0"/>
          <w:sz w:val="32"/>
          <w:szCs w:val="32"/>
          <w:highlight w:val="none"/>
          <w:lang w:eastAsia="zh-CN"/>
        </w:rPr>
        <w:t>”</w:t>
      </w:r>
      <w:r>
        <w:rPr>
          <w:rFonts w:hint="eastAsia" w:ascii="仿宋_GB2312" w:hAnsi="仿宋_GB2312" w:eastAsia="仿宋_GB2312" w:cs="仿宋_GB2312"/>
          <w:strike w:val="0"/>
          <w:sz w:val="32"/>
          <w:szCs w:val="32"/>
          <w:highlight w:val="none"/>
          <w:lang w:val="en-US" w:eastAsia="zh-CN"/>
        </w:rPr>
        <w:t>产业集群重点发展方向，特别是</w:t>
      </w:r>
      <w:r>
        <w:rPr>
          <w:rFonts w:hint="eastAsia" w:ascii="仿宋_GB2312" w:hAnsi="仿宋_GB2312" w:eastAsia="仿宋_GB2312" w:cs="仿宋_GB2312"/>
          <w:strike w:val="0"/>
          <w:color w:val="000000"/>
          <w:sz w:val="32"/>
          <w:szCs w:val="32"/>
          <w:highlight w:val="none"/>
        </w:rPr>
        <w:t>集成电路、人工智能、生物医药</w:t>
      </w:r>
      <w:r>
        <w:rPr>
          <w:rFonts w:hint="eastAsia" w:ascii="仿宋_GB2312" w:hAnsi="仿宋_GB2312" w:eastAsia="仿宋_GB2312" w:cs="仿宋_GB2312"/>
          <w:strike w:val="0"/>
          <w:color w:val="000000"/>
          <w:sz w:val="32"/>
          <w:szCs w:val="32"/>
          <w:highlight w:val="none"/>
          <w:lang w:val="en-US" w:eastAsia="zh-CN"/>
        </w:rPr>
        <w:t>等方向的龙头企业，我局进行全面梳理，提前靶向近30多家目标企业，大力宣传“福田英才汇3.0”产业研发人才政策，</w:t>
      </w:r>
      <w:r>
        <w:rPr>
          <w:rFonts w:hint="eastAsia" w:ascii="仿宋_GB2312" w:hAnsi="仿宋_GB2312" w:eastAsia="仿宋_GB2312" w:cs="仿宋_GB2312"/>
          <w:strike w:val="0"/>
          <w:sz w:val="32"/>
          <w:szCs w:val="32"/>
          <w:highlight w:val="none"/>
        </w:rPr>
        <w:t>鼓励企业不断吸引高端研发人员，</w:t>
      </w:r>
      <w:r>
        <w:rPr>
          <w:rFonts w:hint="eastAsia" w:ascii="仿宋_GB2312" w:hAnsi="仿宋_GB2312" w:eastAsia="仿宋_GB2312" w:cs="仿宋_GB2312"/>
          <w:strike w:val="0"/>
          <w:sz w:val="32"/>
          <w:szCs w:val="32"/>
          <w:highlight w:val="none"/>
          <w:lang w:val="en-US" w:eastAsia="zh-CN"/>
        </w:rPr>
        <w:t>稳定承担技术攻关任务的科研人员，逐步</w:t>
      </w:r>
      <w:r>
        <w:rPr>
          <w:rFonts w:hint="eastAsia" w:ascii="仿宋_GB2312" w:hAnsi="仿宋_GB2312" w:eastAsia="仿宋_GB2312" w:cs="仿宋_GB2312"/>
          <w:strike w:val="0"/>
          <w:sz w:val="32"/>
          <w:szCs w:val="32"/>
          <w:highlight w:val="none"/>
        </w:rPr>
        <w:t>形成层次高、结构优的前沿科技人才队伍</w:t>
      </w:r>
      <w:r>
        <w:rPr>
          <w:rFonts w:hint="eastAsia" w:ascii="仿宋_GB2312" w:hAnsi="仿宋_GB2312" w:eastAsia="仿宋_GB2312" w:cs="仿宋_GB2312"/>
          <w:strike w:val="0"/>
          <w:sz w:val="32"/>
          <w:szCs w:val="32"/>
          <w:highlight w:val="none"/>
          <w:lang w:eastAsia="zh-CN"/>
        </w:rPr>
        <w:t>。</w:t>
      </w:r>
      <w:r>
        <w:rPr>
          <w:rFonts w:hint="eastAsia" w:ascii="仿宋_GB2312" w:hAnsi="仿宋_GB2312" w:eastAsia="仿宋_GB2312" w:cs="仿宋_GB2312"/>
          <w:strike w:val="0"/>
          <w:sz w:val="32"/>
          <w:szCs w:val="32"/>
          <w:highlight w:val="none"/>
          <w:lang w:val="en-US" w:eastAsia="zh-CN"/>
        </w:rPr>
        <w:t>据统计，2022年我局共支持19家企业60名研发人才，进一步</w:t>
      </w:r>
      <w:r>
        <w:rPr>
          <w:rFonts w:hint="eastAsia" w:ascii="仿宋_GB2312" w:hAnsi="仿宋_GB2312" w:eastAsia="仿宋_GB2312" w:cs="仿宋_GB2312"/>
          <w:strike w:val="0"/>
          <w:sz w:val="32"/>
          <w:szCs w:val="32"/>
          <w:highlight w:val="none"/>
          <w:lang w:eastAsia="zh-CN"/>
        </w:rPr>
        <w:t>强化</w:t>
      </w:r>
      <w:r>
        <w:rPr>
          <w:rFonts w:hint="eastAsia" w:ascii="仿宋_GB2312" w:hAnsi="仿宋_GB2312" w:eastAsia="仿宋_GB2312" w:cs="仿宋_GB2312"/>
          <w:strike w:val="0"/>
          <w:sz w:val="32"/>
          <w:szCs w:val="32"/>
          <w:highlight w:val="none"/>
          <w:lang w:val="en-US" w:eastAsia="zh-CN"/>
        </w:rPr>
        <w:t>科技</w:t>
      </w:r>
      <w:r>
        <w:rPr>
          <w:rFonts w:hint="eastAsia" w:ascii="仿宋_GB2312" w:hAnsi="仿宋_GB2312" w:eastAsia="仿宋_GB2312" w:cs="仿宋_GB2312"/>
          <w:strike w:val="0"/>
          <w:sz w:val="32"/>
          <w:szCs w:val="32"/>
          <w:highlight w:val="none"/>
          <w:lang w:eastAsia="zh-CN"/>
        </w:rPr>
        <w:t>人才引育留用，推进人才高地建设稳步提升，做强做大产业集群。</w:t>
      </w:r>
      <w:r>
        <w:rPr>
          <w:rFonts w:hint="eastAsia" w:ascii="仿宋_GB2312" w:hAnsi="仿宋_GB2312" w:eastAsia="仿宋_GB2312" w:cs="仿宋_GB2312"/>
          <w:b/>
          <w:bCs/>
          <w:sz w:val="32"/>
          <w:szCs w:val="32"/>
          <w:highlight w:val="none"/>
          <w:lang w:val="en-US" w:eastAsia="zh-CN"/>
        </w:rPr>
        <w:t>三是加大国际人才团队引进。</w:t>
      </w:r>
      <w:r>
        <w:rPr>
          <w:rFonts w:hint="eastAsia" w:ascii="仿宋_GB2312" w:hAnsi="仿宋_GB2312" w:eastAsia="仿宋_GB2312" w:cs="仿宋_GB2312"/>
          <w:sz w:val="32"/>
          <w:szCs w:val="32"/>
          <w:highlight w:val="none"/>
          <w:lang w:val="en-US" w:eastAsia="zh-CN"/>
        </w:rPr>
        <w:t>为加快推动“凤巢计划”“聚龙计划”“竹海计划”的实施，全面提升我区科技创新水平及人才吸引力，我局精心组织、细致部署，全局人员全力以赴，在4月15日至16日成功举办第二十一届国际人才交流大会，鲲云信息、北科瑞声、科安达电子、未来机器人</w:t>
      </w:r>
      <w:r>
        <w:rPr>
          <w:rFonts w:hint="eastAsia" w:ascii="仿宋_GB2312" w:hAnsi="仿宋_GB2312" w:eastAsia="仿宋_GB2312" w:cs="仿宋_GB2312"/>
          <w:bCs/>
          <w:color w:val="000000"/>
          <w:sz w:val="32"/>
          <w:szCs w:val="32"/>
          <w:highlight w:val="none"/>
        </w:rPr>
        <w:t>等</w:t>
      </w:r>
      <w:r>
        <w:rPr>
          <w:rFonts w:hint="eastAsia" w:ascii="仿宋_GB2312" w:hAnsi="仿宋_GB2312" w:eastAsia="仿宋_GB2312" w:cs="仿宋_GB2312"/>
          <w:bCs/>
          <w:color w:val="000000"/>
          <w:sz w:val="32"/>
          <w:szCs w:val="32"/>
          <w:highlight w:val="none"/>
          <w:lang w:val="en-US" w:eastAsia="zh-CN"/>
        </w:rPr>
        <w:t>数十</w:t>
      </w:r>
      <w:r>
        <w:rPr>
          <w:rFonts w:hint="eastAsia" w:ascii="仿宋_GB2312" w:hAnsi="仿宋_GB2312" w:eastAsia="仿宋_GB2312" w:cs="仿宋_GB2312"/>
          <w:bCs/>
          <w:color w:val="000000"/>
          <w:sz w:val="32"/>
          <w:szCs w:val="32"/>
          <w:highlight w:val="none"/>
        </w:rPr>
        <w:t>家优秀科创企业及研究机构参展</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val="0"/>
          <w:color w:val="000000"/>
          <w:sz w:val="32"/>
          <w:szCs w:val="32"/>
          <w:highlight w:val="none"/>
        </w:rPr>
        <w:t>围绕福田区半导体与集成电路、生物医药、软件与信息技术服务及人工智能产业和人才发展需求，</w:t>
      </w:r>
      <w:r>
        <w:rPr>
          <w:rFonts w:hint="eastAsia" w:ascii="仿宋_GB2312" w:hAnsi="仿宋_GB2312" w:eastAsia="仿宋_GB2312" w:cs="仿宋_GB2312"/>
          <w:bCs w:val="0"/>
          <w:color w:val="000000"/>
          <w:sz w:val="32"/>
          <w:szCs w:val="32"/>
          <w:highlight w:val="none"/>
          <w:lang w:val="en-US" w:eastAsia="zh-CN"/>
        </w:rPr>
        <w:t>举行了福田区首届“科创之星”颁奖仪式，为25位“科创之星”颁发奖杯、奖状，</w:t>
      </w:r>
      <w:r>
        <w:rPr>
          <w:rFonts w:hint="eastAsia" w:ascii="仿宋_GB2312" w:hAnsi="仿宋_GB2312" w:eastAsia="仿宋_GB2312" w:cs="仿宋_GB2312"/>
          <w:sz w:val="32"/>
          <w:szCs w:val="32"/>
          <w:highlight w:val="none"/>
        </w:rPr>
        <w:t>带动了更多的优秀</w:t>
      </w:r>
      <w:r>
        <w:rPr>
          <w:rFonts w:hint="eastAsia" w:ascii="仿宋_GB2312" w:hAnsi="仿宋_GB2312" w:eastAsia="仿宋_GB2312" w:cs="仿宋_GB2312"/>
          <w:sz w:val="32"/>
          <w:szCs w:val="32"/>
          <w:highlight w:val="none"/>
          <w:lang w:val="en-US" w:eastAsia="zh-CN"/>
        </w:rPr>
        <w:t>国际</w:t>
      </w:r>
      <w:r>
        <w:rPr>
          <w:rFonts w:hint="eastAsia" w:ascii="仿宋_GB2312" w:hAnsi="仿宋_GB2312" w:eastAsia="仿宋_GB2312" w:cs="仿宋_GB2312"/>
          <w:sz w:val="32"/>
          <w:szCs w:val="32"/>
          <w:highlight w:val="none"/>
        </w:rPr>
        <w:t>人才向福田靠拢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四是认真落实“百场万人”宣讲。</w:t>
      </w:r>
      <w:r>
        <w:rPr>
          <w:rFonts w:hint="eastAsia" w:ascii="仿宋_GB2312" w:hAnsi="仿宋_GB2312" w:eastAsia="仿宋_GB2312" w:cs="仿宋_GB2312"/>
          <w:sz w:val="32"/>
          <w:szCs w:val="32"/>
          <w:highlight w:val="none"/>
          <w:lang w:val="en-US" w:eastAsia="zh-CN"/>
        </w:rPr>
        <w:t>为加强科技创新政策的宣传推介，打通科技人才政策扎实落地的“最后一公里”，我局认真落实区委组织部下发的《福田英才荟3.0“百场万人”政策宣传工作方案》要求，去年共召开10多场“百场万人”政策宣讲，共300多名人才深入了解“英才荟”政策奖励，发挥政策在集聚人才、创新驱动等方面的作用。</w:t>
      </w:r>
      <w:bookmarkStart w:id="0" w:name="_Hlk87028038"/>
      <w:r>
        <w:rPr>
          <w:rFonts w:hint="eastAsia" w:ascii="仿宋_GB2312" w:hAnsi="仿宋_GB2312" w:eastAsia="仿宋_GB2312" w:cs="仿宋_GB2312"/>
          <w:b/>
          <w:bCs/>
          <w:sz w:val="32"/>
          <w:szCs w:val="32"/>
          <w:highlight w:val="none"/>
          <w:lang w:val="en-US" w:eastAsia="zh-CN"/>
        </w:rPr>
        <w:t>五是强化服务营造人才宜居环境。</w:t>
      </w:r>
      <w:r>
        <w:rPr>
          <w:rFonts w:hint="eastAsia" w:ascii="仿宋_GB2312" w:hAnsi="仿宋_GB2312" w:eastAsia="仿宋_GB2312" w:cs="仿宋_GB2312"/>
          <w:color w:val="000000"/>
          <w:sz w:val="32"/>
          <w:szCs w:val="32"/>
          <w:highlight w:val="none"/>
        </w:rPr>
        <w:t>为</w:t>
      </w:r>
      <w:r>
        <w:rPr>
          <w:rFonts w:hint="eastAsia" w:ascii="仿宋_GB2312" w:hAnsi="仿宋_GB2312" w:eastAsia="仿宋_GB2312" w:cs="仿宋_GB2312"/>
          <w:color w:val="000000"/>
          <w:sz w:val="32"/>
          <w:szCs w:val="32"/>
          <w:highlight w:val="none"/>
          <w:lang w:eastAsia="zh-CN"/>
        </w:rPr>
        <w:t>更好地服务</w:t>
      </w:r>
      <w:r>
        <w:rPr>
          <w:rFonts w:hint="eastAsia" w:ascii="仿宋_GB2312" w:hAnsi="仿宋_GB2312" w:eastAsia="仿宋_GB2312" w:cs="仿宋_GB2312"/>
          <w:color w:val="000000"/>
          <w:sz w:val="32"/>
          <w:szCs w:val="32"/>
          <w:highlight w:val="none"/>
        </w:rPr>
        <w:t>辖区内的高新技术企业、研发机构、创新创业平台、高层次人才团队、专利代理机构、重点引进企业及机构，解决人才住房等保障问题，我局进一步完善《重点产业名录认定标准》《重点产业名录明细》等制度，优化人才房分配流程，分配原则更合理、更人性化。</w:t>
      </w:r>
      <w:bookmarkEnd w:id="0"/>
      <w:r>
        <w:rPr>
          <w:rFonts w:hint="eastAsia" w:ascii="仿宋_GB2312" w:hAnsi="仿宋_GB2312" w:eastAsia="仿宋_GB2312" w:cs="仿宋_GB2312"/>
          <w:color w:val="000000"/>
          <w:sz w:val="32"/>
          <w:szCs w:val="32"/>
          <w:highlight w:val="none"/>
        </w:rPr>
        <w:t>经统计，</w:t>
      </w:r>
      <w:r>
        <w:rPr>
          <w:rFonts w:hint="eastAsia" w:ascii="仿宋_GB2312" w:hAnsi="仿宋_GB2312" w:eastAsia="仿宋_GB2312" w:cs="仿宋_GB2312"/>
          <w:sz w:val="32"/>
          <w:szCs w:val="32"/>
          <w:highlight w:val="none"/>
        </w:rPr>
        <w:t>近三年累计分配约900套人才房，为人才解决住房困难问题，满足人才住房需求，为人才创造良好生活环境，让人才没有后顾之忧，能够静心做学问、搞研究，多出成果、出好成果。</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（三）推动福田文化产业与其他产业融合发展</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Calibri" w:eastAsia="仿宋_GB2312" w:cs="仿宋_GB2312"/>
          <w:kern w:val="2"/>
          <w:sz w:val="32"/>
          <w:szCs w:val="32"/>
          <w:highlight w:val="none"/>
          <w:lang w:val="en-US" w:eastAsia="zh-CN" w:bidi="ar"/>
        </w:rPr>
      </w:pPr>
      <w:r>
        <w:rPr>
          <w:rFonts w:hint="eastAsia" w:ascii="仿宋_GB2312" w:hAnsi="仿宋_GB2312" w:eastAsia="仿宋_GB2312" w:cs="仿宋_GB2312"/>
          <w:b/>
          <w:bCs w:val="0"/>
          <w:sz w:val="32"/>
          <w:szCs w:val="32"/>
          <w:highlight w:val="none"/>
          <w:lang w:eastAsia="zh-CN"/>
        </w:rPr>
        <w:t>一</w:t>
      </w:r>
      <w:r>
        <w:rPr>
          <w:rFonts w:hint="eastAsia" w:ascii="仿宋_GB2312" w:hAnsi="仿宋_GB2312" w:eastAsia="仿宋_GB2312" w:cs="仿宋_GB2312"/>
          <w:b/>
          <w:bCs w:val="0"/>
          <w:sz w:val="32"/>
          <w:szCs w:val="32"/>
          <w:highlight w:val="none"/>
        </w:rPr>
        <w:t>是推进文化</w:t>
      </w:r>
      <w:r>
        <w:rPr>
          <w:rFonts w:hint="eastAsia" w:ascii="仿宋_GB2312" w:hAnsi="仿宋_GB2312" w:eastAsia="仿宋_GB2312" w:cs="仿宋_GB2312"/>
          <w:b/>
          <w:bCs w:val="0"/>
          <w:sz w:val="32"/>
          <w:szCs w:val="32"/>
          <w:highlight w:val="none"/>
          <w:lang w:val="en-US" w:eastAsia="zh-CN"/>
        </w:rPr>
        <w:t>+</w:t>
      </w:r>
      <w:r>
        <w:rPr>
          <w:rFonts w:hint="eastAsia" w:ascii="仿宋_GB2312" w:hAnsi="仿宋_GB2312" w:eastAsia="仿宋_GB2312" w:cs="仿宋_GB2312"/>
          <w:b/>
          <w:bCs w:val="0"/>
          <w:sz w:val="32"/>
          <w:szCs w:val="32"/>
          <w:highlight w:val="none"/>
        </w:rPr>
        <w:t>金融融合。</w:t>
      </w:r>
      <w:r>
        <w:rPr>
          <w:rFonts w:hint="eastAsia" w:ascii="仿宋_GB2312" w:hAnsi="仿宋_GB2312" w:eastAsia="仿宋_GB2312" w:cs="仿宋_GB2312"/>
          <w:b/>
          <w:bCs w:val="0"/>
          <w:sz w:val="32"/>
          <w:szCs w:val="32"/>
          <w:highlight w:val="none"/>
          <w:lang w:eastAsia="zh-CN"/>
        </w:rPr>
        <w:t>金融支撑方面，</w:t>
      </w:r>
      <w:r>
        <w:rPr>
          <w:rFonts w:hint="eastAsia" w:ascii="仿宋_GB2312" w:hAnsi="仿宋_GB2312" w:eastAsia="仿宋_GB2312" w:cs="仿宋_GB2312"/>
          <w:b w:val="0"/>
          <w:bCs/>
          <w:sz w:val="32"/>
          <w:szCs w:val="32"/>
          <w:highlight w:val="none"/>
        </w:rPr>
        <w:t>打造全国首支</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国证香蜜湖文化创意指数</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，持续引导市场优质文创产业资源实现高效配置，催生更多优质资产反馈资本市场，不断提升文化产业端和金融资本端“硬实力”，为“文化+金融”高质量融合发展奠定坚实基础</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bCs w:val="0"/>
          <w:sz w:val="32"/>
          <w:szCs w:val="32"/>
          <w:highlight w:val="none"/>
          <w:lang w:eastAsia="zh-CN"/>
        </w:rPr>
        <w:t>政策扶持方面</w:t>
      </w:r>
      <w:r>
        <w:rPr>
          <w:rFonts w:hint="eastAsia" w:ascii="仿宋_GB2312" w:hAnsi="仿宋_GB2312" w:eastAsia="仿宋_GB2312" w:cs="仿宋_GB2312"/>
          <w:b w:val="0"/>
          <w:bCs/>
          <w:sz w:val="32"/>
          <w:szCs w:val="32"/>
          <w:highlight w:val="none"/>
          <w:lang w:eastAsia="zh-CN"/>
        </w:rPr>
        <w:t>，</w:t>
      </w:r>
      <w:r>
        <w:rPr>
          <w:rFonts w:hint="eastAsia" w:ascii="仿宋_GB2312" w:hAnsi="Calibri" w:eastAsia="仿宋_GB2312" w:cs="仿宋_GB2312"/>
          <w:kern w:val="2"/>
          <w:sz w:val="32"/>
          <w:szCs w:val="32"/>
          <w:highlight w:val="none"/>
          <w:lang w:val="en-US" w:eastAsia="zh-CN" w:bidi="ar"/>
        </w:rPr>
        <w:t>创新推出文化与金融专项扶持政策《深圳市福田区支持文化创意产业发展若干措施》，2022年修订文化金融11条专项政策，荣获2021年文化金融创新奖，助力建设国家文化与金融合作示范区</w:t>
      </w:r>
      <w:r>
        <w:rPr>
          <w:rFonts w:hint="eastAsia" w:ascii="仿宋_GB2312"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highlight w:val="none"/>
          <w:lang w:val="en-US" w:eastAsia="zh-CN" w:bidi="ar"/>
        </w:rPr>
        <w:t>2022年出台《深圳市福田区支持金融业发展若干措施》，特设“融资风险补偿支持”，鼓励金融机构加大对文化金融的信贷融资支持，对不良贷款本金进行有限风险补偿。</w:t>
      </w:r>
      <w:r>
        <w:rPr>
          <w:rFonts w:hint="eastAsia" w:ascii="仿宋_GB2312" w:eastAsia="仿宋_GB2312" w:cs="仿宋_GB2312"/>
          <w:b/>
          <w:bCs/>
          <w:kern w:val="2"/>
          <w:sz w:val="32"/>
          <w:szCs w:val="32"/>
          <w:highlight w:val="none"/>
          <w:lang w:val="en-US" w:eastAsia="zh-CN" w:bidi="ar"/>
        </w:rPr>
        <w:t>平台打造方面</w:t>
      </w:r>
      <w:r>
        <w:rPr>
          <w:rFonts w:hint="eastAsia" w:ascii="仿宋_GB2312"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highlight w:val="none"/>
          <w:lang w:val="en-US" w:eastAsia="zh-CN" w:bidi="ar"/>
        </w:rPr>
        <w:t>香蜜湖片区正规划建设高端服务功能完善、金融资本力量集聚、全球资源要素配置强大的“新金融中心”，并特别规划建设深圳文化金融中心。按照规划，深圳金融文化中心项目将建设金融博物馆平台、金融交易平台、金融国际交流平台三大平台。</w:t>
      </w:r>
    </w:p>
    <w:p>
      <w:pPr>
        <w:pStyle w:val="2"/>
        <w:keepNext w:val="0"/>
        <w:keepLines w:val="0"/>
        <w:pageBreakBefore w:val="0"/>
        <w:kinsoku/>
        <w:overflowPunct/>
        <w:topLinePunct w:val="0"/>
        <w:autoSpaceDN/>
        <w:bidi w:val="0"/>
        <w:spacing w:line="579" w:lineRule="exact"/>
        <w:ind w:firstLine="643" w:firstLineChars="200"/>
        <w:jc w:val="both"/>
        <w:textAlignment w:val="auto"/>
        <w:rPr>
          <w:rFonts w:hint="default"/>
          <w:highlight w:val="none"/>
          <w:lang w:val="en-US" w:eastAsia="zh-CN"/>
        </w:rPr>
      </w:pPr>
      <w:r>
        <w:rPr>
          <w:rFonts w:hint="eastAsia" w:ascii="仿宋_GB2312" w:hAnsi="Calibri" w:cs="仿宋_GB2312"/>
          <w:b/>
          <w:bCs/>
          <w:kern w:val="2"/>
          <w:sz w:val="32"/>
          <w:szCs w:val="32"/>
          <w:highlight w:val="none"/>
          <w:lang w:val="en-US" w:eastAsia="zh-CN" w:bidi="ar"/>
        </w:rPr>
        <w:t>二</w:t>
      </w:r>
      <w:r>
        <w:rPr>
          <w:rFonts w:hint="eastAsia" w:ascii="仿宋_GB2312" w:hAnsi="Calibri" w:eastAsia="仿宋_GB2312" w:cs="仿宋_GB2312"/>
          <w:b/>
          <w:bCs/>
          <w:kern w:val="2"/>
          <w:sz w:val="32"/>
          <w:szCs w:val="32"/>
          <w:highlight w:val="none"/>
          <w:lang w:val="en-US" w:eastAsia="zh-CN" w:bidi="ar"/>
        </w:rPr>
        <w:t>是</w:t>
      </w:r>
      <w:r>
        <w:rPr>
          <w:rFonts w:hint="eastAsia" w:ascii="仿宋_GB2312" w:hAnsi="Calibri" w:cs="仿宋_GB2312"/>
          <w:b/>
          <w:bCs/>
          <w:kern w:val="2"/>
          <w:sz w:val="32"/>
          <w:szCs w:val="32"/>
          <w:highlight w:val="none"/>
          <w:lang w:val="en-US" w:eastAsia="zh-CN" w:bidi="ar"/>
        </w:rPr>
        <w:t>推动文化+创意产业融合。规划引领方面，</w:t>
      </w:r>
      <w:r>
        <w:rPr>
          <w:rFonts w:hint="eastAsia" w:ascii="仿宋_GB2312" w:hAnsi="仿宋_GB2312" w:eastAsia="仿宋_GB2312" w:cs="仿宋_GB2312"/>
          <w:b w:val="0"/>
          <w:bCs w:val="0"/>
          <w:color w:val="000000"/>
          <w:sz w:val="32"/>
          <w:szCs w:val="32"/>
          <w:highlight w:val="none"/>
          <w:lang w:val="en-US" w:eastAsia="zh-CN"/>
        </w:rPr>
        <w:t>制定《福田区培育数字创意产业集群行动</w:t>
      </w:r>
      <w:r>
        <w:rPr>
          <w:rFonts w:hint="eastAsia" w:ascii="仿宋_GB2312" w:hAnsi="仿宋_GB2312" w:cs="仿宋_GB2312"/>
          <w:b w:val="0"/>
          <w:bCs w:val="0"/>
          <w:color w:val="000000"/>
          <w:sz w:val="32"/>
          <w:szCs w:val="32"/>
          <w:highlight w:val="none"/>
          <w:lang w:val="en-US" w:eastAsia="zh-CN"/>
        </w:rPr>
        <w:t>计划</w:t>
      </w:r>
      <w:r>
        <w:rPr>
          <w:rFonts w:hint="eastAsia" w:ascii="仿宋_GB2312" w:hAnsi="仿宋_GB2312" w:eastAsia="仿宋_GB2312" w:cs="仿宋_GB2312"/>
          <w:b w:val="0"/>
          <w:bCs w:val="0"/>
          <w:color w:val="000000"/>
          <w:sz w:val="32"/>
          <w:szCs w:val="32"/>
          <w:highlight w:val="none"/>
          <w:lang w:val="en-US" w:eastAsia="zh-CN"/>
        </w:rPr>
        <w:t>（2022</w:t>
      </w:r>
      <w:r>
        <w:rPr>
          <w:rFonts w:hint="eastAsia" w:ascii="仿宋_GB2312" w:hAnsi="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val="en-US" w:eastAsia="zh-CN"/>
        </w:rPr>
        <w:t>2025年）》，聚焦打造</w:t>
      </w:r>
      <w:r>
        <w:rPr>
          <w:rFonts w:hint="eastAsia" w:ascii="仿宋_GB2312" w:hAnsi="仿宋_GB2312" w:eastAsia="仿宋_GB2312" w:cs="仿宋_GB2312"/>
          <w:b w:val="0"/>
          <w:bCs w:val="0"/>
          <w:color w:val="auto"/>
          <w:sz w:val="32"/>
          <w:szCs w:val="32"/>
          <w:highlight w:val="none"/>
        </w:rPr>
        <w:t>“创意设计总部组团”</w:t>
      </w:r>
      <w:r>
        <w:rPr>
          <w:rFonts w:hint="eastAsia" w:ascii="仿宋_GB2312" w:hAnsi="仿宋_GB2312" w:eastAsia="仿宋_GB2312" w:cs="仿宋_GB2312"/>
          <w:b w:val="0"/>
          <w:bCs w:val="0"/>
          <w:color w:val="auto"/>
          <w:sz w:val="32"/>
          <w:szCs w:val="32"/>
          <w:highlight w:val="none"/>
          <w:lang w:eastAsia="zh-CN"/>
        </w:rPr>
        <w:t>“文化</w:t>
      </w:r>
      <w:r>
        <w:rPr>
          <w:rFonts w:hint="eastAsia" w:ascii="仿宋_GB2312" w:hAnsi="仿宋_GB2312" w:eastAsia="仿宋_GB2312" w:cs="仿宋_GB2312"/>
          <w:b w:val="0"/>
          <w:bCs w:val="0"/>
          <w:color w:val="auto"/>
          <w:sz w:val="32"/>
          <w:szCs w:val="32"/>
          <w:highlight w:val="none"/>
        </w:rPr>
        <w:t>内容生产组团</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cs="仿宋_GB2312"/>
          <w:b w:val="0"/>
          <w:bCs w:val="0"/>
          <w:color w:val="auto"/>
          <w:sz w:val="32"/>
          <w:szCs w:val="32"/>
          <w:highlight w:val="none"/>
          <w:lang w:eastAsia="zh-CN"/>
        </w:rPr>
        <w:t>等</w:t>
      </w:r>
      <w:r>
        <w:rPr>
          <w:rFonts w:hint="eastAsia" w:ascii="仿宋_GB2312" w:hAnsi="仿宋_GB2312" w:eastAsia="仿宋_GB2312" w:cs="仿宋_GB2312"/>
          <w:b w:val="0"/>
          <w:bCs w:val="0"/>
          <w:color w:val="auto"/>
          <w:sz w:val="32"/>
          <w:szCs w:val="32"/>
          <w:highlight w:val="none"/>
          <w:lang w:eastAsia="zh-CN"/>
        </w:rPr>
        <w:t>，强化头部企业招引能力，完善数字创意产业链。</w:t>
      </w:r>
      <w:r>
        <w:rPr>
          <w:rFonts w:hint="eastAsia" w:ascii="仿宋_GB2312" w:hAnsi="仿宋_GB2312" w:eastAsia="仿宋_GB2312" w:cs="仿宋_GB2312"/>
          <w:b/>
          <w:bCs/>
          <w:color w:val="000000"/>
          <w:sz w:val="32"/>
          <w:szCs w:val="32"/>
          <w:highlight w:val="none"/>
        </w:rPr>
        <w:t>空间</w:t>
      </w:r>
      <w:r>
        <w:rPr>
          <w:rFonts w:hint="eastAsia" w:ascii="仿宋_GB2312" w:hAnsi="仿宋_GB2312" w:cs="仿宋_GB2312"/>
          <w:b/>
          <w:bCs/>
          <w:color w:val="000000"/>
          <w:sz w:val="32"/>
          <w:szCs w:val="32"/>
          <w:highlight w:val="none"/>
          <w:lang w:eastAsia="zh-CN"/>
        </w:rPr>
        <w:t>拓展方面，</w:t>
      </w:r>
      <w:r>
        <w:rPr>
          <w:rFonts w:hint="eastAsia" w:ascii="仿宋_GB2312" w:hAnsi="仿宋_GB2312" w:eastAsia="仿宋_GB2312" w:cs="仿宋_GB2312"/>
          <w:color w:val="000000"/>
          <w:sz w:val="32"/>
          <w:szCs w:val="32"/>
          <w:highlight w:val="none"/>
          <w:lang w:eastAsia="zh-CN"/>
        </w:rPr>
        <w:t>实施</w:t>
      </w:r>
      <w:r>
        <w:rPr>
          <w:rFonts w:hint="eastAsia" w:ascii="仿宋_GB2312" w:hAnsi="仿宋_GB2312" w:eastAsia="仿宋_GB2312" w:cs="仿宋_GB2312"/>
          <w:color w:val="000000"/>
          <w:sz w:val="32"/>
          <w:szCs w:val="32"/>
          <w:highlight w:val="none"/>
        </w:rPr>
        <w:t>《福田区文化、旅游、体育产业园区（专业楼宇）认定与管理办法》，</w:t>
      </w:r>
      <w:r>
        <w:rPr>
          <w:rFonts w:hint="eastAsia" w:ascii="仿宋_GB2312" w:hAnsi="仿宋_GB2312" w:eastAsia="仿宋_GB2312" w:cs="仿宋_GB2312"/>
          <w:b w:val="0"/>
          <w:bCs w:val="0"/>
          <w:color w:val="000000"/>
          <w:sz w:val="32"/>
          <w:szCs w:val="32"/>
          <w:highlight w:val="none"/>
        </w:rPr>
        <w:t>积极拓展数字创意产业发展空间。</w:t>
      </w:r>
      <w:r>
        <w:rPr>
          <w:rFonts w:hint="eastAsia" w:ascii="仿宋_GB2312" w:hAnsi="仿宋_GB2312" w:eastAsia="仿宋_GB2312" w:cs="仿宋_GB2312"/>
          <w:b w:val="0"/>
          <w:bCs w:val="0"/>
          <w:color w:val="000000"/>
          <w:sz w:val="32"/>
          <w:szCs w:val="32"/>
          <w:highlight w:val="none"/>
          <w:lang w:eastAsia="zh-CN"/>
        </w:rPr>
        <w:t>打</w:t>
      </w:r>
      <w:r>
        <w:rPr>
          <w:rFonts w:hint="eastAsia" w:ascii="仿宋_GB2312" w:hAnsi="仿宋_GB2312" w:eastAsia="仿宋_GB2312" w:cs="仿宋_GB2312"/>
          <w:color w:val="000000"/>
          <w:sz w:val="32"/>
          <w:szCs w:val="32"/>
          <w:highlight w:val="none"/>
          <w:lang w:eastAsia="zh-CN"/>
        </w:rPr>
        <w:t>造产业空间一体化信息服务平台，</w:t>
      </w:r>
      <w:r>
        <w:rPr>
          <w:rFonts w:hint="eastAsia" w:ascii="仿宋_GB2312" w:hAnsi="仿宋_GB2312" w:eastAsia="仿宋_GB2312" w:cs="仿宋_GB2312"/>
          <w:color w:val="auto"/>
          <w:kern w:val="0"/>
          <w:sz w:val="32"/>
          <w:szCs w:val="32"/>
          <w:highlight w:val="none"/>
          <w:lang w:val="en-US" w:eastAsia="zh-CN"/>
        </w:rPr>
        <w:t>启用全国首个与交易平台紧密互动的数据要素市场全生态、全链条产业园——数据要素全生态产业园，优质产业空间为数字创意产业提供坚实保障。</w:t>
      </w:r>
      <w:r>
        <w:rPr>
          <w:rFonts w:hint="eastAsia" w:ascii="仿宋_GB2312" w:hAnsi="仿宋_GB2312" w:eastAsia="仿宋_GB2312" w:cs="仿宋_GB2312"/>
          <w:b/>
          <w:bCs/>
          <w:color w:val="000000"/>
          <w:sz w:val="32"/>
          <w:szCs w:val="32"/>
          <w:highlight w:val="none"/>
        </w:rPr>
        <w:t>政策</w:t>
      </w:r>
      <w:r>
        <w:rPr>
          <w:rFonts w:hint="eastAsia" w:ascii="仿宋_GB2312" w:hAnsi="仿宋_GB2312" w:eastAsia="仿宋_GB2312" w:cs="仿宋_GB2312"/>
          <w:b/>
          <w:bCs/>
          <w:color w:val="000000"/>
          <w:sz w:val="32"/>
          <w:szCs w:val="32"/>
          <w:highlight w:val="none"/>
          <w:lang w:eastAsia="zh-CN"/>
        </w:rPr>
        <w:t>制定方面</w:t>
      </w:r>
      <w:r>
        <w:rPr>
          <w:rFonts w:hint="eastAsia" w:ascii="仿宋_GB2312" w:hAnsi="仿宋_GB2312" w:eastAsia="仿宋_GB2312" w:cs="仿宋_GB2312"/>
          <w:b/>
          <w:bCs/>
          <w:color w:val="000000"/>
          <w:sz w:val="32"/>
          <w:szCs w:val="32"/>
          <w:highlight w:val="none"/>
        </w:rPr>
        <w:t>，</w:t>
      </w:r>
      <w:r>
        <w:rPr>
          <w:rFonts w:hint="eastAsia" w:ascii="仿宋_GB2312" w:hAnsi="仿宋_GB2312" w:eastAsia="仿宋_GB2312" w:cs="仿宋_GB2312"/>
          <w:b w:val="0"/>
          <w:bCs w:val="0"/>
          <w:color w:val="000000"/>
          <w:sz w:val="32"/>
          <w:szCs w:val="32"/>
          <w:highlight w:val="none"/>
          <w:lang w:eastAsia="zh-CN"/>
        </w:rPr>
        <w:t>推出《深圳市福田区支持文化创意产业发展若干措施》《深圳市福田区支持现代时尚与数字创意产业集群发展若干措施》，</w:t>
      </w:r>
      <w:r>
        <w:rPr>
          <w:rFonts w:hint="eastAsia" w:ascii="仿宋_GB2312" w:hAnsi="仿宋_GB2312" w:eastAsia="仿宋_GB2312" w:cs="仿宋_GB2312"/>
          <w:b w:val="0"/>
          <w:bCs w:val="0"/>
          <w:color w:val="000000"/>
          <w:sz w:val="32"/>
          <w:szCs w:val="32"/>
          <w:highlight w:val="none"/>
        </w:rPr>
        <w:t>持续完善数字创意产业政策体系。</w:t>
      </w:r>
      <w:r>
        <w:rPr>
          <w:rFonts w:hint="eastAsia" w:ascii="仿宋_GB2312" w:hAnsi="仿宋_GB2312" w:eastAsia="仿宋_GB2312" w:cs="仿宋_GB2312"/>
          <w:b/>
          <w:bCs/>
          <w:color w:val="000000"/>
          <w:sz w:val="32"/>
          <w:szCs w:val="32"/>
          <w:highlight w:val="none"/>
        </w:rPr>
        <w:t>招商引资</w:t>
      </w:r>
      <w:r>
        <w:rPr>
          <w:rFonts w:hint="eastAsia" w:ascii="仿宋_GB2312" w:hAnsi="仿宋_GB2312" w:eastAsia="仿宋_GB2312" w:cs="仿宋_GB2312"/>
          <w:b/>
          <w:bCs/>
          <w:color w:val="000000"/>
          <w:sz w:val="32"/>
          <w:szCs w:val="32"/>
          <w:highlight w:val="none"/>
          <w:lang w:eastAsia="zh-CN"/>
        </w:rPr>
        <w:t>方面，</w:t>
      </w:r>
      <w:r>
        <w:rPr>
          <w:rFonts w:hint="eastAsia" w:ascii="仿宋_GB2312" w:hAnsi="仿宋_GB2312" w:eastAsia="仿宋_GB2312" w:cs="仿宋_GB2312"/>
          <w:b w:val="0"/>
          <w:bCs w:val="0"/>
          <w:color w:val="000000"/>
          <w:sz w:val="32"/>
          <w:szCs w:val="32"/>
          <w:highlight w:val="none"/>
          <w:lang w:eastAsia="zh-CN"/>
        </w:rPr>
        <w:t>以加快培育壮大数字创意产业集群为发展动能，推动</w:t>
      </w:r>
      <w:r>
        <w:rPr>
          <w:rFonts w:hint="eastAsia" w:ascii="仿宋_GB2312" w:hAnsi="仿宋_GB2312" w:eastAsia="仿宋_GB2312" w:cs="仿宋_GB2312"/>
          <w:b w:val="0"/>
          <w:bCs w:val="0"/>
          <w:color w:val="000000"/>
          <w:sz w:val="32"/>
          <w:szCs w:val="32"/>
          <w:highlight w:val="none"/>
        </w:rPr>
        <w:t>优质数字创意企业持续落户福田。</w:t>
      </w:r>
      <w:r>
        <w:rPr>
          <w:rFonts w:hint="eastAsia" w:ascii="仿宋_GB2312" w:hAnsi="仿宋_GB2312" w:eastAsia="仿宋_GB2312" w:cs="仿宋_GB2312"/>
          <w:b w:val="0"/>
          <w:bCs w:val="0"/>
          <w:color w:val="000000"/>
          <w:sz w:val="32"/>
          <w:szCs w:val="32"/>
          <w:highlight w:val="none"/>
          <w:lang w:eastAsia="zh-CN"/>
        </w:rPr>
        <w:t>进一步探索元宇宙、VR/AR等新兴产业发展，精准匹配与招引多元化业态，加快打造数字创意产业发展高地。</w:t>
      </w:r>
      <w:r>
        <w:rPr>
          <w:rFonts w:hint="eastAsia" w:ascii="仿宋_GB2312" w:hAnsi="仿宋_GB2312" w:eastAsia="仿宋_GB2312" w:cs="仿宋_GB2312"/>
          <w:b/>
          <w:bCs/>
          <w:color w:val="000000"/>
          <w:sz w:val="32"/>
          <w:szCs w:val="32"/>
          <w:highlight w:val="none"/>
          <w:lang w:eastAsia="zh-CN"/>
        </w:rPr>
        <w:t>打造数字创意原创精品方面，</w:t>
      </w:r>
      <w:r>
        <w:rPr>
          <w:rFonts w:hint="eastAsia" w:ascii="仿宋_GB2312" w:hAnsi="仿宋_GB2312" w:eastAsia="仿宋_GB2312" w:cs="仿宋_GB2312"/>
          <w:sz w:val="32"/>
          <w:szCs w:val="32"/>
          <w:highlight w:val="none"/>
        </w:rPr>
        <w:t>福田</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企业两部影片提名第93届奥斯卡金像奖，电视剧《湾区儿女》荣获“五个一工程”优秀作品奖，</w:t>
      </w:r>
      <w:r>
        <w:rPr>
          <w:rFonts w:hint="eastAsia" w:ascii="仿宋_GB2312" w:hAnsi="仿宋_GB2312" w:eastAsia="仿宋_GB2312" w:cs="仿宋_GB2312"/>
          <w:sz w:val="32"/>
          <w:szCs w:val="32"/>
          <w:highlight w:val="none"/>
          <w:lang w:eastAsia="zh-CN"/>
        </w:rPr>
        <w:t>《青春之城》登上央视热播，</w:t>
      </w:r>
      <w:r>
        <w:rPr>
          <w:rFonts w:hint="eastAsia" w:ascii="仿宋_GB2312" w:hAnsi="仿宋_GB2312" w:eastAsia="仿宋_GB2312" w:cs="仿宋_GB2312"/>
          <w:sz w:val="32"/>
          <w:szCs w:val="32"/>
          <w:highlight w:val="none"/>
        </w:rPr>
        <w:t>电影《奇迹·笨小孩》荣获金鸡奖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动漫、游戏、直播等新兴创意业态发展迅速，实现从数字创意设备到数字创意内容全产业链布局。</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
          <w:bCs w:val="0"/>
          <w:sz w:val="32"/>
          <w:szCs w:val="32"/>
          <w:highlight w:val="none"/>
          <w:lang w:eastAsia="zh-CN"/>
        </w:rPr>
        <w:t>三是推进</w:t>
      </w:r>
      <w:r>
        <w:rPr>
          <w:rFonts w:hint="eastAsia" w:ascii="仿宋_GB2312" w:hAnsi="仿宋_GB2312" w:eastAsia="仿宋_GB2312" w:cs="仿宋_GB2312"/>
          <w:b/>
          <w:bCs/>
          <w:sz w:val="32"/>
          <w:szCs w:val="32"/>
          <w:highlight w:val="none"/>
          <w:lang w:val="en-US" w:eastAsia="zh-CN"/>
        </w:rPr>
        <w:t>文化+旅游产业融合。</w:t>
      </w:r>
      <w:r>
        <w:rPr>
          <w:rFonts w:hint="eastAsia" w:ascii="仿宋_GB2312" w:hAnsi="仿宋_GB2312" w:eastAsia="仿宋_GB2312" w:cs="仿宋_GB2312"/>
          <w:b w:val="0"/>
          <w:bCs w:val="0"/>
          <w:sz w:val="32"/>
          <w:szCs w:val="32"/>
          <w:highlight w:val="none"/>
          <w:lang w:val="en-US" w:eastAsia="zh-CN"/>
        </w:rPr>
        <w:t>坚持</w:t>
      </w:r>
      <w:r>
        <w:rPr>
          <w:rFonts w:hint="eastAsia" w:ascii="仿宋_GB2312" w:hAnsi="仿宋_GB2312" w:eastAsia="仿宋_GB2312" w:cs="仿宋_GB2312"/>
          <w:b w:val="0"/>
          <w:bCs w:val="0"/>
          <w:kern w:val="0"/>
          <w:sz w:val="32"/>
          <w:szCs w:val="32"/>
          <w:highlight w:val="none"/>
          <w:lang w:val="en-US" w:eastAsia="zh-CN"/>
        </w:rPr>
        <w:t>以文塑</w:t>
      </w:r>
      <w:r>
        <w:rPr>
          <w:rFonts w:hint="eastAsia" w:ascii="仿宋_GB2312" w:hAnsi="仿宋_GB2312" w:eastAsia="仿宋_GB2312" w:cs="仿宋_GB2312"/>
          <w:bCs/>
          <w:kern w:val="0"/>
          <w:sz w:val="32"/>
          <w:szCs w:val="32"/>
          <w:highlight w:val="none"/>
          <w:lang w:val="en-US" w:eastAsia="zh-CN"/>
        </w:rPr>
        <w:t>旅、以旅彰文，</w:t>
      </w:r>
      <w:r>
        <w:rPr>
          <w:rFonts w:hint="eastAsia" w:ascii="仿宋_GB2312" w:eastAsia="仿宋_GB2312"/>
          <w:b w:val="0"/>
          <w:bCs w:val="0"/>
          <w:spacing w:val="0"/>
          <w:kern w:val="0"/>
          <w:sz w:val="32"/>
          <w:szCs w:val="32"/>
          <w:highlight w:val="none"/>
          <w:u w:val="none" w:color="auto"/>
          <w:lang w:val="en-US" w:eastAsia="zh-CN"/>
        </w:rPr>
        <w:t>依托福田自身资源禀赋和特色，以都市型沉浸式全域旅游为定位，积极打造福田都市旅游品牌，</w:t>
      </w:r>
      <w:r>
        <w:rPr>
          <w:rFonts w:hint="eastAsia" w:ascii="仿宋_GB2312" w:hAnsi="仿宋_GB2312" w:eastAsia="仿宋_GB2312" w:cs="仿宋_GB2312"/>
          <w:bCs/>
          <w:kern w:val="0"/>
          <w:sz w:val="32"/>
          <w:szCs w:val="32"/>
          <w:highlight w:val="none"/>
          <w:lang w:val="en-US" w:eastAsia="zh-CN"/>
        </w:rPr>
        <w:t>构建丰富的旅游产品体系，推出“福田十景”“八大线路”，提炼融合食、住、行、游、购、娱、展、演、赛、美“福田旅游十要素”，形成福田区都市</w:t>
      </w:r>
      <w:r>
        <w:rPr>
          <w:rFonts w:hint="eastAsia" w:ascii="仿宋_GB2312" w:hAnsi="仿宋_GB2312" w:eastAsia="仿宋_GB2312" w:cs="仿宋_GB2312"/>
          <w:kern w:val="2"/>
          <w:sz w:val="32"/>
          <w:szCs w:val="32"/>
          <w:highlight w:val="none"/>
          <w:lang w:val="en-US" w:eastAsia="zh-CN" w:bidi="ar-SA"/>
        </w:rPr>
        <w:t>旅游资源清单</w:t>
      </w:r>
      <w:r>
        <w:rPr>
          <w:rFonts w:hint="eastAsia" w:ascii="仿宋_GB2312" w:hAnsi="仿宋_GB2312" w:eastAsia="仿宋_GB2312" w:cs="仿宋_GB2312"/>
          <w:b w:val="0"/>
          <w:bCs w:val="0"/>
          <w:color w:val="auto"/>
          <w:spacing w:val="0"/>
          <w:kern w:val="0"/>
          <w:sz w:val="32"/>
          <w:szCs w:val="32"/>
          <w:highlight w:val="none"/>
          <w:u w:val="none"/>
          <w:lang w:val="en-US" w:eastAsia="zh-CN" w:bidi="ar-SA"/>
        </w:rPr>
        <w:t>。</w:t>
      </w:r>
      <w:r>
        <w:rPr>
          <w:rFonts w:hint="eastAsia" w:ascii="仿宋_GB2312" w:hAnsi="仿宋_GB2312" w:eastAsia="仿宋_GB2312" w:cs="仿宋_GB2312"/>
          <w:bCs/>
          <w:kern w:val="0"/>
          <w:sz w:val="32"/>
          <w:szCs w:val="32"/>
          <w:highlight w:val="none"/>
          <w:lang w:val="en-US" w:eastAsia="zh-CN"/>
        </w:rPr>
        <w:t>2023年5月举办福田区都市旅游狂欢月活动，并于4月28日举办启动仪式，发布了福田旅游IP卡通形象和六条精品线路，推出全国唯一都市低空游直升机和红胖子观光巴士两大旅游拳头产品，开创了福田旅游的全新局面，为打造都市型沉浸式全域旅游新模式摸索出“福田玩法”。据不完全统计，整个旅游月活动期间，各特色线路接待游客14.5万余人，拉动节日大道、下沙片区等相关区域商圈销售额效果明显，环比增加8.6%，同比增加27%，相较2019年同期增长14.3%。</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highlight w:val="none"/>
          <w:lang w:val="en-US" w:eastAsia="zh-CN"/>
        </w:rPr>
      </w:pPr>
      <w:r>
        <w:rPr>
          <w:rFonts w:hint="eastAsia" w:ascii="仿宋_GB2312" w:eastAsia="仿宋_GB2312" w:cs="仿宋_GB2312"/>
          <w:b/>
          <w:bCs/>
          <w:kern w:val="2"/>
          <w:sz w:val="32"/>
          <w:szCs w:val="32"/>
          <w:highlight w:val="none"/>
          <w:lang w:val="en-US" w:eastAsia="zh-CN" w:bidi="ar"/>
        </w:rPr>
        <w:t>四是推动文化+商圈深度融合。</w:t>
      </w:r>
      <w:r>
        <w:rPr>
          <w:rFonts w:hint="eastAsia" w:ascii="仿宋_GB2312" w:eastAsia="仿宋_GB2312" w:cs="仿宋_GB2312"/>
          <w:kern w:val="2"/>
          <w:sz w:val="32"/>
          <w:szCs w:val="32"/>
          <w:highlight w:val="none"/>
          <w:lang w:val="en-US" w:eastAsia="zh-CN" w:bidi="ar"/>
        </w:rPr>
        <w:t>为加快构建福田都市公共文化服务体系，打造拉动城市消费新引擎，我区持续开展“公共文化进商圈”这一区级公共文化重大工程，通过推动公共文化服务全面进入中心城区商圈，将商业与文化艺术相结合，打造“都市型”“流动型”“沉浸式”“开放式”公共文化空间，以精准化、多元化、个性化、专业化文化内容产品，打造福田特色“公共文化进商圈”城市作品集，使各大商圈成为都市公共文化服务的活力载体，助力商圈经济繁荣，为更好地建设中国特色社会主义先行示范区典范城区营造良好的文化氛围，受到了文化和旅游部的通报表扬。项目自2021年8月开展以来，先后在深圳节日大道、华强北主街、水围1368文化街区等商圈开展福田时光乐坊、福田夜八点、午间音乐会等系列文化活动超2000场，有效促进商圈人气聚集、消费提升、旅游旺盛。</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kern w:val="2"/>
          <w:sz w:val="32"/>
          <w:szCs w:val="32"/>
          <w:highlight w:val="none"/>
          <w:lang w:val="en-US" w:eastAsia="zh-CN" w:bidi="ar"/>
        </w:rPr>
      </w:pPr>
      <w:r>
        <w:rPr>
          <w:rFonts w:hint="eastAsia" w:ascii="仿宋_GB2312" w:eastAsia="仿宋_GB2312" w:cs="仿宋_GB2312"/>
          <w:b/>
          <w:bCs/>
          <w:kern w:val="2"/>
          <w:sz w:val="32"/>
          <w:szCs w:val="32"/>
          <w:highlight w:val="none"/>
          <w:lang w:val="en-US" w:eastAsia="zh-CN" w:bidi="ar"/>
        </w:rPr>
        <w:t>五是推动文化+体育产业融合。</w:t>
      </w:r>
      <w:r>
        <w:rPr>
          <w:rFonts w:hint="eastAsia" w:ascii="仿宋_GB2312" w:eastAsia="仿宋_GB2312" w:cs="仿宋_GB2312"/>
          <w:kern w:val="2"/>
          <w:sz w:val="32"/>
          <w:szCs w:val="32"/>
          <w:highlight w:val="none"/>
          <w:lang w:val="en-US" w:eastAsia="zh-CN" w:bidi="ar"/>
        </w:rPr>
        <w:t>福田区有各类体育场地762片，经常参加体育锻炼人数达46.9%。为破解学校体育场馆放学后“沉睡”难题，开放全区89所860多片场地，开放运营。我区积极创建国家全民运动健身模范区，举办“福田全民健身嘉年华”“福田超级联赛”，每年举办各类体育赛事6000多场，推动体育和赛事成为旅游的重要内容。出台《深圳市福田区支持都市体育产业发展若干措施》，重点对我区体育产业集聚（示范化建设）、职业体育建设、高端体育赛事、社会力量投资建设体育场馆等领域进行支持，填补福田区都市体育产业空白。同时构建高端体育赛事体系，助力职业体育建设，丰富体育场馆供给来源，进一步提升福田区体育产业核心竞争力和软实力，推动福田区体育产业高质量发展。</w:t>
      </w:r>
    </w:p>
    <w:p>
      <w:pPr>
        <w:pStyle w:val="3"/>
        <w:keepNext w:val="0"/>
        <w:keepLines w:val="0"/>
        <w:pageBreakBefore w:val="0"/>
        <w:numPr>
          <w:ilvl w:val="0"/>
          <w:numId w:val="1"/>
        </w:numPr>
        <w:kinsoku/>
        <w:overflowPunct/>
        <w:topLinePunct w:val="0"/>
        <w:autoSpaceDN/>
        <w:bidi w:val="0"/>
        <w:spacing w:line="579" w:lineRule="exact"/>
        <w:ind w:firstLine="640" w:firstLineChars="200"/>
        <w:jc w:val="both"/>
        <w:textAlignment w:val="auto"/>
        <w:rPr>
          <w:rFonts w:hint="eastAsia" w:ascii="黑体" w:hAnsi="黑体" w:eastAsia="黑体" w:cs="黑体"/>
          <w:b w:val="0"/>
          <w:bCs w:val="0"/>
          <w:color w:val="auto"/>
          <w:spacing w:val="0"/>
          <w:kern w:val="0"/>
          <w:sz w:val="32"/>
          <w:szCs w:val="32"/>
          <w:highlight w:val="none"/>
          <w:u w:val="none"/>
          <w:lang w:val="en-US" w:eastAsia="zh-CN" w:bidi="ar-SA"/>
        </w:rPr>
      </w:pPr>
      <w:r>
        <w:rPr>
          <w:rFonts w:hint="eastAsia" w:ascii="黑体" w:hAnsi="黑体" w:eastAsia="黑体" w:cs="黑体"/>
          <w:b w:val="0"/>
          <w:bCs w:val="0"/>
          <w:color w:val="auto"/>
          <w:spacing w:val="0"/>
          <w:kern w:val="0"/>
          <w:sz w:val="32"/>
          <w:szCs w:val="32"/>
          <w:highlight w:val="none"/>
          <w:u w:val="none"/>
          <w:lang w:val="en-US" w:eastAsia="zh-CN" w:bidi="ar-SA"/>
        </w:rPr>
        <w:t>下一步工作计划</w:t>
      </w:r>
    </w:p>
    <w:p>
      <w:pPr>
        <w:keepNext w:val="0"/>
        <w:keepLines w:val="0"/>
        <w:pageBreakBefore w:val="0"/>
        <w:kinsoku/>
        <w:overflowPunct/>
        <w:topLinePunct w:val="0"/>
        <w:autoSpaceDN/>
        <w:bidi w:val="0"/>
        <w:spacing w:line="579"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一是继续加强与对口帮扶地区的文旅合作。</w:t>
      </w:r>
      <w:r>
        <w:rPr>
          <w:rFonts w:hint="eastAsia" w:ascii="仿宋_GB2312" w:hAnsi="仿宋_GB2312" w:eastAsia="仿宋_GB2312" w:cs="仿宋_GB2312"/>
          <w:b w:val="0"/>
          <w:bCs w:val="0"/>
          <w:color w:val="auto"/>
          <w:kern w:val="2"/>
          <w:sz w:val="32"/>
          <w:szCs w:val="32"/>
          <w:highlight w:val="none"/>
          <w:lang w:val="en-US" w:eastAsia="zh-CN" w:bidi="ar-SA"/>
        </w:rPr>
        <w:t>进一步联动对口协作地区梳理文旅资源，发挥福田区位和资源优势，在引流、宣推、规划、投资等方面为对口地区赋能，同时积极开展各类联动旅游宣推活动。加强与港澳地区的文旅合作。</w:t>
      </w:r>
    </w:p>
    <w:p>
      <w:pPr>
        <w:keepNext w:val="0"/>
        <w:keepLines w:val="0"/>
        <w:pageBreakBefore w:val="0"/>
        <w:kinsoku/>
        <w:overflowPunct/>
        <w:topLinePunct w:val="0"/>
        <w:autoSpaceDN/>
        <w:bidi w:val="0"/>
        <w:spacing w:line="579" w:lineRule="exact"/>
        <w:ind w:firstLine="643" w:firstLineChars="200"/>
        <w:textAlignment w:val="auto"/>
        <w:rPr>
          <w:rFonts w:hint="eastAsia"/>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二是持续深化与港澳地区的文旅合作。</w:t>
      </w:r>
      <w:r>
        <w:rPr>
          <w:rFonts w:hint="eastAsia" w:ascii="仿宋_GB2312" w:hAnsi="仿宋_GB2312" w:eastAsia="仿宋_GB2312" w:cs="仿宋_GB2312"/>
          <w:b w:val="0"/>
          <w:bCs w:val="0"/>
          <w:color w:val="auto"/>
          <w:kern w:val="2"/>
          <w:sz w:val="32"/>
          <w:szCs w:val="32"/>
          <w:highlight w:val="none"/>
          <w:lang w:val="en-US" w:eastAsia="zh-CN" w:bidi="ar-SA"/>
        </w:rPr>
        <w:t>随着《河套深港科技创新合作区深圳园区发展规划》的发布，我区将紧抓河套建设机遇，结合港人北上潮流，继续深化开展深港合作，</w:t>
      </w:r>
      <w:r>
        <w:rPr>
          <w:rFonts w:hint="eastAsia" w:ascii="仿宋_GB2312" w:hAnsi="仿宋_GB2312" w:eastAsia="仿宋_GB2312" w:cs="仿宋_GB2312"/>
          <w:sz w:val="32"/>
          <w:szCs w:val="32"/>
          <w:highlight w:val="none"/>
        </w:rPr>
        <w:t>加强同源文化联动，重点开发围村风情季、深港美食节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深港两地联动游线路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深港联动体育活动等各类两地乡情联谊活动</w:t>
      </w:r>
      <w:r>
        <w:rPr>
          <w:rFonts w:hint="eastAsia" w:ascii="仿宋_GB2312" w:hAnsi="仿宋_GB2312" w:eastAsia="仿宋_GB2312" w:cs="仿宋_GB2312"/>
          <w:sz w:val="32"/>
          <w:szCs w:val="32"/>
          <w:highlight w:val="none"/>
          <w:lang w:eastAsia="zh-CN"/>
        </w:rPr>
        <w:t>，强化福田区与港澳地区合作，打造</w:t>
      </w:r>
      <w:r>
        <w:rPr>
          <w:rFonts w:hint="eastAsia" w:ascii="仿宋_GB2312" w:hAnsi="仿宋_GB2312" w:eastAsia="仿宋_GB2312" w:cs="仿宋_GB2312"/>
          <w:b w:val="0"/>
          <w:bCs w:val="0"/>
          <w:color w:val="auto"/>
          <w:spacing w:val="0"/>
          <w:kern w:val="0"/>
          <w:sz w:val="32"/>
          <w:szCs w:val="32"/>
          <w:highlight w:val="none"/>
          <w:u w:val="none"/>
          <w:lang w:val="en-US" w:eastAsia="zh-CN" w:bidi="ar-SA"/>
        </w:rPr>
        <w:t>湾区文旅资源汇聚交流的平台，推动福</w:t>
      </w:r>
      <w:r>
        <w:rPr>
          <w:rFonts w:hint="eastAsia" w:ascii="仿宋_GB2312" w:hAnsi="仿宋_GB2312" w:eastAsia="仿宋_GB2312" w:cs="仿宋_GB2312"/>
          <w:sz w:val="32"/>
          <w:szCs w:val="32"/>
          <w:highlight w:val="none"/>
          <w:lang w:val="en-US" w:eastAsia="zh-CN"/>
        </w:rPr>
        <w:t>田文旅产业再上新台阶。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b/>
          <w:bCs/>
          <w:color w:val="auto"/>
          <w:sz w:val="32"/>
          <w:szCs w:val="32"/>
          <w:highlight w:val="none"/>
          <w:lang w:val="en-US" w:eastAsia="zh-CN"/>
        </w:rPr>
        <w:t>三是推进文化与金融深度融合。一方面，</w:t>
      </w:r>
      <w:r>
        <w:rPr>
          <w:rFonts w:hint="eastAsia" w:ascii="仿宋_GB2312" w:hAnsi="仿宋_GB2312" w:eastAsia="仿宋_GB2312" w:cs="仿宋_GB2312"/>
          <w:b w:val="0"/>
          <w:bCs w:val="0"/>
          <w:color w:val="auto"/>
          <w:sz w:val="32"/>
          <w:szCs w:val="32"/>
          <w:highlight w:val="none"/>
          <w:lang w:val="en-US" w:eastAsia="zh-CN"/>
        </w:rPr>
        <w:t>持续发力文化创意产业发展政策，迭代文化与金融融合发展专项政策，树立集群发展思维，进一步加大文化创意产业园区建设力度，创建省级广告产业园区。加快推进市现代时尚、数字创意产业集群专项基金落户，进一步提升产业聚集力、科技创新力、内容原创力；</w:t>
      </w:r>
      <w:r>
        <w:rPr>
          <w:rFonts w:hint="eastAsia" w:ascii="仿宋_GB2312" w:hAnsi="仿宋_GB2312" w:eastAsia="仿宋_GB2312" w:cs="仿宋_GB2312"/>
          <w:b/>
          <w:bCs/>
          <w:color w:val="auto"/>
          <w:sz w:val="32"/>
          <w:szCs w:val="32"/>
          <w:highlight w:val="none"/>
          <w:lang w:val="en-US" w:eastAsia="zh-CN"/>
        </w:rPr>
        <w:t>另一方面，</w:t>
      </w:r>
      <w:r>
        <w:rPr>
          <w:rFonts w:hint="eastAsia" w:ascii="仿宋_GB2312" w:hAnsi="仿宋_GB2312" w:eastAsia="仿宋_GB2312" w:cs="仿宋_GB2312"/>
          <w:kern w:val="2"/>
          <w:sz w:val="32"/>
          <w:szCs w:val="32"/>
          <w:highlight w:val="none"/>
          <w:lang w:val="en-US" w:eastAsia="zh-CN" w:bidi="ar"/>
        </w:rPr>
        <w:t>依托福田全区超3万家文化企业的行业优势、全市近七成</w:t>
      </w:r>
      <w:bookmarkStart w:id="1" w:name="_GoBack"/>
      <w:bookmarkEnd w:id="1"/>
      <w:r>
        <w:rPr>
          <w:rFonts w:hint="eastAsia" w:ascii="仿宋_GB2312" w:hAnsi="仿宋_GB2312" w:eastAsia="仿宋_GB2312" w:cs="仿宋_GB2312"/>
          <w:kern w:val="2"/>
          <w:sz w:val="32"/>
          <w:szCs w:val="32"/>
          <w:highlight w:val="none"/>
          <w:lang w:val="en-US" w:eastAsia="zh-CN" w:bidi="ar"/>
        </w:rPr>
        <w:t>持牌金融机构的金融集聚态势，借助深圳文化金融中心项目建设机遇，深入推动文化与金融行业的交流互动，双向赋能形成真正1+1&gt;2的综合效果，金融助力形成线上线下融合互动、立体覆盖的文化服务供给体系，促进文化金融深度融合发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3" w:firstLineChars="200"/>
        <w:textAlignment w:val="auto"/>
        <w:outlineLvl w:val="9"/>
        <w:rPr>
          <w:rFonts w:hint="eastAsia"/>
          <w:highlight w:val="none"/>
          <w:lang w:val="en-US" w:eastAsia="zh-CN"/>
        </w:rPr>
      </w:pP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b/>
          <w:bCs/>
          <w:color w:val="auto"/>
          <w:kern w:val="2"/>
          <w:sz w:val="32"/>
          <w:szCs w:val="32"/>
          <w:highlight w:val="none"/>
          <w:lang w:val="en-US" w:eastAsia="zh-CN" w:bidi="ar-SA"/>
        </w:rPr>
        <w:t>加强文化与创意产业融合发展。</w:t>
      </w:r>
      <w:r>
        <w:rPr>
          <w:rFonts w:hint="eastAsia" w:ascii="仿宋_GB2312" w:hAnsi="仿宋_GB2312" w:eastAsia="仿宋_GB2312" w:cs="仿宋_GB2312"/>
          <w:b w:val="0"/>
          <w:bCs w:val="0"/>
          <w:color w:val="auto"/>
          <w:kern w:val="2"/>
          <w:sz w:val="32"/>
          <w:szCs w:val="32"/>
          <w:highlight w:val="none"/>
          <w:lang w:val="en-US" w:eastAsia="zh-CN" w:bidi="ar-SA"/>
        </w:rPr>
        <w:t>加强全盘谋划，按照三级规划全面落实产业布局，全面落实数字创意产业3年行动计划，衔接推进文化创意“十四五”发展规划。树立集群发展思维，划分文化产业细分领域，探索“产业园区+创新孵化器+产业基金+产业联盟”一体化推进模式，持续性做好产业规划引领和落地实施，矩阵化挖掘产业空间资源增量提质，广泛式增强政策引导力度，清单式开展招商引资和招才引智，精细化服务打造产业生态，进一步提升产业聚集力、科技创新力、内容原创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3" w:firstLineChars="200"/>
        <w:textAlignment w:val="auto"/>
        <w:outlineLvl w:val="9"/>
        <w:rPr>
          <w:rFonts w:hint="eastAsia"/>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五是</w:t>
      </w:r>
      <w:r>
        <w:rPr>
          <w:rFonts w:hint="eastAsia" w:ascii="仿宋_GB2312" w:hAnsi="仿宋_GB2312" w:eastAsia="仿宋_GB2312" w:cs="仿宋_GB2312"/>
          <w:b/>
          <w:bCs/>
          <w:color w:val="auto"/>
          <w:sz w:val="32"/>
          <w:szCs w:val="32"/>
          <w:highlight w:val="none"/>
          <w:lang w:val="en-US" w:eastAsia="zh-CN"/>
        </w:rPr>
        <w:t>加强文化与旅游融合发展。</w:t>
      </w:r>
      <w:r>
        <w:rPr>
          <w:rFonts w:hint="eastAsia" w:ascii="仿宋_GB2312" w:eastAsia="仿宋_GB2312"/>
          <w:b w:val="0"/>
          <w:bCs w:val="0"/>
          <w:snapToGrid w:val="0"/>
          <w:spacing w:val="0"/>
          <w:kern w:val="0"/>
          <w:sz w:val="32"/>
          <w:szCs w:val="32"/>
          <w:highlight w:val="none"/>
          <w:u w:val="none" w:color="auto"/>
          <w:lang w:val="en-US" w:eastAsia="zh-CN"/>
        </w:rPr>
        <w:t>探索“宣、文、旅、商”联动机制，以文引流、以旅导流，以宣推流，以商</w:t>
      </w:r>
      <w:r>
        <w:rPr>
          <w:rFonts w:hint="eastAsia" w:ascii="仿宋_GB2312" w:eastAsia="仿宋_GB2312"/>
          <w:b w:val="0"/>
          <w:bCs w:val="0"/>
          <w:spacing w:val="0"/>
          <w:kern w:val="0"/>
          <w:sz w:val="32"/>
          <w:szCs w:val="32"/>
          <w:highlight w:val="none"/>
          <w:u w:val="none" w:color="auto"/>
          <w:lang w:val="en-US" w:eastAsia="zh-CN"/>
        </w:rPr>
        <w:t>圈实现流量“变现”。</w:t>
      </w:r>
      <w:r>
        <w:rPr>
          <w:rFonts w:hint="eastAsia" w:ascii="仿宋_GB2312" w:hAnsi="仿宋_GB2312" w:eastAsia="仿宋_GB2312" w:cs="仿宋_GB2312"/>
          <w:b w:val="0"/>
          <w:bCs w:val="0"/>
          <w:color w:val="auto"/>
          <w:kern w:val="2"/>
          <w:sz w:val="32"/>
          <w:szCs w:val="32"/>
          <w:highlight w:val="none"/>
          <w:lang w:val="en-US" w:eastAsia="zh-CN" w:bidi="ar-SA"/>
        </w:rPr>
        <w:t>进一步夯实旅游发展基础，制定旅游发展规划，加快“福气家族”IP衍生运用，推动文旅商融合发展。开发多样化旅游产品，以政策为引导，发动旅行社结合市场需求，推出自由行、徒步游、亲子游、红色游、研学游等各类旅游产品</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建设福田文旅小程序，整合福田区文化旅游资讯，建立常态化文旅信息发布机制，为游客提供全要素导览服务，持续推动文旅融合，打响福田生活“乐土”、宜居“沃土”、旅游“热土”品牌。</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特此回复。</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rPr>
      </w:pPr>
    </w:p>
    <w:p>
      <w:pPr>
        <w:pStyle w:val="2"/>
        <w:keepNext w:val="0"/>
        <w:keepLines w:val="0"/>
        <w:pageBreakBefore w:val="0"/>
        <w:kinsoku/>
        <w:overflowPunct/>
        <w:topLinePunct w:val="0"/>
        <w:autoSpaceDN/>
        <w:bidi w:val="0"/>
        <w:spacing w:line="579" w:lineRule="exact"/>
        <w:ind w:firstLine="640" w:firstLineChars="200"/>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福田区文化广电旅游体育局</w:t>
      </w:r>
    </w:p>
    <w:p>
      <w:pPr>
        <w:pStyle w:val="2"/>
        <w:keepNext w:val="0"/>
        <w:keepLines w:val="0"/>
        <w:pageBreakBefore w:val="0"/>
        <w:widowControl w:val="0"/>
        <w:kinsoku/>
        <w:wordWrap w:val="0"/>
        <w:overflowPunct/>
        <w:topLinePunct w:val="0"/>
        <w:autoSpaceDE/>
        <w:autoSpaceDN/>
        <w:bidi w:val="0"/>
        <w:adjustRightInd/>
        <w:snapToGrid/>
        <w:spacing w:line="579" w:lineRule="exact"/>
        <w:ind w:right="0" w:rightChars="0" w:firstLine="640" w:firstLineChars="200"/>
        <w:jc w:val="righ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2023年</w:t>
      </w:r>
      <w:r>
        <w:rPr>
          <w:rFonts w:hint="eastAsia" w:ascii="仿宋_GB2312" w:hAnsi="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lang w:val="en-US" w:eastAsia="zh-CN"/>
        </w:rPr>
        <w:t>月</w:t>
      </w:r>
      <w:r>
        <w:rPr>
          <w:rFonts w:hint="eastAsia" w:ascii="仿宋_GB2312" w:hAnsi="仿宋_GB2312" w:cs="仿宋_GB2312"/>
          <w:b w:val="0"/>
          <w:bCs w:val="0"/>
          <w:sz w:val="32"/>
          <w:szCs w:val="32"/>
          <w:highlight w:val="none"/>
          <w:lang w:val="en-US" w:eastAsia="zh-CN"/>
        </w:rPr>
        <w:t>19</w:t>
      </w:r>
      <w:r>
        <w:rPr>
          <w:rFonts w:hint="eastAsia" w:ascii="仿宋_GB2312" w:hAnsi="仿宋_GB2312" w:eastAsia="仿宋_GB2312" w:cs="仿宋_GB2312"/>
          <w:b w:val="0"/>
          <w:bCs w:val="0"/>
          <w:sz w:val="32"/>
          <w:szCs w:val="32"/>
          <w:highlight w:val="none"/>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p>
    <w:sectPr>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1AE511-9BA1-442E-954F-B5623C0F28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6F91184-1476-40A9-A42B-123DD550A2ED}"/>
  </w:font>
  <w:font w:name="方正小标宋简体">
    <w:panose1 w:val="02000000000000000000"/>
    <w:charset w:val="86"/>
    <w:family w:val="auto"/>
    <w:pitch w:val="default"/>
    <w:sig w:usb0="00000001" w:usb1="08000000" w:usb2="00000000" w:usb3="00000000" w:csb0="00040000" w:csb1="00000000"/>
    <w:embedRegular r:id="rId3" w:fontKey="{66AA9BE4-5455-4D07-9C9E-EDEC5257788D}"/>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98A8641C-5F29-45F7-9F51-411D21E763B8}"/>
  </w:font>
  <w:font w:name="楷体_GB2312">
    <w:panose1 w:val="02010609030101010101"/>
    <w:charset w:val="86"/>
    <w:family w:val="modern"/>
    <w:pitch w:val="default"/>
    <w:sig w:usb0="00000001" w:usb1="080E0000" w:usb2="00000000" w:usb3="00000000" w:csb0="00040000" w:csb1="00000000"/>
    <w:embedRegular r:id="rId5" w:fontKey="{AF7F89A8-EB01-4189-8D4F-0F2631A4DA4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FD8E1"/>
    <w:multiLevelType w:val="singleLevel"/>
    <w:tmpl w:val="BD7FD8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DFD9C437"/>
    <w:rsid w:val="128879FC"/>
    <w:rsid w:val="19F67ACE"/>
    <w:rsid w:val="1CFFF375"/>
    <w:rsid w:val="263566ED"/>
    <w:rsid w:val="2CF90D37"/>
    <w:rsid w:val="2E2E61CD"/>
    <w:rsid w:val="2EBBF369"/>
    <w:rsid w:val="2EF93EA8"/>
    <w:rsid w:val="3E7F3E91"/>
    <w:rsid w:val="3F7E7B16"/>
    <w:rsid w:val="432C515A"/>
    <w:rsid w:val="4AA14DCA"/>
    <w:rsid w:val="4C7B65CC"/>
    <w:rsid w:val="51C55131"/>
    <w:rsid w:val="5465F5F9"/>
    <w:rsid w:val="5FFF677B"/>
    <w:rsid w:val="6BF91BAC"/>
    <w:rsid w:val="6D878445"/>
    <w:rsid w:val="6ECF8E69"/>
    <w:rsid w:val="6FAFFF1D"/>
    <w:rsid w:val="6FFACDA2"/>
    <w:rsid w:val="77FF2A46"/>
    <w:rsid w:val="78CE1D32"/>
    <w:rsid w:val="7AEF357A"/>
    <w:rsid w:val="7BE8168C"/>
    <w:rsid w:val="7CEF376C"/>
    <w:rsid w:val="7EFF447A"/>
    <w:rsid w:val="7FFBE2BB"/>
    <w:rsid w:val="7FFD8B5B"/>
    <w:rsid w:val="8561F99C"/>
    <w:rsid w:val="AAA40216"/>
    <w:rsid w:val="BBFF0CF3"/>
    <w:rsid w:val="BDADF490"/>
    <w:rsid w:val="BDFFAE7F"/>
    <w:rsid w:val="BEFF10F5"/>
    <w:rsid w:val="BF746913"/>
    <w:rsid w:val="CBB5A4C7"/>
    <w:rsid w:val="CBF6138F"/>
    <w:rsid w:val="CFFE359B"/>
    <w:rsid w:val="DF6BB385"/>
    <w:rsid w:val="DFD9C437"/>
    <w:rsid w:val="E9FFA1E6"/>
    <w:rsid w:val="EFAF72B1"/>
    <w:rsid w:val="EFFA550D"/>
    <w:rsid w:val="F2F732F1"/>
    <w:rsid w:val="F7F92775"/>
    <w:rsid w:val="F93F8D03"/>
    <w:rsid w:val="FDDF57A4"/>
    <w:rsid w:val="FDEB848F"/>
    <w:rsid w:val="FDFDADAB"/>
    <w:rsid w:val="FF5DA0DF"/>
    <w:rsid w:val="FFDE0C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line="560" w:lineRule="exact"/>
      <w:ind w:firstLine="640" w:firstLineChars="200"/>
      <w:jc w:val="center"/>
    </w:pPr>
    <w:rPr>
      <w:rFonts w:ascii="宋体" w:hAnsi="宋体" w:eastAsia="仿宋_GB2312" w:cs="Times New Roman"/>
      <w:kern w:val="2"/>
      <w:sz w:val="32"/>
      <w:szCs w:val="24"/>
      <w:lang w:val="en-US" w:eastAsia="zh-CN" w:bidi="ar-SA"/>
    </w:rPr>
  </w:style>
  <w:style w:type="paragraph" w:styleId="4">
    <w:name w:val="index 8"/>
    <w:basedOn w:val="1"/>
    <w:next w:val="1"/>
    <w:autoRedefine/>
    <w:unhideWhenUsed/>
    <w:qFormat/>
    <w:uiPriority w:val="99"/>
    <w:pPr>
      <w:ind w:left="2940"/>
    </w:pPr>
  </w:style>
  <w:style w:type="paragraph" w:styleId="5">
    <w:name w:val="Plain Text"/>
    <w:basedOn w:val="1"/>
    <w:next w:val="4"/>
    <w:autoRedefine/>
    <w:unhideWhenUsed/>
    <w:qFormat/>
    <w:uiPriority w:val="99"/>
    <w:rPr>
      <w:rFonts w:ascii="宋体" w:hAnsi="Calibri" w:cs="Courier New"/>
      <w:szCs w:val="21"/>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9">
    <w:name w:val="_Style 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2023-07-26T16:08:00Z</dcterms:created>
  <dc:creator>cuihualin</dc:creator>
  <cp:lastModifiedBy>GHH</cp:lastModifiedBy>
  <cp:lastPrinted>2023-09-27T19:48:00Z</cp:lastPrinted>
  <dcterms:modified xsi:type="dcterms:W3CDTF">2024-01-03T12:00:55Z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71AF1DDFDF27664FA4AC2C65CCE4FE84</vt:lpwstr>
  </property>
</Properties>
</file>