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79" w:lineRule="exact"/>
        <w:ind w:left="0" w:leftChars="0" w:firstLine="0" w:firstLineChars="0"/>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rPr>
        <w:t>附件</w:t>
      </w:r>
      <w:r>
        <w:rPr>
          <w:rFonts w:hint="eastAsia" w:ascii="黑体" w:hAnsi="黑体" w:eastAsia="黑体" w:cs="黑体"/>
          <w:b w:val="0"/>
          <w:sz w:val="32"/>
          <w:szCs w:val="32"/>
          <w:lang w:val="en-US" w:eastAsia="zh-CN"/>
        </w:rPr>
        <w:t>3</w:t>
      </w: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lang w:eastAsia="zh-CN"/>
        </w:rPr>
      </w:pPr>
      <w:bookmarkStart w:id="0" w:name="_GoBack"/>
      <w:r>
        <w:rPr>
          <w:rFonts w:hint="eastAsia" w:ascii="方正小标宋_GBK" w:hAnsi="方正小标宋_GBK" w:eastAsia="方正小标宋_GBK" w:cs="方正小标宋_GBK"/>
          <w:sz w:val="40"/>
          <w:szCs w:val="40"/>
        </w:rPr>
        <w:t>揭榜</w:t>
      </w:r>
      <w:r>
        <w:rPr>
          <w:rFonts w:hint="eastAsia" w:ascii="方正小标宋_GBK" w:hAnsi="方正小标宋_GBK" w:eastAsia="方正小标宋_GBK" w:cs="方正小标宋_GBK"/>
          <w:sz w:val="40"/>
          <w:szCs w:val="40"/>
          <w:lang w:eastAsia="zh-CN"/>
        </w:rPr>
        <w:t>可行性报告提纲</w:t>
      </w:r>
      <w:bookmarkEnd w:id="0"/>
    </w:p>
    <w:p>
      <w:pPr>
        <w:ind w:firstLine="643"/>
        <w:jc w:val="center"/>
        <w:rPr>
          <w:rFonts w:ascii="Times New Roman" w:hAnsi="Times New Roman" w:eastAsia="黑体" w:cs="Times New Roman"/>
          <w:b/>
          <w:bCs/>
        </w:rPr>
      </w:pPr>
    </w:p>
    <w:p>
      <w:pPr>
        <w:spacing w:line="264" w:lineRule="auto"/>
        <w:ind w:firstLine="643"/>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一、揭榜任务简要介绍</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攻关产品或</w:t>
      </w:r>
      <w:r>
        <w:rPr>
          <w:rFonts w:hint="default" w:ascii="Times New Roman" w:hAnsi="Times New Roman" w:eastAsia="仿宋_GB2312" w:cs="Times New Roman"/>
          <w:sz w:val="32"/>
          <w:szCs w:val="32"/>
        </w:rPr>
        <w:t>方案</w:t>
      </w:r>
      <w:r>
        <w:rPr>
          <w:rFonts w:ascii="Times New Roman" w:hAnsi="Times New Roman" w:eastAsia="仿宋_GB2312" w:cs="Times New Roman"/>
          <w:sz w:val="32"/>
          <w:szCs w:val="32"/>
        </w:rPr>
        <w:t>名称，涉及的主要技术、创新方向、发展趋势及前景等。</w:t>
      </w:r>
    </w:p>
    <w:p>
      <w:pPr>
        <w:spacing w:line="264" w:lineRule="auto"/>
        <w:ind w:firstLine="643"/>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二、揭榜单位现有基础及相关进展</w:t>
      </w:r>
    </w:p>
    <w:p>
      <w:pPr>
        <w:pStyle w:val="5"/>
        <w:keepNext w:val="0"/>
        <w:keepLines w:val="0"/>
        <w:pageBreakBefore w:val="0"/>
        <w:widowControl w:val="0"/>
        <w:kinsoku/>
        <w:wordWrap/>
        <w:overflowPunct/>
        <w:topLinePunct w:val="0"/>
        <w:autoSpaceDE/>
        <w:autoSpaceDN/>
        <w:bidi w:val="0"/>
        <w:snapToGrid/>
        <w:spacing w:line="579"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（一）现有基础</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本单位行业地位、科研资质、技术基础、知识产权、创新能力、人才与团队实力、主要优势、主办/协办/参加的相关赛事等。</w:t>
      </w:r>
    </w:p>
    <w:p>
      <w:pPr>
        <w:pStyle w:val="5"/>
        <w:keepNext w:val="0"/>
        <w:keepLines w:val="0"/>
        <w:pageBreakBefore w:val="0"/>
        <w:widowControl w:val="0"/>
        <w:kinsoku/>
        <w:wordWrap/>
        <w:overflowPunct/>
        <w:topLinePunct w:val="0"/>
        <w:autoSpaceDE/>
        <w:autoSpaceDN/>
        <w:bidi w:val="0"/>
        <w:snapToGrid/>
        <w:spacing w:line="579"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（二）相关进展</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本单位重点攻关产品或服务的现有技术水平（对比国际先进水平）、创新及应用情况、相关研发人员、资金投入情况等。</w:t>
      </w:r>
    </w:p>
    <w:p>
      <w:pPr>
        <w:spacing w:line="264" w:lineRule="auto"/>
        <w:ind w:firstLine="643"/>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三、</w:t>
      </w:r>
      <w:r>
        <w:rPr>
          <w:rFonts w:hint="eastAsia" w:ascii="黑体" w:hAnsi="黑体" w:eastAsia="黑体" w:cs="黑体"/>
          <w:sz w:val="32"/>
          <w:szCs w:val="32"/>
        </w:rPr>
        <w:t>项目目标</w:t>
      </w:r>
      <w:r>
        <w:rPr>
          <w:rFonts w:hint="eastAsia" w:ascii="黑体" w:hAnsi="黑体" w:eastAsia="黑体" w:cs="黑体"/>
          <w:sz w:val="32"/>
          <w:szCs w:val="32"/>
          <w:lang w:eastAsia="zh-CN"/>
        </w:rPr>
        <w:t>、</w:t>
      </w:r>
      <w:r>
        <w:rPr>
          <w:rFonts w:hint="eastAsia" w:ascii="黑体" w:hAnsi="黑体" w:eastAsia="黑体" w:cs="黑体"/>
          <w:sz w:val="32"/>
          <w:szCs w:val="32"/>
        </w:rPr>
        <w:t>研究方案和内容</w:t>
      </w:r>
    </w:p>
    <w:p>
      <w:pPr>
        <w:pStyle w:val="5"/>
        <w:keepNext w:val="0"/>
        <w:keepLines w:val="0"/>
        <w:pageBreakBefore w:val="0"/>
        <w:widowControl w:val="0"/>
        <w:kinsoku/>
        <w:wordWrap/>
        <w:overflowPunct/>
        <w:topLinePunct w:val="0"/>
        <w:autoSpaceDE/>
        <w:autoSpaceDN/>
        <w:bidi w:val="0"/>
        <w:snapToGrid/>
        <w:spacing w:line="579"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项目周期分年度</w:t>
      </w:r>
      <w:r>
        <w:rPr>
          <w:rFonts w:hint="eastAsia" w:ascii="楷体_GB2312" w:hAnsi="楷体_GB2312" w:eastAsia="楷体_GB2312" w:cs="楷体_GB2312"/>
          <w:sz w:val="32"/>
          <w:szCs w:val="32"/>
        </w:rPr>
        <w:t>目标</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指标数值，含义，测试场景及评价方式等。</w:t>
      </w:r>
    </w:p>
    <w:p>
      <w:pPr>
        <w:pStyle w:val="5"/>
        <w:keepNext w:val="0"/>
        <w:keepLines w:val="0"/>
        <w:pageBreakBefore w:val="0"/>
        <w:widowControl w:val="0"/>
        <w:kinsoku/>
        <w:wordWrap/>
        <w:overflowPunct/>
        <w:topLinePunct w:val="0"/>
        <w:autoSpaceDE/>
        <w:autoSpaceDN/>
        <w:bidi w:val="0"/>
        <w:snapToGrid/>
        <w:spacing w:line="579" w:lineRule="exact"/>
        <w:ind w:firstLine="64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（二）重点任务攻关计划</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时间进度、阶段性任务、细化目标等</w:t>
      </w:r>
    </w:p>
    <w:p>
      <w:pPr>
        <w:pStyle w:val="5"/>
        <w:keepNext w:val="0"/>
        <w:keepLines w:val="0"/>
        <w:pageBreakBefore w:val="0"/>
        <w:widowControl w:val="0"/>
        <w:kinsoku/>
        <w:wordWrap/>
        <w:overflowPunct/>
        <w:topLinePunct w:val="0"/>
        <w:autoSpaceDE/>
        <w:autoSpaceDN/>
        <w:bidi w:val="0"/>
        <w:snapToGrid/>
        <w:spacing w:line="579" w:lineRule="exact"/>
        <w:ind w:firstLine="64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（三）组织保障机制</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攻关团队、组织方式、协调机制等</w:t>
      </w:r>
    </w:p>
    <w:p>
      <w:pPr>
        <w:spacing w:line="300" w:lineRule="auto"/>
        <w:ind w:firstLine="643"/>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（四）潜在问题及应对举措</w:t>
      </w:r>
    </w:p>
    <w:p>
      <w:pPr>
        <w:spacing w:line="579" w:lineRule="exact"/>
        <w:ind w:left="1278" w:leftChars="304" w:hanging="640" w:hangingChars="200"/>
        <w:rPr>
          <w:rFonts w:hint="eastAsia" w:ascii="黑体" w:hAnsi="黑体" w:eastAsia="黑体" w:cs="黑体"/>
          <w:sz w:val="32"/>
        </w:rPr>
      </w:pPr>
      <w:r>
        <w:rPr>
          <w:rFonts w:hint="eastAsia" w:ascii="黑体" w:hAnsi="黑体" w:eastAsia="黑体" w:cs="黑体"/>
          <w:sz w:val="32"/>
          <w:lang w:eastAsia="zh-CN"/>
        </w:rPr>
        <w:t>四</w:t>
      </w:r>
      <w:r>
        <w:rPr>
          <w:rFonts w:hint="eastAsia" w:ascii="黑体" w:hAnsi="黑体" w:eastAsia="黑体" w:cs="黑体"/>
          <w:sz w:val="32"/>
        </w:rPr>
        <w:t>、</w:t>
      </w:r>
      <w:r>
        <w:rPr>
          <w:rFonts w:hint="eastAsia" w:ascii="黑体" w:hAnsi="黑体" w:eastAsia="黑体" w:cs="黑体"/>
          <w:sz w:val="32"/>
          <w:szCs w:val="32"/>
        </w:rPr>
        <w:t>申报单位基础条件</w:t>
      </w:r>
    </w:p>
    <w:p>
      <w:pPr>
        <w:spacing w:line="579" w:lineRule="exact"/>
        <w:ind w:firstLine="640" w:firstLineChars="200"/>
        <w:rPr>
          <w:rFonts w:ascii="仿宋_GB2312" w:hAnsi="仿宋_GB2312" w:eastAsia="仿宋_GB2312" w:cs="Times New Roman"/>
          <w:sz w:val="32"/>
        </w:rPr>
      </w:pPr>
      <w:r>
        <w:rPr>
          <w:rFonts w:hint="eastAsia" w:ascii="仿宋_GB2312" w:hAnsi="仿宋_GB2312" w:eastAsia="仿宋_GB2312" w:cs="Times New Roman"/>
          <w:sz w:val="32"/>
        </w:rPr>
        <w:t>已开展的前期研究工作内容及结果，已具备的研究条件（基础数据资料、实验条件、国内国际合作等），该项目所涉及关键技术的分析，尚欠缺的研究条件和拟解决途径及落实情况等。</w:t>
      </w:r>
    </w:p>
    <w:p>
      <w:pPr>
        <w:spacing w:line="579" w:lineRule="exact"/>
        <w:ind w:firstLine="640" w:firstLineChars="200"/>
        <w:rPr>
          <w:rFonts w:ascii="仿宋_GB2312" w:hAnsi="仿宋_GB2312" w:eastAsia="仿宋_GB2312" w:cs="Times New Roman"/>
          <w:sz w:val="32"/>
        </w:rPr>
      </w:pPr>
      <w:r>
        <w:rPr>
          <w:rFonts w:hint="eastAsia" w:ascii="仿宋_GB2312" w:hAnsi="仿宋_GB2312" w:eastAsia="仿宋_GB2312" w:cs="Times New Roman"/>
          <w:sz w:val="32"/>
        </w:rPr>
        <w:t>为支撑项目建设</w:t>
      </w:r>
      <w:r>
        <w:rPr>
          <w:rFonts w:hint="eastAsia" w:ascii="仿宋_GB2312" w:hAnsi="仿宋_GB2312" w:eastAsia="仿宋_GB2312" w:cs="Times New Roman"/>
          <w:b/>
          <w:bCs/>
          <w:sz w:val="32"/>
          <w:u w:val="single"/>
        </w:rPr>
        <w:t>已有的仪器设备清单（附件</w:t>
      </w:r>
      <w:r>
        <w:rPr>
          <w:rFonts w:hint="eastAsia" w:ascii="仿宋_GB2312" w:hAnsi="仿宋_GB2312" w:eastAsia="仿宋_GB2312" w:cs="Times New Roman"/>
          <w:b/>
          <w:bCs/>
          <w:sz w:val="32"/>
          <w:u w:val="single"/>
          <w:lang w:val="en-US" w:eastAsia="zh-CN"/>
        </w:rPr>
        <w:t>6</w:t>
      </w:r>
      <w:r>
        <w:rPr>
          <w:rFonts w:hint="eastAsia" w:ascii="仿宋_GB2312" w:hAnsi="仿宋_GB2312" w:eastAsia="仿宋_GB2312" w:cs="Times New Roman"/>
          <w:b/>
          <w:bCs/>
          <w:sz w:val="32"/>
          <w:u w:val="single"/>
        </w:rPr>
        <w:t>）</w:t>
      </w:r>
      <w:r>
        <w:rPr>
          <w:rFonts w:hint="eastAsia" w:ascii="仿宋_GB2312" w:hAnsi="仿宋_GB2312" w:eastAsia="仿宋_GB2312" w:cs="Times New Roman"/>
          <w:sz w:val="32"/>
        </w:rPr>
        <w:t>以及</w:t>
      </w:r>
      <w:r>
        <w:rPr>
          <w:rFonts w:hint="eastAsia" w:ascii="仿宋_GB2312" w:hAnsi="仿宋_GB2312" w:eastAsia="仿宋_GB2312" w:cs="Times New Roman"/>
          <w:b/>
          <w:bCs/>
          <w:sz w:val="32"/>
          <w:u w:val="single"/>
        </w:rPr>
        <w:t>拟新增设备和软件购置清单（附件</w:t>
      </w:r>
      <w:r>
        <w:rPr>
          <w:rFonts w:hint="eastAsia" w:ascii="仿宋_GB2312" w:hAnsi="仿宋_GB2312" w:eastAsia="仿宋_GB2312" w:cs="Times New Roman"/>
          <w:b/>
          <w:bCs/>
          <w:sz w:val="32"/>
          <w:u w:val="single"/>
          <w:lang w:val="en-US" w:eastAsia="zh-CN"/>
        </w:rPr>
        <w:t>7</w:t>
      </w:r>
      <w:r>
        <w:rPr>
          <w:rFonts w:hint="eastAsia" w:ascii="仿宋_GB2312" w:hAnsi="仿宋_GB2312" w:eastAsia="仿宋_GB2312" w:cs="Times New Roman"/>
          <w:b/>
          <w:bCs/>
          <w:sz w:val="32"/>
          <w:u w:val="single"/>
        </w:rPr>
        <w:t>）。</w:t>
      </w:r>
    </w:p>
    <w:p>
      <w:pPr>
        <w:spacing w:line="579" w:lineRule="exact"/>
        <w:ind w:left="1278" w:leftChars="304" w:hanging="640" w:hanging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、经费预算</w:t>
      </w:r>
    </w:p>
    <w:p>
      <w:pPr>
        <w:spacing w:line="579" w:lineRule="exact"/>
        <w:ind w:firstLine="640" w:firstLineChars="200"/>
        <w:rPr>
          <w:rFonts w:ascii="仿宋_GB2312" w:hAnsi="仿宋_GB2312" w:eastAsia="仿宋_GB2312" w:cs="Times New Roman"/>
          <w:sz w:val="32"/>
        </w:rPr>
      </w:pPr>
      <w:r>
        <w:rPr>
          <w:rFonts w:hint="eastAsia" w:ascii="仿宋_GB2312" w:hAnsi="仿宋_GB2312" w:eastAsia="仿宋_GB2312" w:cs="Times New Roman"/>
          <w:sz w:val="32"/>
        </w:rPr>
        <w:t>按照研究实际需要编报</w:t>
      </w:r>
      <w:r>
        <w:rPr>
          <w:rFonts w:hint="eastAsia" w:ascii="仿宋_GB2312" w:hAnsi="仿宋_GB2312" w:eastAsia="仿宋_GB2312" w:cs="Times New Roman"/>
          <w:b/>
          <w:bCs/>
          <w:sz w:val="32"/>
          <w:u w:val="single"/>
          <w:lang w:eastAsia="zh-Hans"/>
        </w:rPr>
        <w:t>项目</w:t>
      </w:r>
      <w:r>
        <w:rPr>
          <w:rFonts w:hint="eastAsia" w:ascii="仿宋_GB2312" w:hAnsi="仿宋_GB2312" w:eastAsia="仿宋_GB2312" w:cs="Times New Roman"/>
          <w:b/>
          <w:bCs/>
          <w:sz w:val="32"/>
          <w:u w:val="single"/>
        </w:rPr>
        <w:t>预算表（附件</w:t>
      </w:r>
      <w:r>
        <w:rPr>
          <w:rFonts w:hint="eastAsia" w:ascii="仿宋_GB2312" w:hAnsi="仿宋_GB2312" w:eastAsia="仿宋_GB2312" w:cs="Times New Roman"/>
          <w:b/>
          <w:bCs/>
          <w:sz w:val="32"/>
          <w:u w:val="single"/>
          <w:lang w:val="en-US" w:eastAsia="zh-CN"/>
        </w:rPr>
        <w:t>8</w:t>
      </w:r>
      <w:r>
        <w:rPr>
          <w:rFonts w:hint="eastAsia" w:ascii="仿宋_GB2312" w:hAnsi="仿宋_GB2312" w:eastAsia="仿宋_GB2312" w:cs="Times New Roman"/>
          <w:b/>
          <w:bCs/>
          <w:sz w:val="32"/>
          <w:u w:val="single"/>
        </w:rPr>
        <w:t>）</w:t>
      </w:r>
      <w:r>
        <w:rPr>
          <w:rFonts w:hint="eastAsia" w:ascii="仿宋_GB2312" w:hAnsi="仿宋_GB2312" w:eastAsia="仿宋_GB2312" w:cs="Times New Roman"/>
          <w:sz w:val="32"/>
        </w:rPr>
        <w:t>和</w:t>
      </w:r>
      <w:r>
        <w:rPr>
          <w:rFonts w:hint="eastAsia" w:ascii="仿宋_GB2312" w:hAnsi="仿宋_GB2312" w:eastAsia="仿宋_GB2312" w:cs="Times New Roman"/>
          <w:b/>
          <w:bCs/>
          <w:sz w:val="32"/>
          <w:u w:val="single"/>
          <w:lang w:eastAsia="zh-Hans"/>
        </w:rPr>
        <w:t>项目</w:t>
      </w:r>
      <w:r>
        <w:rPr>
          <w:rFonts w:hint="eastAsia" w:ascii="仿宋_GB2312" w:hAnsi="仿宋_GB2312" w:eastAsia="仿宋_GB2312" w:cs="Times New Roman"/>
          <w:b/>
          <w:bCs/>
          <w:sz w:val="32"/>
          <w:u w:val="single"/>
        </w:rPr>
        <w:t>预算说明书（附件</w:t>
      </w:r>
      <w:r>
        <w:rPr>
          <w:rFonts w:hint="eastAsia" w:ascii="仿宋_GB2312" w:hAnsi="仿宋_GB2312" w:eastAsia="仿宋_GB2312" w:cs="Times New Roman"/>
          <w:b/>
          <w:bCs/>
          <w:sz w:val="32"/>
          <w:u w:val="single"/>
          <w:lang w:val="en-US" w:eastAsia="zh-CN"/>
        </w:rPr>
        <w:t>9</w:t>
      </w:r>
      <w:r>
        <w:rPr>
          <w:rFonts w:hint="eastAsia" w:ascii="仿宋_GB2312" w:hAnsi="仿宋_GB2312" w:eastAsia="仿宋_GB2312" w:cs="Times New Roman"/>
          <w:b/>
          <w:bCs/>
          <w:sz w:val="32"/>
          <w:u w:val="single"/>
        </w:rPr>
        <w:t>）</w:t>
      </w:r>
      <w:r>
        <w:rPr>
          <w:rFonts w:hint="eastAsia" w:ascii="仿宋_GB2312" w:hAnsi="仿宋_GB2312" w:eastAsia="仿宋_GB2312" w:cs="Times New Roman"/>
          <w:sz w:val="32"/>
        </w:rPr>
        <w:t>，项目投资包括直接费用和间接费用，需分科目、分阶段，分别列出政府支持资金、自筹资金的预算情况。</w:t>
      </w:r>
    </w:p>
    <w:p>
      <w:pPr>
        <w:spacing w:line="579" w:lineRule="exact"/>
        <w:ind w:firstLine="642" w:firstLineChars="200"/>
        <w:rPr>
          <w:rFonts w:ascii="仿宋_GB2312" w:hAnsi="仿宋_GB2312" w:eastAsia="仿宋_GB2312" w:cs="Times New Roman"/>
          <w:b/>
          <w:bCs/>
          <w:sz w:val="32"/>
        </w:rPr>
      </w:pPr>
      <w:r>
        <w:rPr>
          <w:rFonts w:hint="eastAsia" w:ascii="仿宋_GB2312" w:hAnsi="仿宋_GB2312" w:eastAsia="仿宋_GB2312" w:cs="Times New Roman"/>
          <w:b/>
          <w:bCs/>
          <w:sz w:val="32"/>
        </w:rPr>
        <w:t>（一）直接费用</w:t>
      </w:r>
    </w:p>
    <w:p>
      <w:pPr>
        <w:spacing w:line="579" w:lineRule="exact"/>
        <w:ind w:firstLine="642" w:firstLineChars="200"/>
        <w:rPr>
          <w:rFonts w:ascii="仿宋_GB2312" w:hAnsi="仿宋_GB2312" w:eastAsia="仿宋_GB2312" w:cs="Times New Roman"/>
          <w:sz w:val="32"/>
        </w:rPr>
      </w:pPr>
      <w:r>
        <w:rPr>
          <w:rFonts w:hint="eastAsia" w:ascii="仿宋_GB2312" w:hAnsi="仿宋_GB2312" w:eastAsia="仿宋_GB2312" w:cs="Times New Roman"/>
          <w:b/>
          <w:bCs/>
          <w:sz w:val="32"/>
          <w:lang w:val="en-US" w:eastAsia="zh-CN"/>
        </w:rPr>
        <w:t>1.</w:t>
      </w:r>
      <w:r>
        <w:rPr>
          <w:rFonts w:hint="eastAsia" w:ascii="仿宋_GB2312" w:hAnsi="仿宋_GB2312" w:eastAsia="仿宋_GB2312" w:cs="Times New Roman"/>
          <w:b/>
          <w:bCs/>
          <w:sz w:val="32"/>
        </w:rPr>
        <w:t>设备费</w:t>
      </w:r>
      <w:r>
        <w:rPr>
          <w:rFonts w:hint="eastAsia" w:ascii="仿宋_GB2312" w:hAnsi="仿宋_GB2312" w:eastAsia="仿宋_GB2312" w:cs="Times New Roman"/>
          <w:sz w:val="32"/>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spacing w:line="579" w:lineRule="exact"/>
        <w:ind w:firstLine="642" w:firstLineChars="200"/>
        <w:rPr>
          <w:rFonts w:ascii="仿宋_GB2312" w:hAnsi="仿宋_GB2312" w:eastAsia="仿宋_GB2312" w:cs="Times New Roman"/>
          <w:sz w:val="32"/>
        </w:rPr>
      </w:pPr>
      <w:r>
        <w:rPr>
          <w:rFonts w:hint="eastAsia" w:ascii="仿宋_GB2312" w:hAnsi="仿宋_GB2312" w:eastAsia="仿宋_GB2312" w:cs="Times New Roman"/>
          <w:b/>
          <w:bCs/>
          <w:sz w:val="32"/>
          <w:lang w:val="en-US" w:eastAsia="zh-CN"/>
        </w:rPr>
        <w:t>2.</w:t>
      </w:r>
      <w:r>
        <w:rPr>
          <w:rFonts w:hint="eastAsia" w:ascii="仿宋_GB2312" w:hAnsi="仿宋_GB2312" w:eastAsia="仿宋_GB2312" w:cs="Times New Roman"/>
          <w:b/>
          <w:bCs/>
          <w:sz w:val="32"/>
        </w:rPr>
        <w:t>业务费</w:t>
      </w:r>
      <w:r>
        <w:rPr>
          <w:rFonts w:hint="eastAsia" w:ascii="仿宋_GB2312" w:hAnsi="仿宋_GB2312" w:eastAsia="仿宋_GB2312" w:cs="Times New Roman"/>
          <w:sz w:val="32"/>
        </w:rPr>
        <w:t>，是指项目实施过程中消耗的各种材料、辅助材料等低值易耗品的采购、运输、装卸、整理等费用，发生的测试化验加工、燃料动力、出版</w:t>
      </w:r>
      <w:r>
        <w:rPr>
          <w:rFonts w:ascii="仿宋_GB2312" w:hAnsi="仿宋_GB2312" w:eastAsia="仿宋_GB2312" w:cs="Times New Roman"/>
          <w:sz w:val="32"/>
        </w:rPr>
        <w:t>/文献/信息传播/知识产权事务、会议/差旅/国际合作交流等费用，以及其他相关支出。</w:t>
      </w:r>
    </w:p>
    <w:p>
      <w:pPr>
        <w:spacing w:line="579" w:lineRule="exact"/>
        <w:ind w:firstLine="642" w:firstLineChars="200"/>
        <w:rPr>
          <w:rFonts w:ascii="仿宋_GB2312" w:hAnsi="仿宋_GB2312" w:eastAsia="仿宋_GB2312" w:cs="Times New Roman"/>
          <w:sz w:val="32"/>
        </w:rPr>
      </w:pPr>
      <w:r>
        <w:rPr>
          <w:rFonts w:hint="eastAsia" w:ascii="仿宋_GB2312" w:hAnsi="仿宋_GB2312" w:eastAsia="仿宋_GB2312" w:cs="Times New Roman"/>
          <w:b/>
          <w:bCs/>
          <w:sz w:val="32"/>
          <w:lang w:val="en-US" w:eastAsia="zh-CN"/>
        </w:rPr>
        <w:t>3.</w:t>
      </w:r>
      <w:r>
        <w:rPr>
          <w:rFonts w:hint="eastAsia" w:ascii="仿宋_GB2312" w:hAnsi="仿宋_GB2312" w:eastAsia="仿宋_GB2312" w:cs="Times New Roman"/>
          <w:b/>
          <w:bCs/>
          <w:sz w:val="32"/>
        </w:rPr>
        <w:t>劳务费</w:t>
      </w:r>
      <w:r>
        <w:rPr>
          <w:rFonts w:hint="eastAsia" w:ascii="仿宋_GB2312" w:hAnsi="仿宋_GB2312" w:eastAsia="仿宋_GB2312" w:cs="Times New Roman"/>
          <w:sz w:val="32"/>
        </w:rPr>
        <w:t>，是指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人劳务费科目列支。支付给临时聘请的咨询专家的费用，不得支付给参与本项目及所属课题研究和管理的相关人员，其管理按照国家有关规定执行）。</w:t>
      </w:r>
    </w:p>
    <w:p>
      <w:pPr>
        <w:spacing w:line="579" w:lineRule="exact"/>
        <w:ind w:firstLine="642" w:firstLineChars="200"/>
        <w:rPr>
          <w:rFonts w:ascii="仿宋_GB2312" w:hAnsi="仿宋_GB2312" w:eastAsia="仿宋_GB2312" w:cs="Times New Roman"/>
          <w:b/>
          <w:sz w:val="32"/>
        </w:rPr>
      </w:pPr>
      <w:r>
        <w:rPr>
          <w:rFonts w:hint="eastAsia" w:ascii="仿宋_GB2312" w:hAnsi="仿宋_GB2312" w:eastAsia="仿宋_GB2312" w:cs="Times New Roman"/>
          <w:b/>
          <w:sz w:val="32"/>
        </w:rPr>
        <w:t>（二）间接费用</w:t>
      </w:r>
    </w:p>
    <w:p>
      <w:pPr>
        <w:spacing w:line="579" w:lineRule="exact"/>
        <w:ind w:firstLine="640" w:firstLineChars="200"/>
        <w:rPr>
          <w:rFonts w:ascii="仿宋_GB2312" w:hAnsi="仿宋_GB2312" w:eastAsia="仿宋_GB2312" w:cs="Times New Roman"/>
          <w:sz w:val="32"/>
        </w:rPr>
      </w:pPr>
      <w:r>
        <w:rPr>
          <w:rFonts w:hint="eastAsia" w:ascii="仿宋_GB2312" w:hAnsi="仿宋_GB2312" w:eastAsia="仿宋_GB2312" w:cs="Times New Roman"/>
          <w:sz w:val="32"/>
        </w:rPr>
        <w:t>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pPr>
        <w:spacing w:line="264" w:lineRule="auto"/>
        <w:ind w:firstLine="640" w:firstLineChars="200"/>
        <w:rPr>
          <w:rFonts w:ascii="Times New Roman" w:hAnsi="Times New Roman" w:eastAsia="黑体" w:cs="Times New Roman"/>
          <w:b w:val="0"/>
          <w:bCs/>
          <w:sz w:val="32"/>
          <w:szCs w:val="32"/>
        </w:rPr>
      </w:pPr>
      <w:r>
        <w:rPr>
          <w:rFonts w:hint="eastAsia" w:ascii="仿宋_GB2312" w:hAnsi="仿宋_GB2312" w:eastAsia="仿宋_GB2312" w:cs="Times New Roman"/>
          <w:sz w:val="32"/>
        </w:rPr>
        <w:t>间接费用一般按照不超过项目直接费用扣除设备购置费后20%（数字经济及高端软件开发类项目为40%）核定，并实行总额控制，项目实施期内不得调增。</w:t>
      </w:r>
    </w:p>
    <w:p>
      <w:pPr>
        <w:spacing w:line="264" w:lineRule="auto"/>
        <w:ind w:firstLine="640" w:firstLineChars="200"/>
        <w:rPr>
          <w:rFonts w:hint="eastAsia"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eastAsia="zh-CN"/>
        </w:rPr>
        <w:t>六</w:t>
      </w:r>
      <w:r>
        <w:rPr>
          <w:rFonts w:hint="eastAsia" w:ascii="Times New Roman" w:hAnsi="Times New Roman" w:eastAsia="黑体" w:cs="Times New Roman"/>
          <w:b w:val="0"/>
          <w:bCs/>
          <w:sz w:val="32"/>
          <w:szCs w:val="32"/>
        </w:rPr>
        <w:t>、管理机制</w:t>
      </w:r>
    </w:p>
    <w:p>
      <w:pPr>
        <w:spacing w:line="579" w:lineRule="exact"/>
        <w:ind w:left="1060" w:leftChars="200" w:hanging="640" w:hangingChars="200"/>
        <w:rPr>
          <w:rFonts w:ascii="仿宋_GB2312" w:hAnsi="仿宋_GB2312" w:eastAsia="仿宋_GB2312" w:cs="Times New Roman"/>
          <w:sz w:val="32"/>
        </w:rPr>
      </w:pPr>
      <w:r>
        <w:rPr>
          <w:rFonts w:hint="eastAsia" w:ascii="仿宋_GB2312" w:hAnsi="仿宋_GB2312" w:eastAsia="仿宋_GB2312" w:cs="Times New Roman"/>
          <w:sz w:val="32"/>
        </w:rPr>
        <w:t>项目实施期的管理举措等。</w:t>
      </w:r>
    </w:p>
    <w:p>
      <w:pPr>
        <w:spacing w:line="264" w:lineRule="auto"/>
        <w:ind w:firstLine="640" w:firstLineChars="200"/>
        <w:rPr>
          <w:rFonts w:hint="eastAsia"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eastAsia="zh-CN"/>
        </w:rPr>
        <w:t>七</w:t>
      </w:r>
      <w:r>
        <w:rPr>
          <w:rFonts w:hint="eastAsia" w:ascii="Times New Roman" w:hAnsi="Times New Roman" w:eastAsia="黑体" w:cs="Times New Roman"/>
          <w:b w:val="0"/>
          <w:bCs/>
          <w:sz w:val="32"/>
          <w:szCs w:val="32"/>
        </w:rPr>
        <w:t>、风险分析</w:t>
      </w:r>
    </w:p>
    <w:p>
      <w:pPr>
        <w:spacing w:line="264" w:lineRule="auto"/>
        <w:ind w:firstLine="640" w:firstLineChars="200"/>
        <w:rPr>
          <w:rFonts w:ascii="Times New Roman" w:hAnsi="Times New Roman" w:eastAsia="黑体" w:cs="Times New Roman"/>
          <w:b w:val="0"/>
          <w:bCs/>
          <w:sz w:val="32"/>
          <w:szCs w:val="32"/>
        </w:rPr>
      </w:pPr>
      <w:r>
        <w:rPr>
          <w:rFonts w:hint="eastAsia" w:ascii="仿宋_GB2312" w:hAnsi="仿宋_GB2312" w:eastAsia="仿宋_GB2312" w:cs="Times New Roman"/>
          <w:sz w:val="32"/>
        </w:rPr>
        <w:t>主要包括项目实施存在的科技技术风险、国际政治外贸风险、社会稳定风险等，以及应对分析和预案。</w:t>
      </w:r>
    </w:p>
    <w:p>
      <w:pPr>
        <w:spacing w:line="264" w:lineRule="auto"/>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b w:val="0"/>
          <w:bCs/>
          <w:sz w:val="32"/>
          <w:szCs w:val="32"/>
        </w:rPr>
        <w:t>八</w:t>
      </w:r>
      <w:r>
        <w:rPr>
          <w:rFonts w:ascii="Times New Roman" w:hAnsi="Times New Roman" w:eastAsia="黑体" w:cs="Times New Roman"/>
          <w:b w:val="0"/>
          <w:bCs/>
          <w:sz w:val="32"/>
          <w:szCs w:val="32"/>
        </w:rPr>
        <w:t>、其他相关</w:t>
      </w:r>
      <w:r>
        <w:rPr>
          <w:rFonts w:hint="default" w:ascii="Times New Roman" w:hAnsi="Times New Roman" w:eastAsia="黑体" w:cs="Times New Roman"/>
          <w:b w:val="0"/>
          <w:bCs/>
          <w:sz w:val="32"/>
          <w:szCs w:val="32"/>
        </w:rPr>
        <w:t>事项</w:t>
      </w:r>
      <w:r>
        <w:rPr>
          <w:rFonts w:ascii="Times New Roman" w:hAnsi="Times New Roman" w:eastAsia="黑体" w:cs="Times New Roman"/>
          <w:b w:val="0"/>
          <w:bCs/>
          <w:sz w:val="32"/>
          <w:szCs w:val="32"/>
        </w:rPr>
        <w:t>说明</w:t>
      </w:r>
    </w:p>
    <w:p>
      <w:pPr>
        <w:spacing w:line="264"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注：任务书篇幅不宜过长，原则上</w:t>
      </w:r>
      <w:r>
        <w:rPr>
          <w:rFonts w:hint="eastAsia" w:ascii="Times New Roman" w:hAnsi="Times New Roman" w:eastAsia="仿宋_GB2312" w:cs="Times New Roman"/>
          <w:sz w:val="32"/>
          <w:szCs w:val="32"/>
          <w:lang w:eastAsia="zh-CN"/>
        </w:rPr>
        <w:t>正文</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000字，重点讲述攻关目标及计划部分；</w:t>
      </w:r>
      <w:r>
        <w:rPr>
          <w:rFonts w:hint="eastAsia" w:ascii="Times New Roman" w:hAnsi="Times New Roman" w:eastAsia="仿宋_GB2312" w:cs="Times New Roman"/>
          <w:sz w:val="32"/>
          <w:szCs w:val="32"/>
          <w:lang w:eastAsia="zh-CN"/>
        </w:rPr>
        <w:t>若</w:t>
      </w:r>
      <w:r>
        <w:rPr>
          <w:rFonts w:ascii="Times New Roman" w:hAnsi="Times New Roman" w:eastAsia="仿宋_GB2312" w:cs="Times New Roman"/>
          <w:sz w:val="32"/>
          <w:szCs w:val="32"/>
        </w:rPr>
        <w:t>申报多个领域，请按此模板分别填</w:t>
      </w:r>
      <w:r>
        <w:rPr>
          <w:rFonts w:hint="default" w:ascii="Times New Roman" w:hAnsi="Times New Roman" w:eastAsia="仿宋_GB2312" w:cs="Times New Roman"/>
          <w:sz w:val="32"/>
          <w:szCs w:val="32"/>
        </w:rPr>
        <w:t>报</w:t>
      </w:r>
      <w:r>
        <w:rPr>
          <w:rFonts w:ascii="Times New Roman" w:hAnsi="Times New Roman" w:eastAsia="仿宋_GB2312" w:cs="Times New Roman"/>
          <w:sz w:val="32"/>
          <w:szCs w:val="32"/>
        </w:rPr>
        <w:t>任务书。</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长城仿宋">
    <w:altName w:val="仿宋"/>
    <w:panose1 w:val="00000000000000000000"/>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E6913"/>
    <w:rsid w:val="7CEE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keepNext/>
      <w:keepLines/>
      <w:widowControl w:val="0"/>
      <w:spacing w:before="340" w:after="330" w:line="578" w:lineRule="atLeast"/>
      <w:ind w:firstLine="200" w:firstLineChars="200"/>
      <w:jc w:val="both"/>
      <w:outlineLvl w:val="0"/>
    </w:pPr>
    <w:rPr>
      <w:rFonts w:asciiTheme="minorHAnsi" w:hAnsiTheme="minorHAnsi" w:eastAsiaTheme="minorEastAsia" w:cstheme="minorBidi"/>
      <w:b/>
      <w:bCs/>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文档正文"/>
    <w:qFormat/>
    <w:uiPriority w:val="99"/>
    <w:pPr>
      <w:widowControl w:val="0"/>
      <w:adjustRightInd w:val="0"/>
      <w:spacing w:line="480" w:lineRule="atLeast"/>
      <w:ind w:firstLine="567" w:firstLineChars="200"/>
      <w:jc w:val="both"/>
      <w:textAlignment w:val="baseline"/>
    </w:pPr>
    <w:rPr>
      <w:rFonts w:ascii="长城仿宋" w:hAnsiTheme="minorHAnsi" w:eastAsiaTheme="minorEastAsia" w:cstheme="minorBidi"/>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2022-10-31T14:39:00Z</dcterms:created>
  <dc:creator>caoli</dc:creator>
  <cp:lastModifiedBy>caoli</cp:lastModifiedBy>
  <dcterms:modified xsi:type="dcterms:W3CDTF">2022-10-31T14:40:36Z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