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40" w:lineRule="exact"/>
        <w:jc w:val="center"/>
        <w:rPr>
          <w:rFonts w:hint="eastAsia" w:ascii="方正小标宋简体" w:hAnsi="方正小标宋简体" w:eastAsia="方正小标宋简体" w:cs="方正小标宋简体"/>
          <w:b w:val="0"/>
          <w:bCs/>
          <w:sz w:val="44"/>
          <w:szCs w:val="44"/>
        </w:rPr>
      </w:pPr>
      <w:bookmarkStart w:id="0" w:name="_GoBack"/>
      <w:r>
        <w:rPr>
          <w:rFonts w:hint="eastAsia" w:ascii="方正小标宋简体" w:hAnsi="方正小标宋简体" w:eastAsia="方正小标宋简体" w:cs="方正小标宋简体"/>
          <w:b w:val="0"/>
          <w:bCs/>
          <w:sz w:val="44"/>
          <w:szCs w:val="44"/>
        </w:rPr>
        <w:t>福田区城市管理和综合执法局关于深圳市</w:t>
      </w:r>
    </w:p>
    <w:p>
      <w:pPr>
        <w:pStyle w:val="6"/>
        <w:spacing w:line="5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福田区第八届人民代表大会第三次会议</w:t>
      </w:r>
    </w:p>
    <w:p>
      <w:pPr>
        <w:pStyle w:val="6"/>
        <w:spacing w:line="54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代表建议第20230075号</w:t>
      </w:r>
      <w:r>
        <w:rPr>
          <w:rFonts w:hint="eastAsia" w:ascii="方正小标宋简体" w:hAnsi="方正小标宋简体" w:eastAsia="方正小标宋简体" w:cs="方正小标宋简体"/>
          <w:b w:val="0"/>
          <w:bCs/>
          <w:sz w:val="44"/>
          <w:szCs w:val="44"/>
          <w:lang w:eastAsia="zh-CN"/>
        </w:rPr>
        <w:t>的答复</w:t>
      </w:r>
    </w:p>
    <w:p>
      <w:pPr>
        <w:pStyle w:val="6"/>
        <w:spacing w:line="540" w:lineRule="exact"/>
        <w:rPr>
          <w:rFonts w:hint="eastAsia" w:ascii="宋体" w:hAnsi="宋体" w:eastAsia="宋体" w:cs="Times New Roman"/>
          <w:sz w:val="44"/>
          <w:szCs w:val="44"/>
        </w:rPr>
      </w:pPr>
    </w:p>
    <w:p>
      <w:pPr>
        <w:pStyle w:val="6"/>
        <w:spacing w:line="540" w:lineRule="exact"/>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尊敬的杨程程（等</w:t>
      </w:r>
      <w:r>
        <w:rPr>
          <w:rFonts w:hint="eastAsia" w:ascii="仿宋_GB2312" w:hAnsi="Times New Roman" w:eastAsia="仿宋_GB2312" w:cs="Times New Roman"/>
          <w:sz w:val="32"/>
          <w:szCs w:val="32"/>
          <w:lang w:val="en-US" w:eastAsia="zh-CN"/>
        </w:rPr>
        <w:t>14名</w:t>
      </w:r>
      <w:r>
        <w:rPr>
          <w:rFonts w:hint="eastAsia" w:ascii="仿宋_GB2312" w:hAnsi="Times New Roman" w:eastAsia="仿宋_GB2312" w:cs="Times New Roman"/>
          <w:sz w:val="32"/>
          <w:szCs w:val="32"/>
        </w:rPr>
        <w:t>）代表：</w:t>
      </w:r>
    </w:p>
    <w:p>
      <w:pPr>
        <w:pStyle w:val="7"/>
        <w:spacing w:line="540" w:lineRule="exact"/>
        <w:ind w:firstLine="640" w:firstLineChars="200"/>
        <w:rPr>
          <w:rFonts w:hint="eastAsia"/>
        </w:rPr>
      </w:pPr>
      <w:r>
        <w:rPr>
          <w:rFonts w:hint="eastAsia"/>
        </w:rPr>
        <w:t>您提出的</w:t>
      </w:r>
      <w:r>
        <w:rPr>
          <w:rFonts w:hint="eastAsia"/>
          <w:lang w:eastAsia="zh-CN"/>
        </w:rPr>
        <w:t>《</w:t>
      </w:r>
      <w:r>
        <w:rPr>
          <w:rFonts w:hint="eastAsia"/>
        </w:rPr>
        <w:t>关于采取积极有效措施，加快建设福田区大型垃圾转运站的建议</w:t>
      </w:r>
      <w:r>
        <w:rPr>
          <w:rFonts w:hint="eastAsia"/>
          <w:lang w:eastAsia="zh-CN"/>
        </w:rPr>
        <w:t>》</w:t>
      </w:r>
      <w:r>
        <w:rPr>
          <w:rFonts w:hint="eastAsia"/>
        </w:rPr>
        <w:t>收悉。感谢您对我区城市管理工作的支持和关心，现将办理情况答复如下：</w:t>
      </w:r>
    </w:p>
    <w:p>
      <w:pPr>
        <w:pStyle w:val="7"/>
        <w:spacing w:line="540" w:lineRule="exact"/>
        <w:ind w:firstLine="640" w:firstLineChars="200"/>
        <w:rPr>
          <w:rFonts w:hint="eastAsia" w:cs="Times New Roman"/>
        </w:rPr>
      </w:pPr>
      <w:r>
        <w:rPr>
          <w:rFonts w:hint="eastAsia"/>
          <w:color w:val="000000"/>
        </w:rPr>
        <w:t xml:space="preserve">  </w:t>
      </w:r>
      <w:r>
        <w:rPr>
          <w:rFonts w:hint="eastAsia" w:ascii="黑体" w:hAnsi="黑体" w:eastAsia="黑体" w:cs="Times New Roman"/>
        </w:rPr>
        <w:t>一、针对“</w:t>
      </w:r>
      <w:r>
        <w:rPr>
          <w:rFonts w:hint="eastAsia" w:ascii="黑体" w:hAnsi="黑体" w:eastAsia="黑体" w:cs="Times New Roman"/>
          <w:lang w:eastAsia="zh-CN"/>
        </w:rPr>
        <w:t>配套转运系统模式变革</w:t>
      </w:r>
      <w:r>
        <w:rPr>
          <w:rFonts w:hint="eastAsia" w:ascii="黑体" w:hAnsi="黑体" w:eastAsia="黑体" w:cs="Times New Roman"/>
        </w:rPr>
        <w:t>”的建议</w:t>
      </w:r>
    </w:p>
    <w:p>
      <w:pPr>
        <w:pStyle w:val="7"/>
        <w:spacing w:line="540" w:lineRule="exact"/>
        <w:ind w:firstLine="640" w:firstLineChars="200"/>
        <w:rPr>
          <w:rFonts w:hint="eastAsia" w:hAnsi="宋体" w:cs="Times New Roman"/>
          <w:lang w:eastAsia="zh-CN"/>
        </w:rPr>
      </w:pPr>
      <w:r>
        <w:rPr>
          <w:rFonts w:hint="eastAsia" w:hAnsi="宋体" w:cs="Times New Roman"/>
          <w:lang w:eastAsia="zh-CN"/>
        </w:rPr>
        <w:t>鉴于</w:t>
      </w:r>
      <w:r>
        <w:rPr>
          <w:rFonts w:hint="eastAsia" w:hAnsi="宋体" w:cs="Times New Roman"/>
        </w:rPr>
        <w:t>下坪填埋场封场后，福田区内垃圾只能由现有的中小型转运车辆（载重能力多在12t和15t）分散改运至南山妈湾电厂、宝安老虎坑电厂以及在建龙岗东部电厂进行处理，单程往返运输距离在60km</w:t>
      </w:r>
      <w:r>
        <w:rPr>
          <w:rFonts w:hint="eastAsia" w:cs="Times New Roman"/>
          <w:lang w:val="en-US" w:eastAsia="zh-CN"/>
        </w:rPr>
        <w:t>-</w:t>
      </w:r>
      <w:r>
        <w:rPr>
          <w:rFonts w:hint="eastAsia" w:hAnsi="宋体" w:cs="Times New Roman"/>
        </w:rPr>
        <w:t>120km。随着上述三区各厂处理能力日趋饱和，未来福田区生活垃圾末端处理处置甚至需要依托位置更远的深汕环境园区（单程往返陆运距离290km</w:t>
      </w:r>
      <w:r>
        <w:rPr>
          <w:rFonts w:hint="eastAsia" w:cs="Times New Roman"/>
          <w:lang w:val="en-US" w:eastAsia="zh-CN"/>
        </w:rPr>
        <w:t>-</w:t>
      </w:r>
      <w:r>
        <w:rPr>
          <w:rFonts w:hint="eastAsia" w:hAnsi="宋体" w:cs="Times New Roman"/>
        </w:rPr>
        <w:t>330km）</w:t>
      </w:r>
      <w:r>
        <w:rPr>
          <w:rFonts w:hint="eastAsia" w:hAnsi="宋体" w:cs="Times New Roman"/>
          <w:lang w:eastAsia="zh-CN"/>
        </w:rPr>
        <w:t>，而</w:t>
      </w:r>
      <w:r>
        <w:rPr>
          <w:rFonts w:hint="eastAsia" w:hAnsi="宋体" w:cs="Times New Roman"/>
        </w:rPr>
        <w:t>配套转运系统的模式变革需求</w:t>
      </w:r>
      <w:r>
        <w:rPr>
          <w:rFonts w:hint="eastAsia" w:hAnsi="宋体" w:cs="Times New Roman"/>
          <w:lang w:eastAsia="zh-CN"/>
        </w:rPr>
        <w:t>，正好能解决我区面临的尴尬处境。为此，我局将进一步推进大型垃圾转运站内配套建设3200t/d大型二次垃圾转运站，引进先进、可靠的工艺形式，对垃圾进行二次压缩装箱，全面更换承载力大、密闭性好、经久耐用的运载车辆，提高转运效率，同时</w:t>
      </w:r>
      <w:r>
        <w:rPr>
          <w:rFonts w:hint="eastAsia" w:ascii="仿宋_GB2312" w:eastAsia="仿宋_GB2312"/>
          <w:sz w:val="32"/>
          <w:szCs w:val="32"/>
        </w:rPr>
        <w:t>减小末端渗滤液处理成本</w:t>
      </w:r>
      <w:r>
        <w:rPr>
          <w:rFonts w:hint="eastAsia" w:hAnsi="宋体" w:cs="Times New Roman"/>
          <w:lang w:eastAsia="zh-CN"/>
        </w:rPr>
        <w:t>。</w:t>
      </w:r>
    </w:p>
    <w:p>
      <w:pPr>
        <w:pStyle w:val="7"/>
        <w:spacing w:line="540" w:lineRule="exact"/>
        <w:ind w:firstLine="640" w:firstLineChars="200"/>
        <w:rPr>
          <w:rFonts w:hint="eastAsia" w:ascii="黑体" w:hAnsi="黑体" w:eastAsia="黑体" w:cs="Times New Roman"/>
        </w:rPr>
      </w:pPr>
      <w:r>
        <w:rPr>
          <w:rFonts w:hint="eastAsia" w:ascii="黑体" w:hAnsi="黑体" w:eastAsia="黑体" w:cs="Times New Roman"/>
        </w:rPr>
        <w:t>二、针对“配套建设环卫车辆充电停车区”的建议</w:t>
      </w:r>
    </w:p>
    <w:p>
      <w:pPr>
        <w:pStyle w:val="7"/>
        <w:spacing w:line="540" w:lineRule="exact"/>
        <w:ind w:firstLine="640" w:firstLineChars="200"/>
        <w:rPr>
          <w:rFonts w:hint="eastAsia" w:cs="Times New Roman"/>
        </w:rPr>
      </w:pPr>
      <w:r>
        <w:rPr>
          <w:rFonts w:hint="eastAsia" w:cs="Times New Roman"/>
          <w:lang w:eastAsia="zh-CN"/>
        </w:rPr>
        <w:t>为响应国家“十四五”的建设发展需求，深入实施“深圳蓝”可持续行动计划，我区近几年大量投入各类电动清扫车、洗扫车、桶装运输车，但由于当前电车充电区域不足，部分大型环卫车辆需跨区充电停放。为进一步解决</w:t>
      </w:r>
      <w:r>
        <w:rPr>
          <w:rFonts w:hint="eastAsia" w:hAnsi="宋体" w:cs="宋体"/>
          <w:kern w:val="0"/>
          <w:sz w:val="32"/>
          <w:szCs w:val="32"/>
          <w:lang w:eastAsia="zh-CN"/>
        </w:rPr>
        <w:t>环卫车辆停车难、充电难的问题，</w:t>
      </w:r>
      <w:r>
        <w:rPr>
          <w:rFonts w:hint="eastAsia" w:cs="Times New Roman"/>
          <w:lang w:eastAsia="zh-CN"/>
        </w:rPr>
        <w:t>我局将会同</w:t>
      </w:r>
      <w:r>
        <w:rPr>
          <w:rFonts w:hint="eastAsia" w:ascii="仿宋_GB2312" w:hAnsi="宋体" w:eastAsia="仿宋_GB2312" w:cs="宋体"/>
          <w:kern w:val="0"/>
          <w:sz w:val="32"/>
          <w:szCs w:val="32"/>
          <w:lang w:eastAsia="zh-CN"/>
        </w:rPr>
        <w:t>市规自局福田局</w:t>
      </w:r>
      <w:r>
        <w:rPr>
          <w:rFonts w:hint="eastAsia" w:hAnsi="宋体" w:cs="宋体"/>
          <w:kern w:val="0"/>
          <w:sz w:val="32"/>
          <w:szCs w:val="32"/>
          <w:lang w:eastAsia="zh-CN"/>
        </w:rPr>
        <w:t>加强论证集中建设环卫车辆充电停车区的可行性，同时参考错峰</w:t>
      </w:r>
      <w:r>
        <w:rPr>
          <w:rFonts w:hint="eastAsia" w:cs="宋体"/>
          <w:kern w:val="0"/>
          <w:sz w:val="32"/>
          <w:szCs w:val="32"/>
          <w:lang w:eastAsia="zh-CN"/>
        </w:rPr>
        <w:t>“</w:t>
      </w:r>
      <w:r>
        <w:rPr>
          <w:rFonts w:hint="eastAsia" w:hAnsi="宋体" w:cs="宋体"/>
          <w:kern w:val="0"/>
          <w:sz w:val="32"/>
          <w:szCs w:val="32"/>
          <w:lang w:eastAsia="zh-CN"/>
        </w:rPr>
        <w:t>共享停车</w:t>
      </w:r>
      <w:r>
        <w:rPr>
          <w:rFonts w:hint="eastAsia" w:cs="宋体"/>
          <w:kern w:val="0"/>
          <w:sz w:val="32"/>
          <w:szCs w:val="32"/>
          <w:lang w:eastAsia="zh-CN"/>
        </w:rPr>
        <w:t>”</w:t>
      </w:r>
      <w:r>
        <w:rPr>
          <w:rFonts w:hint="eastAsia" w:hAnsi="宋体" w:cs="宋体"/>
          <w:kern w:val="0"/>
          <w:sz w:val="32"/>
          <w:szCs w:val="32"/>
          <w:lang w:eastAsia="zh-CN"/>
        </w:rPr>
        <w:t>的建议，深入研讨环卫车辆充电停放的最优解决方案，减少车辆跨区充电停放造成能耗浪费。</w:t>
      </w:r>
    </w:p>
    <w:p>
      <w:pPr>
        <w:pStyle w:val="7"/>
        <w:spacing w:line="540" w:lineRule="exact"/>
        <w:ind w:firstLine="640" w:firstLineChars="200"/>
        <w:rPr>
          <w:rFonts w:hint="eastAsia" w:ascii="黑体" w:hAnsi="黑体" w:eastAsia="黑体" w:cs="Times New Roman"/>
        </w:rPr>
      </w:pPr>
      <w:r>
        <w:rPr>
          <w:rFonts w:hint="eastAsia" w:ascii="黑体" w:hAnsi="黑体" w:eastAsia="黑体" w:cs="Times New Roman"/>
        </w:rPr>
        <w:t>三、针对“配套建设综合应急仓库”的建议</w:t>
      </w:r>
    </w:p>
    <w:p>
      <w:pPr>
        <w:pStyle w:val="7"/>
        <w:spacing w:line="540" w:lineRule="exact"/>
        <w:ind w:firstLine="640" w:firstLineChars="200"/>
        <w:rPr>
          <w:rFonts w:hint="eastAsia" w:cs="Times New Roman"/>
        </w:rPr>
      </w:pPr>
      <w:r>
        <w:rPr>
          <w:rFonts w:hint="eastAsia" w:cs="Times New Roman"/>
        </w:rPr>
        <w:t xml:space="preserve">鉴于福田区内地铁综合枢纽较多, </w:t>
      </w:r>
      <w:r>
        <w:rPr>
          <w:rFonts w:hint="eastAsia" w:cs="Times New Roman"/>
          <w:lang w:eastAsia="zh-CN"/>
        </w:rPr>
        <w:t>我局将</w:t>
      </w:r>
      <w:r>
        <w:rPr>
          <w:rFonts w:hint="eastAsia" w:cs="Times New Roman"/>
        </w:rPr>
        <w:t>结合地铁交通枢纽地下空间布局</w:t>
      </w:r>
      <w:r>
        <w:rPr>
          <w:rFonts w:hint="eastAsia" w:cs="Times New Roman"/>
          <w:lang w:eastAsia="zh-CN"/>
        </w:rPr>
        <w:t>，与相关主管部门进行沟通，共同商讨</w:t>
      </w:r>
      <w:r>
        <w:rPr>
          <w:rFonts w:hint="eastAsia" w:cs="Times New Roman"/>
        </w:rPr>
        <w:t>综合应急仓库</w:t>
      </w:r>
      <w:r>
        <w:rPr>
          <w:rFonts w:hint="eastAsia" w:cs="Times New Roman"/>
          <w:lang w:eastAsia="zh-CN"/>
        </w:rPr>
        <w:t>建设方案</w:t>
      </w:r>
      <w:r>
        <w:rPr>
          <w:rFonts w:hint="eastAsia" w:cs="Times New Roman"/>
        </w:rPr>
        <w:t>,提高用地效率。</w:t>
      </w:r>
    </w:p>
    <w:p>
      <w:pPr>
        <w:pStyle w:val="7"/>
        <w:spacing w:line="540" w:lineRule="exact"/>
        <w:ind w:firstLine="640" w:firstLineChars="200"/>
        <w:rPr>
          <w:rFonts w:hint="eastAsia" w:ascii="黑体" w:hAnsi="黑体" w:eastAsia="黑体" w:cs="Times New Roman"/>
        </w:rPr>
      </w:pPr>
      <w:r>
        <w:rPr>
          <w:rFonts w:hint="eastAsia" w:ascii="黑体" w:hAnsi="黑体" w:eastAsia="黑体" w:cs="Times New Roman"/>
          <w:lang w:eastAsia="zh-CN"/>
        </w:rPr>
        <w:t>四</w:t>
      </w:r>
      <w:r>
        <w:rPr>
          <w:rFonts w:hint="eastAsia" w:ascii="黑体" w:hAnsi="黑体" w:eastAsia="黑体" w:cs="Times New Roman"/>
        </w:rPr>
        <w:t>、针对“</w:t>
      </w:r>
      <w:r>
        <w:rPr>
          <w:rFonts w:hint="eastAsia" w:ascii="黑体" w:hAnsi="黑体" w:eastAsia="黑体" w:cs="Times New Roman"/>
          <w:lang w:eastAsia="zh-CN"/>
        </w:rPr>
        <w:t>选址</w:t>
      </w:r>
      <w:r>
        <w:rPr>
          <w:rFonts w:hint="eastAsia" w:ascii="黑体" w:hAnsi="黑体" w:eastAsia="黑体" w:cs="Times New Roman"/>
        </w:rPr>
        <w:t>皇岗北路的梅林山地处”的建议</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firstLine="645" w:firstLineChars="0"/>
        <w:textAlignment w:val="auto"/>
        <w:rPr>
          <w:rFonts w:hint="eastAsia" w:ascii="仿宋_GB2312" w:hAnsi="仿宋_GB2312" w:eastAsia="仿宋_GB2312" w:cs="仿宋_GB2312"/>
          <w:sz w:val="32"/>
          <w:szCs w:val="32"/>
          <w:lang w:val="en-US" w:eastAsia="zh-CN"/>
        </w:rPr>
      </w:pPr>
      <w:r>
        <w:rPr>
          <w:rFonts w:hint="eastAsia" w:ascii="仿宋_GB2312" w:hAnsi="宋体" w:eastAsia="仿宋_GB2312" w:cs="宋体"/>
          <w:kern w:val="0"/>
          <w:sz w:val="32"/>
          <w:szCs w:val="32"/>
          <w:lang w:eastAsia="zh-CN"/>
        </w:rPr>
        <w:t>我局会同市规自局福田局联合编制的《福田区环境卫生设施详细规划(2020-2035)》研究成果中提出大型垃圾转运站初步选址于皇岗北。经深入核查后发现，该选址涉及占用生态公益林地约2.9公顷,受国家林地审批管理规定、林地定额、林长制、生态文明考核及中央环保督察等多重制约因素的影响,皇岗北选址面临较大困难,近期实施可能性较小,我局将会同市规自局福田局继续论证选址方案可行性。</w:t>
      </w:r>
    </w:p>
    <w:p>
      <w:pPr>
        <w:pStyle w:val="6"/>
        <w:spacing w:line="540" w:lineRule="exact"/>
        <w:ind w:firstLine="63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再次感谢您对我区城市管理工作的关心和支持，恳请您继续对城市管理工作多提宝贵意见。</w:t>
      </w:r>
    </w:p>
    <w:p>
      <w:pPr>
        <w:spacing w:line="540" w:lineRule="exact"/>
        <w:rPr>
          <w:rFonts w:hint="eastAsia" w:ascii="仿宋_GB2312" w:hAnsi="Times New Roman" w:eastAsia="仿宋_GB2312" w:cs="Times New Roman"/>
          <w:sz w:val="32"/>
          <w:szCs w:val="32"/>
        </w:rPr>
      </w:pPr>
    </w:p>
    <w:p>
      <w:pPr>
        <w:spacing w:line="540" w:lineRule="exact"/>
        <w:ind w:right="32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深圳市福田区城市管理和综合执法局</w:t>
      </w:r>
    </w:p>
    <w:p>
      <w:pPr>
        <w:spacing w:line="540" w:lineRule="exact"/>
        <w:ind w:right="32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p>
      <w:pPr>
        <w:pStyle w:val="2"/>
        <w:ind w:firstLine="960" w:firstLineChars="300"/>
        <w:rPr>
          <w:rFonts w:hint="eastAsia" w:eastAsia="仿宋_GB2312"/>
          <w:lang w:eastAsia="zh-CN"/>
        </w:rPr>
      </w:pPr>
      <w:r>
        <w:rPr>
          <w:rFonts w:hint="eastAsia" w:ascii="仿宋_GB2312" w:hAnsi="仿宋_GB2312" w:eastAsia="仿宋_GB2312" w:cs="仿宋_GB2312"/>
          <w:sz w:val="32"/>
          <w:szCs w:val="32"/>
          <w:lang w:eastAsia="zh-CN"/>
        </w:rPr>
        <w:t>（联系人：张琪芬</w:t>
      </w:r>
      <w:r>
        <w:rPr>
          <w:rFonts w:hint="eastAsia" w:ascii="仿宋_GB2312" w:hAnsi="仿宋_GB2312" w:eastAsia="仿宋_GB2312" w:cs="仿宋_GB2312"/>
          <w:sz w:val="32"/>
          <w:szCs w:val="32"/>
          <w:lang w:val="en-US" w:eastAsia="zh-CN"/>
        </w:rPr>
        <w:t>，联系电话：83142016</w:t>
      </w:r>
      <w:r>
        <w:rPr>
          <w:rFonts w:hint="eastAsia" w:ascii="仿宋_GB2312" w:hAnsi="仿宋_GB2312" w:eastAsia="仿宋_GB2312" w:cs="仿宋_GB2312"/>
          <w:sz w:val="32"/>
          <w:szCs w:val="32"/>
          <w:lang w:eastAsia="zh-CN"/>
        </w:rPr>
        <w:t>）</w:t>
      </w:r>
    </w:p>
    <w:bookmarkEnd w:id="0"/>
    <w:sectPr>
      <w:footerReference r:id="rId5" w:type="first"/>
      <w:footerReference r:id="rId3" w:type="default"/>
      <w:footerReference r:id="rId4" w:type="even"/>
      <w:pgSz w:w="11906" w:h="16838"/>
      <w:pgMar w:top="2098" w:right="1588" w:bottom="1985" w:left="1588" w:header="851" w:footer="1588"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Arial">
    <w:altName w:val="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rPr>
        <w:rFonts w:ascii="Times New Roman" w:hAnsi="Times New Roman" w:eastAsia="宋体" w:cs="Times New Roman"/>
      </w:rPr>
    </w:pPr>
    <w:r>
      <w:rPr>
        <w:rFonts w:ascii="Times New Roman" w:hAnsi="Times New Roman" w:eastAsia="宋体" w:cs="Times New Roman"/>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BYAAABkcnMvUEsBAhQAFAAAAAgAh07iQGhpgkvTAAAABQEAAA8AAAAAAAAAAQAgAAAAOAAA&#10;AGRycy9kb3ducmV2LnhtbFBLAQIUABQAAAAIAIdO4kBBqCXevgEAAFwDAAAOAAAAAAAAAAEAIAAA&#10;ADgBAABkcnMvZTJvRG9jLnhtbFBLBQYAAAAABgAGAFkBAABoBQAAAAA=&#10;">
              <v:fill on="f" focussize="0,0"/>
              <v:stroke on="f" weight="1.2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rPr>
        <w:rFonts w:ascii="Times New Roman" w:hAnsi="Times New Roman" w:eastAsia="宋体" w:cs="Times New Roman"/>
      </w:rPr>
    </w:pPr>
    <w:r>
      <w:rPr>
        <w:rFonts w:ascii="Times New Roman" w:hAnsi="Times New Roman" w:eastAsia="宋体" w:cs="Times New Roman"/>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BoaYJL0wAAAAUBAAAPAAAAAAAAAAEAIAAAADgAAABk&#10;cnMvZG93bnJldi54bWxQSwECFAAUAAAACACHTuJAuQuBGbwBAABcAwAADgAAAAAAAAABACAAAAA4&#10;AQAAZHJzL2Uyb0RvYy54bWxQSwUGAAAAAAYABgBZAQAAZgUAAAAA&#10;">
              <v:fill on="f" focussize="0,0"/>
              <v:stroke on="f" weight="1.2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Times New Roman" w:hAnsi="Times New Roman" w:eastAsia="宋体" w:cs="Times New Roman"/>
      </w:rPr>
    </w:pPr>
    <w:r>
      <w:rPr>
        <w:rFonts w:ascii="Times New Roman" w:hAnsi="Times New Roman" w:eastAsia="宋体" w:cs="Times New Roman"/>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aGmCS9MAAAAFAQAADwAAAAAAAAABACAAAAA4AAAA&#10;ZHJzL2Rvd25yZXYueG1sUEsBAhQAFAAAAAgAh07iQL359729AQAAXAMAAA4AAAAAAAAAAQAgAAAA&#10;OAEAAGRycy9lMm9Eb2MueG1sUEsFBgAAAAAGAAYAWQEAAGcFAAAAAA==&#10;">
              <v:fill on="f" focussize="0,0"/>
              <v:stroke on="f" weight="1.2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true"/>
  <w:bordersDoNotSurroundFooter w:val="true"/>
  <w:revisionView w:markup="0"/>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E6DAE87"/>
    <w:rsid w:val="0EFF4512"/>
    <w:rsid w:val="477721F8"/>
    <w:rsid w:val="5FEFF8BF"/>
    <w:rsid w:val="5FFDD55C"/>
    <w:rsid w:val="6B6FD648"/>
    <w:rsid w:val="6DFD82D6"/>
    <w:rsid w:val="7D7B0041"/>
    <w:rsid w:val="7DAEB2E3"/>
    <w:rsid w:val="7EE92CB6"/>
    <w:rsid w:val="BFDF94EB"/>
    <w:rsid w:val="C9FE9FB6"/>
    <w:rsid w:val="E7E72CF7"/>
    <w:rsid w:val="E7FF8DB6"/>
    <w:rsid w:val="EE6DAE87"/>
    <w:rsid w:val="F73FEB9E"/>
    <w:rsid w:val="F7FB08DF"/>
    <w:rsid w:val="FBF72DB5"/>
    <w:rsid w:val="FBFBCF2F"/>
    <w:rsid w:val="FC2EF087"/>
    <w:rsid w:val="FD7F4EC4"/>
    <w:rsid w:val="FFA40F79"/>
    <w:rsid w:val="FFB73C81"/>
    <w:rsid w:val="FFCF7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customStyle="1" w:styleId="6">
    <w:name w:val="p0"/>
    <w:qFormat/>
    <w:uiPriority w:val="0"/>
    <w:pPr>
      <w:widowControl/>
      <w:jc w:val="both"/>
    </w:pPr>
    <w:rPr>
      <w:rFonts w:ascii="Times New Roman" w:hAnsi="Times New Roman" w:eastAsia="宋体" w:cs="Times New Roman"/>
      <w:kern w:val="0"/>
      <w:sz w:val="21"/>
      <w:szCs w:val="21"/>
      <w:lang w:val="en-US" w:eastAsia="zh-CN" w:bidi="ar-SA"/>
    </w:rPr>
  </w:style>
  <w:style w:type="paragraph" w:customStyle="1" w:styleId="7">
    <w:name w:val="p17"/>
    <w:qFormat/>
    <w:uiPriority w:val="0"/>
    <w:pPr>
      <w:widowControl/>
      <w:ind w:firstLine="630"/>
      <w:jc w:val="both"/>
    </w:pPr>
    <w:rPr>
      <w:rFonts w:ascii="仿宋_GB2312" w:hAnsi="宋体" w:eastAsia="仿宋_GB2312" w:cs="宋体"/>
      <w:kern w:val="0"/>
      <w:sz w:val="32"/>
      <w:szCs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2023-04-30T08:55:00Z</dcterms:created>
  <dc:creator>薛梦莹</dc:creator>
  <cp:lastModifiedBy>李心怡</cp:lastModifiedBy>
  <dcterms:modified xsi:type="dcterms:W3CDTF">2023-06-16T16:58:55Z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