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44"/>
          <w:szCs w:val="44"/>
          <w:highlight w:val="none"/>
        </w:rPr>
      </w:pPr>
      <w:bookmarkStart w:id="0" w:name="_GoBack"/>
      <w:r>
        <w:rPr>
          <w:rFonts w:hint="eastAsia" w:ascii="方正小标宋简体" w:hAnsi="仿宋" w:eastAsia="方正小标宋简体"/>
          <w:sz w:val="44"/>
          <w:szCs w:val="44"/>
          <w:highlight w:val="none"/>
        </w:rPr>
        <w:t>福田区城市管理和综合执法局关于深圳市</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福田区第八届人民代表大会第三次会议</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方正小标宋简体" w:hAnsi="仿宋" w:eastAsia="方正小标宋简体"/>
          <w:sz w:val="44"/>
          <w:szCs w:val="44"/>
          <w:highlight w:val="none"/>
        </w:rPr>
      </w:pPr>
      <w:r>
        <w:rPr>
          <w:rFonts w:hint="eastAsia" w:ascii="方正小标宋简体" w:hAnsi="仿宋" w:eastAsia="方正小标宋简体"/>
          <w:sz w:val="44"/>
          <w:szCs w:val="44"/>
          <w:highlight w:val="none"/>
        </w:rPr>
        <w:t>代表建议第2023</w:t>
      </w:r>
      <w:r>
        <w:rPr>
          <w:rFonts w:hint="eastAsia" w:ascii="方正小标宋简体" w:hAnsi="仿宋" w:eastAsia="方正小标宋简体"/>
          <w:sz w:val="44"/>
          <w:szCs w:val="44"/>
          <w:highlight w:val="none"/>
          <w:lang w:val="en-US" w:eastAsia="zh-CN"/>
        </w:rPr>
        <w:t>117</w:t>
      </w:r>
      <w:r>
        <w:rPr>
          <w:rFonts w:hint="eastAsia" w:ascii="方正小标宋简体" w:hAnsi="仿宋" w:eastAsia="方正小标宋简体"/>
          <w:sz w:val="44"/>
          <w:szCs w:val="44"/>
          <w:highlight w:val="none"/>
        </w:rPr>
        <w:t>号的答复</w:t>
      </w:r>
    </w:p>
    <w:p>
      <w:pPr>
        <w:keepNext w:val="0"/>
        <w:keepLines w:val="0"/>
        <w:pageBreakBefore w:val="0"/>
        <w:kinsoku/>
        <w:wordWrap/>
        <w:overflowPunct/>
        <w:topLinePunct w:val="0"/>
        <w:autoSpaceDE/>
        <w:autoSpaceDN/>
        <w:bidi w:val="0"/>
        <w:adjustRightInd/>
        <w:snapToGrid/>
        <w:spacing w:line="540" w:lineRule="exact"/>
        <w:jc w:val="center"/>
        <w:textAlignment w:val="auto"/>
        <w:rPr>
          <w:b/>
          <w:sz w:val="48"/>
          <w:szCs w:val="36"/>
        </w:rPr>
      </w:pPr>
    </w:p>
    <w:p>
      <w:pPr>
        <w:pStyle w:val="7"/>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尊敬的</w:t>
      </w:r>
      <w:r>
        <w:rPr>
          <w:rFonts w:hint="eastAsia" w:ascii="仿宋_GB2312" w:hAnsi="Times New Roman" w:eastAsia="仿宋_GB2312" w:cs="Times New Roman"/>
          <w:sz w:val="32"/>
          <w:szCs w:val="32"/>
          <w:lang w:val="en-US" w:eastAsia="zh-CN"/>
        </w:rPr>
        <w:t>戴迪</w:t>
      </w:r>
      <w:r>
        <w:rPr>
          <w:rFonts w:hint="eastAsia" w:ascii="仿宋_GB2312" w:hAnsi="Times New Roman" w:eastAsia="仿宋_GB2312" w:cs="Times New Roman"/>
          <w:sz w:val="32"/>
          <w:szCs w:val="32"/>
        </w:rPr>
        <w:t>（等）代表：</w:t>
      </w:r>
    </w:p>
    <w:p>
      <w:pPr>
        <w:pStyle w:val="8"/>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bidi="ar-SA"/>
        </w:rPr>
        <w:t>您们提出的关于《关于打造环中心公园立体时尚消费圈的建议》已收悉。感谢您对我区城市管理工作的支持和关心，现将办理情况答复如下：</w:t>
      </w:r>
    </w:p>
    <w:p>
      <w:pPr>
        <w:pStyle w:val="8"/>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仿宋_GB2312" w:hAnsi="Times New Roman" w:eastAsia="仿宋_GB2312" w:cs="Times New Roman"/>
          <w:b w:val="0"/>
          <w:bCs w:val="0"/>
          <w:color w:val="000000"/>
          <w:kern w:val="2"/>
          <w:sz w:val="32"/>
          <w:szCs w:val="32"/>
          <w:lang w:val="en-US" w:eastAsia="zh-CN" w:bidi="ar-SA"/>
        </w:rPr>
      </w:pPr>
      <w:r>
        <w:rPr>
          <w:rFonts w:hint="eastAsia" w:ascii="仿宋_GB2312" w:hAnsi="Times New Roman" w:eastAsia="仿宋_GB2312" w:cs="Times New Roman"/>
          <w:b w:val="0"/>
          <w:bCs w:val="0"/>
          <w:color w:val="000000"/>
          <w:kern w:val="2"/>
          <w:sz w:val="32"/>
          <w:szCs w:val="32"/>
          <w:lang w:val="en-US" w:eastAsia="zh-CN"/>
        </w:rPr>
        <w:t>福田第八次党代会报告提出“福田未来发展三大新引擎”，要求“高起点建设环中心公园活力圈，打造世界级时尚文化街区。”并多次采用“高起点、世界级、优质、高端、未来”等展望，拟打造辖区新的活力圈、新的经济引擎和新的税源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对于“打通市民活动孤岛，搭建开放健康的空中绿轴环”这一建议，我局目前已采取相应行动，建设高质量绿美游憩网络。</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640" w:firstLineChars="200"/>
        <w:textAlignment w:val="auto"/>
        <w:rPr>
          <w:rFonts w:hint="eastAsia" w:ascii="仿宋_GB2312" w:hAnsi="Times New Roman" w:eastAsia="仿宋_GB2312"/>
          <w:color w:val="000000"/>
          <w:sz w:val="32"/>
          <w:szCs w:val="32"/>
          <w:lang w:eastAsia="zh-CN"/>
        </w:rPr>
      </w:pPr>
      <w:r>
        <w:rPr>
          <w:rFonts w:hint="eastAsia" w:ascii="仿宋_GB2312" w:hAnsi="Times New Roman" w:eastAsia="仿宋_GB2312"/>
          <w:color w:val="000000"/>
          <w:sz w:val="32"/>
          <w:szCs w:val="32"/>
          <w:lang w:eastAsia="zh-CN"/>
        </w:rPr>
        <w:t>空中绿轴环基本情况</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Times New Roman" w:eastAsia="仿宋_GB2312"/>
          <w:color w:val="000000"/>
          <w:sz w:val="32"/>
          <w:szCs w:val="32"/>
        </w:rPr>
        <w:t>为全面落实《中共深圳市委关于深入推进“山海连城绿美深圳”生态建设的意见》和《深圳市城市管理和综合执法局关于落实“山海连城绿美深圳”生态建设工作的实施方案》，结合市区工作开展要求，</w:t>
      </w:r>
      <w:r>
        <w:rPr>
          <w:rFonts w:hint="eastAsia" w:ascii="仿宋_GB2312" w:eastAsia="仿宋_GB2312"/>
          <w:color w:val="000000"/>
          <w:sz w:val="32"/>
          <w:szCs w:val="32"/>
          <w:lang w:eastAsia="zh-CN"/>
        </w:rPr>
        <w:t>现已</w:t>
      </w:r>
      <w:r>
        <w:rPr>
          <w:rFonts w:hint="eastAsia" w:ascii="仿宋_GB2312" w:hAnsi="Times New Roman" w:eastAsia="仿宋_GB2312"/>
          <w:color w:val="000000"/>
          <w:sz w:val="32"/>
          <w:szCs w:val="32"/>
        </w:rPr>
        <w:t>形成</w:t>
      </w:r>
      <w:r>
        <w:rPr>
          <w:rFonts w:hint="eastAsia" w:ascii="仿宋_GB2312" w:eastAsia="仿宋_GB2312"/>
          <w:color w:val="000000"/>
          <w:sz w:val="32"/>
          <w:szCs w:val="32"/>
          <w:lang w:eastAsia="zh-CN"/>
        </w:rPr>
        <w:t>福田区五园连</w:t>
      </w:r>
      <w:r>
        <w:rPr>
          <w:rFonts w:hint="eastAsia" w:ascii="仿宋_GB2312" w:hAnsi="Times New Roman" w:eastAsia="仿宋_GB2312"/>
          <w:color w:val="000000"/>
          <w:sz w:val="32"/>
          <w:szCs w:val="32"/>
          <w:lang w:eastAsia="zh-CN"/>
        </w:rPr>
        <w:t>通项目库。</w:t>
      </w:r>
      <w:r>
        <w:rPr>
          <w:rFonts w:hint="eastAsia" w:ascii="仿宋_GB2312" w:hAnsi="Times New Roman" w:eastAsia="仿宋_GB2312"/>
          <w:color w:val="000000"/>
          <w:sz w:val="32"/>
          <w:szCs w:val="32"/>
        </w:rPr>
        <w:t>将梅林山公园、银湖山公园、笔架山公园、莲花山公园、中心公园五个公园及周边片区连通，</w:t>
      </w:r>
      <w:r>
        <w:rPr>
          <w:rFonts w:hint="eastAsia" w:ascii="仿宋_GB2312" w:hAnsi="仿宋_GB2312" w:eastAsia="仿宋_GB2312" w:cs="仿宋_GB2312"/>
          <w:bCs/>
          <w:sz w:val="32"/>
          <w:szCs w:val="32"/>
        </w:rPr>
        <w:t>惠及200万人、300多个居住区，服务多个重点片区，</w:t>
      </w:r>
      <w:r>
        <w:rPr>
          <w:rFonts w:hint="eastAsia" w:ascii="仿宋_GB2312" w:hAnsi="仿宋_GB2312" w:eastAsia="仿宋_GB2312" w:cs="仿宋_GB2312"/>
          <w:sz w:val="32"/>
          <w:szCs w:val="32"/>
        </w:rPr>
        <w:t>确保相关项目2023年开工见成效、2025年全贯通、2027年成网络。</w:t>
      </w:r>
      <w:r>
        <w:rPr>
          <w:rFonts w:hint="eastAsia" w:ascii="仿宋_GB2312" w:hAnsi="Times New Roman" w:eastAsia="仿宋_GB2312"/>
          <w:sz w:val="32"/>
          <w:szCs w:val="32"/>
          <w:lang w:val="en-US" w:eastAsia="zh-CN"/>
        </w:rPr>
        <w:t>五园连通项目库共13个项目，其中包含七座廊桥。2023年</w:t>
      </w:r>
      <w:r>
        <w:rPr>
          <w:rFonts w:hint="eastAsia" w:ascii="仿宋_GB2312" w:hAnsi="Times New Roman" w:eastAsia="仿宋_GB2312"/>
          <w:sz w:val="32"/>
          <w:szCs w:val="32"/>
        </w:rPr>
        <w:t>拟上跨梅观路建设</w:t>
      </w:r>
      <w:r>
        <w:rPr>
          <w:rFonts w:hint="eastAsia" w:ascii="仿宋_GB2312" w:hAnsi="Times New Roman" w:eastAsia="仿宋_GB2312"/>
          <w:sz w:val="32"/>
          <w:szCs w:val="32"/>
          <w:lang w:val="en-US" w:eastAsia="zh-CN"/>
        </w:rPr>
        <w:t>梅林山-银湖山生态廊桥，</w:t>
      </w:r>
      <w:r>
        <w:rPr>
          <w:rFonts w:hint="eastAsia" w:ascii="仿宋_GB2312" w:hAnsi="Times New Roman" w:eastAsia="仿宋_GB2312"/>
          <w:sz w:val="32"/>
          <w:szCs w:val="32"/>
        </w:rPr>
        <w:t>生态廊桥为带种植单拱桥，为单跨65米钢混拱结构，结合动物通行和人行，桥宽36～46米</w:t>
      </w:r>
      <w:r>
        <w:rPr>
          <w:rFonts w:hint="eastAsia" w:ascii="仿宋_GB2312" w:hAnsi="Times New Roman" w:eastAsia="仿宋_GB2312"/>
          <w:sz w:val="32"/>
          <w:szCs w:val="32"/>
          <w:lang w:eastAsia="zh-CN"/>
        </w:rPr>
        <w:t>。该项目</w:t>
      </w:r>
      <w:r>
        <w:rPr>
          <w:rFonts w:hint="eastAsia" w:ascii="仿宋_GB2312" w:hAnsi="Times New Roman" w:eastAsia="仿宋_GB2312"/>
          <w:sz w:val="32"/>
          <w:szCs w:val="32"/>
        </w:rPr>
        <w:t>是保护深圳中部区域生物多样性的重要举措，有利于保障区域物种迁移、基因交换以及市民步行休闲活动需求。</w:t>
      </w:r>
      <w:r>
        <w:rPr>
          <w:rFonts w:hint="eastAsia" w:ascii="仿宋_GB2312" w:hAnsi="Times New Roman" w:eastAsia="仿宋_GB2312"/>
          <w:sz w:val="32"/>
          <w:szCs w:val="32"/>
          <w:lang w:val="en-US" w:eastAsia="zh-CN"/>
        </w:rPr>
        <w:t>笔架山-银湖山跨北环大道天桥改造项目见成效，</w:t>
      </w:r>
      <w:r>
        <w:rPr>
          <w:rFonts w:hint="eastAsia" w:ascii="仿宋_GB2312" w:hAnsi="Times New Roman" w:eastAsia="仿宋_GB2312"/>
          <w:sz w:val="32"/>
          <w:szCs w:val="32"/>
          <w:lang w:eastAsia="zh-CN"/>
        </w:rPr>
        <w:t>笔架山公园正在建体育公园，引导户外出行，打造户外运动区域</w:t>
      </w:r>
      <w:r>
        <w:rPr>
          <w:rFonts w:hint="eastAsia" w:ascii="仿宋_GB2312" w:hAnsi="Times New Roman" w:eastAsia="仿宋_GB2312"/>
          <w:sz w:val="32"/>
          <w:szCs w:val="32"/>
          <w:lang w:val="en-US" w:eastAsia="zh-CN"/>
        </w:rPr>
        <w:t>。</w:t>
      </w:r>
      <w:r>
        <w:rPr>
          <w:rFonts w:hint="eastAsia" w:ascii="仿宋_GB2312" w:hAnsi="仿宋_GB2312" w:eastAsia="仿宋_GB2312" w:cs="仿宋_GB2312"/>
          <w:sz w:val="32"/>
          <w:szCs w:val="32"/>
        </w:rPr>
        <w:t>实现福田河中心公园全线步行连通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提升改造</w:t>
      </w:r>
      <w:r>
        <w:rPr>
          <w:rFonts w:hint="eastAsia" w:ascii="仿宋_GB2312" w:hAnsi="仿宋_GB2312" w:eastAsia="仿宋_GB2312" w:cs="仿宋_GB2312"/>
          <w:sz w:val="32"/>
          <w:szCs w:val="32"/>
        </w:rPr>
        <w:t>深南皇岗立交4号隧道</w:t>
      </w:r>
      <w:r>
        <w:rPr>
          <w:rFonts w:hint="eastAsia" w:ascii="仿宋_GB2312" w:hAnsi="仿宋_GB2312" w:eastAsia="仿宋_GB2312" w:cs="仿宋_GB2312"/>
          <w:sz w:val="32"/>
          <w:szCs w:val="32"/>
          <w:lang w:eastAsia="zh-CN"/>
        </w:rPr>
        <w:t>、滨河皇岗立交4号隧道、</w:t>
      </w:r>
      <w:r>
        <w:rPr>
          <w:rFonts w:hint="eastAsia" w:ascii="仿宋_GB2312" w:hAnsi="仿宋_GB2312" w:eastAsia="仿宋_GB2312" w:cs="仿宋_GB2312"/>
          <w:sz w:val="32"/>
          <w:szCs w:val="32"/>
          <w:lang w:val="en-US" w:eastAsia="zh-CN"/>
        </w:rPr>
        <w:t>福华路涵洞、振华西路涵洞、红荔路涵洞和笋岗西路涵洞</w:t>
      </w:r>
      <w:r>
        <w:rPr>
          <w:rFonts w:hint="eastAsia" w:ascii="仿宋_GB2312" w:hAnsi="仿宋_GB2312" w:eastAsia="仿宋_GB2312" w:cs="仿宋_GB2312"/>
          <w:sz w:val="32"/>
          <w:szCs w:val="32"/>
          <w:lang w:eastAsia="zh-CN"/>
        </w:rPr>
        <w:t>。</w:t>
      </w:r>
    </w:p>
    <w:p>
      <w:pPr>
        <w:keepNext w:val="0"/>
        <w:keepLines w:val="0"/>
        <w:pageBreakBefore w:val="0"/>
        <w:numPr>
          <w:ilvl w:val="0"/>
          <w:numId w:val="1"/>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时尚消费打卡地构建情况</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_GB2312" w:hAnsi="Times New Roman" w:eastAsia="仿宋_GB2312"/>
          <w:sz w:val="32"/>
          <w:szCs w:val="32"/>
          <w:lang w:val="en-US" w:eastAsia="zh-CN"/>
        </w:rPr>
      </w:pPr>
      <w:r>
        <w:rPr>
          <w:rFonts w:hint="eastAsia" w:ascii="仿宋_GB2312" w:hAnsi="Times New Roman" w:eastAsia="仿宋_GB2312" w:cstheme="minorBidi"/>
          <w:b w:val="0"/>
          <w:snapToGrid/>
          <w:kern w:val="2"/>
          <w:sz w:val="32"/>
          <w:szCs w:val="32"/>
          <w:lang w:val="en-US" w:eastAsia="zh-CN" w:bidi="ar-SA"/>
        </w:rPr>
        <w:t>自然城径慢行改造工程</w:t>
      </w:r>
      <w:r>
        <w:rPr>
          <w:rFonts w:hint="eastAsia" w:ascii="仿宋_GB2312" w:hAnsi="Times New Roman" w:eastAsia="仿宋_GB2312" w:cstheme="minorBidi"/>
          <w:sz w:val="32"/>
          <w:szCs w:val="32"/>
          <w:u w:val="none"/>
          <w:lang w:val="en-US" w:eastAsia="zh-CN"/>
        </w:rPr>
        <w:t>拟针对局部节点打造主题街角活力场所，增添休憩设施，凸显文化艺术体验，并</w:t>
      </w:r>
      <w:r>
        <w:rPr>
          <w:rFonts w:hint="eastAsia" w:ascii="仿宋_GB2312" w:hAnsi="Times New Roman" w:eastAsia="仿宋_GB2312" w:cstheme="minorBidi"/>
          <w:b w:val="0"/>
          <w:snapToGrid/>
          <w:kern w:val="2"/>
          <w:sz w:val="32"/>
          <w:szCs w:val="32"/>
          <w:lang w:val="en-US" w:eastAsia="zh-CN" w:bidi="ar-SA"/>
        </w:rPr>
        <w:t>连接卓悦汇商圈。此外，</w:t>
      </w:r>
      <w:r>
        <w:rPr>
          <w:rFonts w:hint="eastAsia" w:ascii="仿宋_GB2312" w:hAnsi="Times New Roman" w:eastAsia="仿宋_GB2312"/>
          <w:sz w:val="32"/>
          <w:szCs w:val="32"/>
          <w:lang w:val="en-US" w:eastAsia="zh-CN"/>
        </w:rPr>
        <w:t>中心公园跨深南中路景观人行桥、中心公园跨福华路环形连桥、中心公园-华强北中航城跨华富路人行廊桥、中心公园跨笋岗西路生态廊桥和中心公园跨红荔路生态廊桥等拟连接深业上城和华强北夜间经济带。</w:t>
      </w:r>
      <w:r>
        <w:rPr>
          <w:rFonts w:hint="eastAsia" w:ascii="仿宋_GB2312" w:hAnsi="Times New Roman" w:eastAsia="仿宋_GB2312"/>
          <w:sz w:val="32"/>
          <w:szCs w:val="32"/>
        </w:rPr>
        <w:t>全面建成山海连城连通步道体系，实现“推窗见绿，出门入园”的1</w:t>
      </w:r>
      <w:r>
        <w:rPr>
          <w:rFonts w:ascii="仿宋_GB2312" w:hAnsi="Times New Roman" w:eastAsia="仿宋_GB2312"/>
          <w:sz w:val="32"/>
          <w:szCs w:val="32"/>
        </w:rPr>
        <w:t>5</w:t>
      </w:r>
      <w:r>
        <w:rPr>
          <w:rFonts w:hint="eastAsia" w:ascii="仿宋_GB2312" w:hAnsi="Times New Roman" w:eastAsia="仿宋_GB2312"/>
          <w:sz w:val="32"/>
          <w:szCs w:val="32"/>
        </w:rPr>
        <w:t>分钟公园社区全覆盖。持续推动生态文明高质量发展，打造“景人城产”融合促进的美丽福田新范式。</w:t>
      </w:r>
    </w:p>
    <w:p>
      <w:pPr>
        <w:pStyle w:val="2"/>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jc w:val="both"/>
        <w:textAlignment w:val="auto"/>
        <w:rPr>
          <w:rFonts w:hint="eastAsia" w:ascii="仿宋_GB2312" w:hAnsi="Calibri" w:eastAsia="仿宋_GB2312" w:cs="Times New Roman"/>
          <w:b w:val="0"/>
          <w:bCs w:val="0"/>
          <w:color w:val="000000"/>
          <w:kern w:val="2"/>
          <w:sz w:val="32"/>
          <w:szCs w:val="32"/>
          <w:lang w:val="en-US" w:eastAsia="zh-CN" w:bidi="ar-SA"/>
        </w:rPr>
      </w:pPr>
      <w:r>
        <w:rPr>
          <w:rFonts w:hint="eastAsia" w:ascii="仿宋_GB2312" w:hAnsi="Calibri" w:eastAsia="仿宋_GB2312" w:cs="Times New Roman"/>
          <w:b w:val="0"/>
          <w:bCs w:val="0"/>
          <w:color w:val="000000"/>
          <w:kern w:val="2"/>
          <w:sz w:val="32"/>
          <w:szCs w:val="32"/>
          <w:lang w:val="en-US" w:eastAsia="zh-CN" w:bidi="ar-SA"/>
        </w:rPr>
        <w:t>再次感谢您对我区城市管理工作的关心和支持，恳请您继续对城市管理工作多提宝贵意见。</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Calibri" w:eastAsia="仿宋_GB2312" w:cs="Times New Roman"/>
          <w:b w:val="0"/>
          <w:bCs w:val="0"/>
          <w:color w:val="000000"/>
          <w:kern w:val="2"/>
          <w:sz w:val="32"/>
          <w:szCs w:val="32"/>
          <w:lang w:val="en-US" w:eastAsia="zh-CN" w:bidi="ar-SA"/>
        </w:rPr>
      </w:pPr>
    </w:p>
    <w:p>
      <w:pPr>
        <w:pStyle w:val="2"/>
        <w:keepNext w:val="0"/>
        <w:keepLines w:val="0"/>
        <w:pageBreakBefore w:val="0"/>
        <w:kinsoku/>
        <w:wordWrap/>
        <w:overflowPunct/>
        <w:topLinePunct w:val="0"/>
        <w:autoSpaceDE/>
        <w:autoSpaceDN/>
        <w:bidi w:val="0"/>
        <w:adjustRightInd/>
        <w:snapToGrid/>
        <w:spacing w:after="0" w:line="540" w:lineRule="exact"/>
        <w:textAlignment w:val="auto"/>
        <w:rPr>
          <w:rFonts w:hint="eastAsia"/>
        </w:rPr>
      </w:pPr>
    </w:p>
    <w:p>
      <w:pPr>
        <w:pStyle w:val="7"/>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                   </w:t>
      </w:r>
      <w:r>
        <w:rPr>
          <w:rFonts w:hint="eastAsia" w:ascii="仿宋_GB2312" w:hAnsi="Times New Roman" w:eastAsia="仿宋_GB2312" w:cs="Times New Roman"/>
          <w:sz w:val="32"/>
          <w:szCs w:val="32"/>
          <w:lang w:eastAsia="zh-CN"/>
        </w:rPr>
        <w:t>深圳市</w:t>
      </w:r>
      <w:r>
        <w:rPr>
          <w:rFonts w:hint="eastAsia" w:ascii="仿宋_GB2312" w:hAnsi="Times New Roman" w:eastAsia="仿宋_GB2312" w:cs="Times New Roman"/>
          <w:sz w:val="32"/>
          <w:szCs w:val="32"/>
        </w:rPr>
        <w:t>福田区城市管理和综合执法局</w:t>
      </w:r>
    </w:p>
    <w:p>
      <w:pPr>
        <w:pStyle w:val="7"/>
        <w:keepNext w:val="0"/>
        <w:keepLines w:val="0"/>
        <w:pageBreakBefore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b w:val="0"/>
          <w:bCs w:val="0"/>
          <w:sz w:val="32"/>
          <w:szCs w:val="32"/>
        </w:rPr>
      </w:pPr>
      <w:r>
        <w:rPr>
          <w:rFonts w:hint="eastAsia" w:ascii="仿宋_GB2312" w:hAnsi="Times New Roman" w:eastAsia="仿宋_GB2312" w:cs="Times New Roman"/>
          <w:sz w:val="32"/>
          <w:szCs w:val="32"/>
        </w:rPr>
        <w:t xml:space="preserve">     </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 xml:space="preserve">  202</w:t>
      </w:r>
      <w:r>
        <w:rPr>
          <w:rFonts w:hint="eastAsia" w:ascii="仿宋_GB2312" w:hAnsi="Times New Roman" w:eastAsia="仿宋_GB2312" w:cs="Times New Roman"/>
          <w:sz w:val="32"/>
          <w:szCs w:val="32"/>
          <w:lang w:val="en-US" w:eastAsia="zh-CN"/>
        </w:rPr>
        <w:t>3</w:t>
      </w:r>
      <w:r>
        <w:rPr>
          <w:rFonts w:hint="eastAsia" w:ascii="仿宋_GB2312" w:hAnsi="Times New Roman" w:eastAsia="仿宋_GB2312" w:cs="Times New Roman"/>
          <w:sz w:val="32"/>
          <w:szCs w:val="32"/>
        </w:rPr>
        <w:t>年</w:t>
      </w:r>
      <w:r>
        <w:rPr>
          <w:rFonts w:hint="eastAsia" w:ascii="仿宋_GB2312" w:hAnsi="Times New Roman" w:eastAsia="仿宋_GB2312" w:cs="Times New Roman"/>
          <w:sz w:val="32"/>
          <w:szCs w:val="32"/>
          <w:lang w:val="en-US" w:eastAsia="zh-CN"/>
        </w:rPr>
        <w:t>6</w:t>
      </w:r>
      <w:r>
        <w:rPr>
          <w:rFonts w:hint="eastAsia" w:ascii="仿宋_GB2312" w:hAnsi="Times New Roman" w:eastAsia="仿宋_GB2312" w:cs="Times New Roman"/>
          <w:sz w:val="32"/>
          <w:szCs w:val="32"/>
        </w:rPr>
        <w:t>月</w:t>
      </w:r>
      <w:r>
        <w:rPr>
          <w:rFonts w:hint="eastAsia" w:ascii="仿宋_GB2312" w:hAnsi="Times New Roman" w:eastAsia="仿宋_GB2312" w:cs="Times New Roman"/>
          <w:sz w:val="32"/>
          <w:szCs w:val="32"/>
          <w:lang w:val="en-US" w:eastAsia="zh-CN"/>
        </w:rPr>
        <w:t>25</w:t>
      </w:r>
      <w:r>
        <w:rPr>
          <w:rFonts w:hint="eastAsia" w:ascii="仿宋_GB2312" w:hAnsi="Times New Roman" w:eastAsia="仿宋_GB2312" w:cs="Times New Roman"/>
          <w:sz w:val="32"/>
          <w:szCs w:val="32"/>
        </w:rPr>
        <w:t>日</w:t>
      </w:r>
    </w:p>
    <w:p>
      <w:pPr>
        <w:keepNext w:val="0"/>
        <w:keepLines w:val="0"/>
        <w:pageBreakBefore w:val="0"/>
        <w:kinsoku/>
        <w:wordWrap/>
        <w:overflowPunct/>
        <w:topLinePunct w:val="0"/>
        <w:autoSpaceDE/>
        <w:autoSpaceDN/>
        <w:bidi w:val="0"/>
        <w:adjustRightInd/>
        <w:snapToGrid/>
        <w:spacing w:line="540" w:lineRule="exact"/>
        <w:ind w:left="0" w:leftChars="0" w:right="0" w:rightChars="0" w:firstLine="1600" w:firstLineChars="500"/>
        <w:jc w:val="both"/>
        <w:textAlignment w:val="auto"/>
        <w:outlineLvl w:val="9"/>
      </w:pPr>
      <w:r>
        <w:rPr>
          <w:rFonts w:hint="eastAsia" w:ascii="仿宋_GB2312" w:hAnsi="仿宋_GB2312" w:eastAsia="仿宋_GB2312" w:cs="仿宋_GB2312"/>
          <w:b w:val="0"/>
          <w:bCs w:val="0"/>
          <w:sz w:val="32"/>
          <w:szCs w:val="32"/>
        </w:rPr>
        <w:t>（联系人：</w:t>
      </w:r>
      <w:r>
        <w:rPr>
          <w:rFonts w:hint="eastAsia" w:ascii="仿宋_GB2312" w:hAnsi="仿宋_GB2312" w:eastAsia="仿宋_GB2312" w:cs="仿宋_GB2312"/>
          <w:b w:val="0"/>
          <w:bCs w:val="0"/>
          <w:sz w:val="32"/>
          <w:szCs w:val="32"/>
          <w:lang w:eastAsia="zh-CN"/>
        </w:rPr>
        <w:t>罗伟</w:t>
      </w:r>
      <w:r>
        <w:rPr>
          <w:rFonts w:hint="eastAsia" w:ascii="仿宋_GB2312" w:hAnsi="仿宋_GB2312" w:eastAsia="仿宋_GB2312" w:cs="仿宋_GB2312"/>
          <w:b w:val="0"/>
          <w:bCs w:val="0"/>
          <w:sz w:val="32"/>
          <w:szCs w:val="32"/>
        </w:rPr>
        <w:t>，联系电话：13510106593）</w:t>
      </w:r>
    </w:p>
    <w:bookmarkEnd w:id="0"/>
    <w:sectPr>
      <w:footerReference r:id="rId3" w:type="default"/>
      <w:pgSz w:w="11906" w:h="16838"/>
      <w:pgMar w:top="1440" w:right="1474" w:bottom="1440"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s0lY7tAAAAAFAQAADwAAAAAAAAABACAAAAA4AAAAZHJzL2Rvd25yZXYueG1sUEsB&#10;AhQAFAAAAAgAh07iQGUktTAgAgAANwQAAA4AAAAAAAAAAQAgAAAANQEAAGRycy9lMm9Eb2MueG1s&#10;UEsFBgAAAAAGAAYAWQEAAMc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97AE80"/>
    <w:multiLevelType w:val="singleLevel"/>
    <w:tmpl w:val="1897AE8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FC9063"/>
    <w:rsid w:val="5BFC9063"/>
    <w:rsid w:val="EBDDB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center"/>
    </w:pPr>
    <w:rPr>
      <w:rFonts w:ascii="Calibri" w:hAnsi="Calibri" w:eastAsiaTheme="minorEastAsia" w:cstheme="minorBidi"/>
      <w:kern w:val="2"/>
      <w:sz w:val="44"/>
      <w:szCs w:val="22"/>
      <w:lang w:val="en-US" w:eastAsia="zh-CN" w:bidi="ar-SA"/>
    </w:rPr>
  </w:style>
  <w:style w:type="paragraph" w:styleId="3">
    <w:name w:val="Body Text"/>
    <w:next w:val="1"/>
    <w:qFormat/>
    <w:uiPriority w:val="0"/>
    <w:pPr>
      <w:widowControl w:val="0"/>
      <w:spacing w:after="120"/>
      <w:jc w:val="both"/>
    </w:pPr>
    <w:rPr>
      <w:rFonts w:asciiTheme="minorHAnsi" w:hAnsiTheme="minorHAnsi" w:eastAsiaTheme="minorEastAsia" w:cstheme="minorBidi"/>
      <w:kern w:val="2"/>
      <w:sz w:val="21"/>
      <w:szCs w:val="22"/>
      <w:lang w:val="en-US" w:eastAsia="zh-CN" w:bidi="ar-SA"/>
    </w:rPr>
  </w:style>
  <w:style w:type="paragraph" w:styleId="4">
    <w:name w:val="footer"/>
    <w:unhideWhenUsed/>
    <w:qFormat/>
    <w:uiPriority w:val="99"/>
    <w:pPr>
      <w:widowControl w:val="0"/>
      <w:tabs>
        <w:tab w:val="center" w:pos="4153"/>
        <w:tab w:val="right" w:pos="8306"/>
      </w:tabs>
      <w:snapToGrid w:val="0"/>
      <w:jc w:val="left"/>
    </w:pPr>
    <w:rPr>
      <w:rFonts w:asciiTheme="minorHAnsi" w:hAnsiTheme="minorHAnsi" w:eastAsiaTheme="minorEastAsia" w:cstheme="minorBidi"/>
      <w:kern w:val="2"/>
      <w:sz w:val="18"/>
      <w:szCs w:val="18"/>
      <w:lang w:val="en-US" w:eastAsia="zh-CN" w:bidi="ar-SA"/>
    </w:rPr>
  </w:style>
  <w:style w:type="paragraph" w:customStyle="1" w:styleId="7">
    <w:name w:val="p0"/>
    <w:qFormat/>
    <w:uiPriority w:val="0"/>
    <w:pPr>
      <w:widowControl/>
      <w:jc w:val="both"/>
    </w:pPr>
    <w:rPr>
      <w:rFonts w:asciiTheme="minorHAnsi" w:hAnsiTheme="minorHAnsi" w:eastAsiaTheme="minorEastAsia" w:cstheme="minorBidi"/>
      <w:kern w:val="0"/>
      <w:sz w:val="21"/>
      <w:szCs w:val="21"/>
      <w:lang w:val="en-US" w:eastAsia="zh-CN" w:bidi="ar-SA"/>
    </w:rPr>
  </w:style>
  <w:style w:type="paragraph" w:customStyle="1" w:styleId="8">
    <w:name w:val="p17"/>
    <w:qFormat/>
    <w:uiPriority w:val="0"/>
    <w:pPr>
      <w:widowControl/>
      <w:ind w:firstLine="630"/>
      <w:jc w:val="both"/>
    </w:pPr>
    <w:rPr>
      <w:rFonts w:ascii="仿宋_GB2312" w:hAnsi="宋体" w:eastAsia="仿宋_GB2312" w:cs="宋体"/>
      <w:kern w:val="0"/>
      <w:sz w:val="32"/>
      <w:szCs w:val="3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2023-06-30T17:32:00Z</dcterms:created>
  <dc:creator>钟燕</dc:creator>
  <cp:lastModifiedBy>钟燕</cp:lastModifiedBy>
  <dcterms:modified xsi:type="dcterms:W3CDTF">2023-06-30T17:34:26Z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