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方正小标宋_GBK" w:hAnsi="方正小标宋_GBK" w:eastAsia="方正小标宋_GBK" w:cs="方正小标宋_GBK"/>
          <w:color w:val="000000"/>
          <w:kern w:val="2"/>
          <w:sz w:val="44"/>
          <w:szCs w:val="44"/>
          <w:lang w:val="en-US" w:eastAsia="zh-CN" w:bidi="ar-SA"/>
        </w:rPr>
      </w:pPr>
      <w:r>
        <w:rPr>
          <w:rFonts w:hint="eastAsia" w:ascii="方正小标宋_GBK" w:hAnsi="方正小标宋_GBK" w:eastAsia="方正小标宋_GBK" w:cs="方正小标宋_GBK"/>
          <w:color w:val="000000"/>
          <w:kern w:val="2"/>
          <w:sz w:val="44"/>
          <w:szCs w:val="44"/>
          <w:lang w:val="en-US" w:eastAsia="zh-CN" w:bidi="ar-SA"/>
        </w:rPr>
        <w:t>福田区城市更新和土地整备局关于区八届人大三次会议第20230020号建议的答复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0" w:firstLineChars="0"/>
        <w:jc w:val="both"/>
        <w:textAlignment w:val="auto"/>
        <w:outlineLvl w:val="0"/>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bidi w:val="0"/>
        <w:snapToGrid/>
        <w:spacing w:line="560" w:lineRule="exact"/>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尊敬的</w:t>
      </w:r>
      <w:r>
        <w:rPr>
          <w:rFonts w:hint="eastAsia" w:eastAsia="仿宋"/>
          <w:sz w:val="32"/>
          <w:szCs w:val="32"/>
          <w:lang w:eastAsia="zh-CN"/>
        </w:rPr>
        <w:t>蒋崇安</w:t>
      </w:r>
      <w:r>
        <w:rPr>
          <w:rFonts w:hint="eastAsia" w:ascii="仿宋_GB2312" w:hAnsi="仿宋_GB2312" w:eastAsia="仿宋_GB2312" w:cs="仿宋_GB2312"/>
          <w:sz w:val="32"/>
          <w:szCs w:val="32"/>
          <w:highlight w:val="none"/>
        </w:rPr>
        <w:t>代表:</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sz w:val="32"/>
          <w:szCs w:val="32"/>
        </w:rPr>
      </w:pPr>
      <w:r>
        <w:rPr>
          <w:rFonts w:hint="eastAsia" w:ascii="仿宋_GB2312" w:hAnsi="仿宋_GB2312" w:eastAsia="仿宋_GB2312" w:cs="仿宋_GB2312"/>
          <w:sz w:val="32"/>
          <w:szCs w:val="32"/>
        </w:rPr>
        <w:t>区</w:t>
      </w: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届人大</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次会议期间，</w:t>
      </w:r>
      <w:r>
        <w:rPr>
          <w:rFonts w:hint="eastAsia" w:ascii="仿宋_GB2312" w:hAnsi="仿宋_GB2312" w:eastAsia="仿宋_GB2312" w:cs="仿宋_GB2312"/>
          <w:sz w:val="32"/>
          <w:szCs w:val="32"/>
          <w:lang w:eastAsia="zh-CN"/>
        </w:rPr>
        <w:t>你们</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会</w:t>
      </w:r>
      <w:r>
        <w:rPr>
          <w:rFonts w:hint="eastAsia" w:ascii="仿宋_GB2312" w:hAnsi="仿宋_GB2312" w:eastAsia="仿宋_GB2312" w:cs="仿宋_GB2312"/>
          <w:sz w:val="32"/>
          <w:szCs w:val="32"/>
        </w:rPr>
        <w:t>上提出的《</w:t>
      </w:r>
      <w:r>
        <w:rPr>
          <w:rFonts w:hint="eastAsia" w:ascii="Times New Roman" w:hAnsi="Times New Roman" w:eastAsia="仿宋" w:cs="Times New Roman"/>
          <w:sz w:val="32"/>
          <w:szCs w:val="32"/>
          <w:lang w:eastAsia="zh-CN"/>
        </w:rPr>
        <w:t>关于加快南园城区改造，提升南园整体环境的建议</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（第202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00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eastAsia="zh-CN"/>
        </w:rPr>
        <w:t>号）</w:t>
      </w:r>
      <w:r>
        <w:rPr>
          <w:rFonts w:hint="eastAsia" w:ascii="仿宋_GB2312" w:hAnsi="仿宋_GB2312" w:eastAsia="仿宋_GB2312" w:cs="仿宋_GB2312"/>
          <w:sz w:val="32"/>
          <w:szCs w:val="32"/>
        </w:rPr>
        <w:t>收悉。感谢您对我区城</w:t>
      </w:r>
      <w:r>
        <w:rPr>
          <w:rFonts w:hint="eastAsia" w:ascii="仿宋_GB2312" w:hAnsi="仿宋_GB2312" w:eastAsia="仿宋_GB2312" w:cs="仿宋_GB2312"/>
          <w:sz w:val="32"/>
          <w:szCs w:val="32"/>
          <w:lang w:eastAsia="zh-CN"/>
        </w:rPr>
        <w:t>市更新工作</w:t>
      </w:r>
      <w:r>
        <w:rPr>
          <w:rFonts w:hint="eastAsia" w:ascii="仿宋_GB2312" w:hAnsi="仿宋_GB2312" w:eastAsia="仿宋_GB2312" w:cs="仿宋_GB2312"/>
          <w:sz w:val="32"/>
          <w:szCs w:val="32"/>
        </w:rPr>
        <w:t>的关注和支持，区政府对</w:t>
      </w:r>
      <w:bookmarkStart w:id="0" w:name="_GoBack"/>
      <w:bookmarkEnd w:id="0"/>
      <w:r>
        <w:rPr>
          <w:rFonts w:hint="eastAsia" w:ascii="仿宋_GB2312" w:hAnsi="仿宋_GB2312" w:eastAsia="仿宋_GB2312" w:cs="仿宋_GB2312"/>
          <w:sz w:val="32"/>
          <w:szCs w:val="32"/>
          <w:lang w:eastAsia="zh-CN"/>
        </w:rPr>
        <w:t>你们</w:t>
      </w:r>
      <w:r>
        <w:rPr>
          <w:rFonts w:hint="eastAsia" w:ascii="仿宋_GB2312" w:hAnsi="仿宋_GB2312" w:eastAsia="仿宋_GB2312" w:cs="仿宋_GB2312"/>
          <w:sz w:val="32"/>
          <w:szCs w:val="32"/>
        </w:rPr>
        <w:t>所提建议高度重视，责成区城市更新</w:t>
      </w:r>
      <w:r>
        <w:rPr>
          <w:rFonts w:hint="eastAsia" w:ascii="仿宋_GB2312" w:hAnsi="仿宋_GB2312" w:eastAsia="仿宋_GB2312" w:cs="仿宋_GB2312"/>
          <w:sz w:val="32"/>
          <w:szCs w:val="32"/>
          <w:lang w:eastAsia="zh-CN"/>
        </w:rPr>
        <w:t>和土地整备</w:t>
      </w:r>
      <w:r>
        <w:rPr>
          <w:rFonts w:hint="eastAsia" w:ascii="仿宋_GB2312" w:hAnsi="仿宋_GB2312" w:eastAsia="仿宋_GB2312" w:cs="仿宋_GB2312"/>
          <w:sz w:val="32"/>
          <w:szCs w:val="32"/>
        </w:rPr>
        <w:t>局等有关部门认真研究办理，现将有关办理工作情况汇报如下：</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一、我局高度重视并指定专门科室专人办理</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我局收到该建议后，立即召开党组（扩大）会议，研究部署人大建议</w:t>
      </w:r>
      <w:r>
        <w:rPr>
          <w:rFonts w:hint="eastAsia" w:ascii="仿宋_GB2312" w:hAnsi="仿宋_GB2312" w:eastAsia="仿宋_GB2312" w:cs="仿宋_GB2312"/>
          <w:sz w:val="32"/>
          <w:szCs w:val="32"/>
          <w:lang w:eastAsia="zh-CN"/>
        </w:rPr>
        <w:t>办理工作，并指定政策法制科专人负责，根据《区城市更新和土地整备局202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年度人大建议及政协提案办理工作方案》开展具体工作。主办科室</w:t>
      </w:r>
      <w:r>
        <w:rPr>
          <w:rFonts w:hint="eastAsia" w:ascii="仿宋_GB2312" w:hAnsi="仿宋_GB2312" w:eastAsia="仿宋_GB2312" w:cs="仿宋_GB2312"/>
          <w:sz w:val="32"/>
          <w:szCs w:val="32"/>
        </w:rPr>
        <w:t>充分研究建议内容后，主动联系代表进行调研，认真听取代表意见，</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就最终解决方案书面回复代表。</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二、关于相关更新政策情况</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我市</w:t>
      </w:r>
      <w:r>
        <w:rPr>
          <w:rFonts w:hint="eastAsia" w:ascii="仿宋_GB2312" w:hAnsi="仿宋_GB2312" w:eastAsia="仿宋_GB2312" w:cs="仿宋_GB2312"/>
          <w:sz w:val="32"/>
          <w:szCs w:val="32"/>
          <w:lang w:eastAsia="zh-CN"/>
        </w:rPr>
        <w:t>已出台</w:t>
      </w:r>
      <w:r>
        <w:rPr>
          <w:rFonts w:hint="eastAsia" w:ascii="仿宋_GB2312" w:hAnsi="仿宋_GB2312" w:eastAsia="仿宋_GB2312" w:cs="仿宋_GB2312"/>
          <w:sz w:val="32"/>
          <w:szCs w:val="32"/>
        </w:rPr>
        <w:t>的涉及旧住宅区</w:t>
      </w:r>
      <w:r>
        <w:rPr>
          <w:rFonts w:hint="eastAsia" w:ascii="仿宋_GB2312" w:hAnsi="仿宋_GB2312" w:eastAsia="仿宋_GB2312" w:cs="仿宋_GB2312"/>
          <w:sz w:val="32"/>
          <w:szCs w:val="32"/>
          <w:lang w:eastAsia="zh-CN"/>
        </w:rPr>
        <w:t>、城中村等</w:t>
      </w:r>
      <w:r>
        <w:rPr>
          <w:rFonts w:hint="eastAsia" w:ascii="仿宋_GB2312" w:hAnsi="仿宋_GB2312" w:eastAsia="仿宋_GB2312" w:cs="仿宋_GB2312"/>
          <w:sz w:val="32"/>
          <w:szCs w:val="32"/>
        </w:rPr>
        <w:t>拆除重建的城市更新相关政策如下：</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楷体" w:hAnsi="楷体" w:eastAsia="楷体" w:cs="楷体"/>
          <w:sz w:val="32"/>
          <w:szCs w:val="32"/>
        </w:rPr>
      </w:pPr>
      <w:r>
        <w:rPr>
          <w:rFonts w:hint="eastAsia" w:ascii="楷体" w:hAnsi="楷体" w:eastAsia="楷体" w:cs="楷体"/>
          <w:sz w:val="32"/>
          <w:szCs w:val="32"/>
        </w:rPr>
        <w:t>20</w:t>
      </w:r>
      <w:r>
        <w:rPr>
          <w:rFonts w:hint="eastAsia" w:ascii="楷体" w:hAnsi="楷体" w:eastAsia="楷体" w:cs="楷体"/>
          <w:sz w:val="32"/>
          <w:szCs w:val="32"/>
          <w:lang w:val="en-US" w:eastAsia="zh-CN"/>
        </w:rPr>
        <w:t>21</w:t>
      </w:r>
      <w:r>
        <w:rPr>
          <w:rFonts w:hint="eastAsia" w:ascii="楷体" w:hAnsi="楷体" w:eastAsia="楷体" w:cs="楷体"/>
          <w:sz w:val="32"/>
          <w:szCs w:val="32"/>
        </w:rPr>
        <w:t>年3月1日</w:t>
      </w:r>
      <w:r>
        <w:rPr>
          <w:rFonts w:hint="eastAsia" w:ascii="楷体" w:hAnsi="楷体" w:eastAsia="楷体" w:cs="楷体"/>
          <w:sz w:val="32"/>
          <w:szCs w:val="32"/>
          <w:lang w:val="en-US" w:eastAsia="zh-CN"/>
        </w:rPr>
        <w:t>施行的</w:t>
      </w:r>
      <w:r>
        <w:rPr>
          <w:rFonts w:hint="eastAsia" w:ascii="楷体" w:hAnsi="楷体" w:eastAsia="楷体" w:cs="楷体"/>
          <w:sz w:val="32"/>
          <w:szCs w:val="32"/>
        </w:rPr>
        <w:t>《</w:t>
      </w:r>
      <w:r>
        <w:rPr>
          <w:rFonts w:hint="eastAsia" w:ascii="楷体" w:hAnsi="楷体" w:eastAsia="楷体" w:cs="楷体"/>
          <w:sz w:val="32"/>
          <w:szCs w:val="32"/>
          <w:lang w:val="en-US" w:eastAsia="zh-CN"/>
        </w:rPr>
        <w:t>深圳经济特区城市更新条例</w:t>
      </w:r>
      <w:r>
        <w:rPr>
          <w:rFonts w:hint="eastAsia" w:ascii="楷体" w:hAnsi="楷体" w:eastAsia="楷体" w:cs="楷体"/>
          <w:sz w:val="32"/>
          <w:szCs w:val="32"/>
        </w:rPr>
        <w:t>》</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第二条第二款：根据市住房发展规划，旧住宅区拆除重建后优先用于公共租赁住房、安居型商品房和人才住房等公共住房建设，由市、区人民政府按照有关规定组织实施。具体办法由市人民政府另行制定。</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第十七条第（五）点：</w:t>
      </w:r>
      <w:r>
        <w:rPr>
          <w:rFonts w:hint="eastAsia" w:ascii="仿宋_GB2312" w:hAnsi="仿宋_GB2312" w:eastAsia="仿宋_GB2312" w:cs="仿宋_GB2312"/>
          <w:b/>
          <w:bCs/>
          <w:sz w:val="32"/>
          <w:szCs w:val="32"/>
          <w:lang w:val="en-US" w:eastAsia="zh-CN"/>
        </w:rPr>
        <w:t>旧住宅区更新单元计划由辖区街道办事处负责申报</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三十二条：属于旧住宅区城市更新项目的，区人民政府应当在城市更新单元规划批准后，组织制定搬迁补偿指导方案和公开选择市场主体方案，经专有部分面积占比百分之九十五以上且占总人数百分之九十五以上的物业权利人同意后，</w:t>
      </w:r>
      <w:r>
        <w:rPr>
          <w:rFonts w:hint="eastAsia" w:ascii="仿宋_GB2312" w:hAnsi="仿宋_GB2312" w:eastAsia="仿宋_GB2312" w:cs="仿宋_GB2312"/>
          <w:b/>
          <w:bCs/>
          <w:sz w:val="32"/>
          <w:szCs w:val="32"/>
          <w:lang w:val="en-US" w:eastAsia="zh-CN"/>
        </w:rPr>
        <w:t>采用公开、公平、公正的方式选定市场主体，由选定的市场主体与全体物业权利人签订搬迁补偿协议。</w:t>
      </w:r>
      <w:r>
        <w:rPr>
          <w:rFonts w:hint="eastAsia" w:ascii="仿宋_GB2312" w:hAnsi="仿宋_GB2312" w:eastAsia="仿宋_GB2312" w:cs="仿宋_GB2312"/>
          <w:sz w:val="32"/>
          <w:szCs w:val="32"/>
          <w:lang w:val="en-US" w:eastAsia="zh-CN"/>
        </w:rPr>
        <w:t>被选定的市场主体应当符合国家房地产开发企业资质管理的相关规定，与城市更新规模、项目定位相适应，并具有良好的社会信誉。</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第十七条第三款，城市更新单元用地属于城中村、旧屋村或者原农村集体经济组织和原村民在城中村、旧屋村范围外形成的建成区域的，由其所在</w:t>
      </w:r>
      <w:r>
        <w:rPr>
          <w:rFonts w:hint="eastAsia" w:ascii="仿宋_GB2312" w:hAnsi="仿宋_GB2312" w:eastAsia="仿宋_GB2312" w:cs="仿宋_GB2312"/>
          <w:b/>
          <w:bCs/>
          <w:sz w:val="32"/>
          <w:szCs w:val="32"/>
          <w:lang w:val="en-US" w:eastAsia="zh-CN"/>
        </w:rPr>
        <w:t>原农村集体经济组织继受单位或者其委托的单一市场主体申报</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第二十八条第二款：属于城中村拆除重建类城市更新项目的，除按照前款规定形成单一权利主体外，</w:t>
      </w:r>
      <w:r>
        <w:rPr>
          <w:rFonts w:hint="eastAsia" w:ascii="仿宋_GB2312" w:hAnsi="仿宋_GB2312" w:eastAsia="仿宋_GB2312" w:cs="仿宋_GB2312"/>
          <w:b/>
          <w:bCs/>
          <w:sz w:val="32"/>
          <w:szCs w:val="32"/>
          <w:lang w:val="en-US" w:eastAsia="zh-CN"/>
        </w:rPr>
        <w:t>原农村集体经济组织继受单位可以与公开选择的单一市场主体合作实施城市更新，也可以自行实施</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第三十六条第二款：城中村合法住宅、住宅类历史违建部分，已签订搬迁补偿协议的物业权利人人数占比不低于百分之九十五的，可以参照前款规定由区人民政府对未签约住宅类房屋依法实施征收。</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第五十三条：市城市更新部门负责组织划定城中村综合整治分区范围。划入综合整治分区范围的城中村，不得开展以拆除重建为主的城市更新活动。</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根据《深圳市城市更新项目保障性住房配建规定》，</w:t>
      </w:r>
      <w:r>
        <w:rPr>
          <w:rFonts w:hint="eastAsia" w:ascii="仿宋_GB2312" w:hAnsi="仿宋_GB2312" w:eastAsia="仿宋_GB2312" w:cs="仿宋_GB2312"/>
          <w:sz w:val="32"/>
          <w:szCs w:val="32"/>
        </w:rPr>
        <w:t>城市更新项目中保障性住房的配建，即在各类改造方向含居住用地的项目中按建筑面积的一定比例进行配建,城市更新项目配建保障性住房的配建类型、配建比例、建设规模在城市更新单元规划中予以明确。</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黑体" w:hAnsi="黑体" w:eastAsia="仿宋_GB2312"/>
          <w:sz w:val="32"/>
          <w:szCs w:val="32"/>
          <w:lang w:eastAsia="zh-CN"/>
        </w:rPr>
      </w:pPr>
      <w:r>
        <w:rPr>
          <w:rFonts w:hint="eastAsia" w:ascii="仿宋_GB2312" w:hAnsi="仿宋_GB2312" w:eastAsia="仿宋_GB2312" w:cs="仿宋_GB2312"/>
          <w:sz w:val="32"/>
          <w:szCs w:val="32"/>
        </w:rPr>
        <w:t>综上，老旧住宅区</w:t>
      </w:r>
      <w:r>
        <w:rPr>
          <w:rFonts w:hint="eastAsia" w:ascii="仿宋_GB2312" w:hAnsi="仿宋_GB2312" w:eastAsia="仿宋_GB2312" w:cs="仿宋_GB2312"/>
          <w:sz w:val="32"/>
          <w:szCs w:val="32"/>
          <w:lang w:val="en-US" w:eastAsia="zh-CN"/>
        </w:rPr>
        <w:t>如需通过城市更新进行拆除重建</w:t>
      </w:r>
      <w:r>
        <w:rPr>
          <w:rFonts w:hint="eastAsia" w:ascii="仿宋_GB2312" w:hAnsi="仿宋_GB2312" w:eastAsia="仿宋_GB2312" w:cs="仿宋_GB2312"/>
          <w:sz w:val="32"/>
          <w:szCs w:val="32"/>
          <w:lang w:eastAsia="zh-CN"/>
        </w:rPr>
        <w:t>，应</w:t>
      </w:r>
      <w:r>
        <w:rPr>
          <w:rFonts w:hint="eastAsia" w:ascii="仿宋_GB2312" w:hAnsi="仿宋_GB2312" w:eastAsia="仿宋_GB2312" w:cs="仿宋_GB2312"/>
          <w:sz w:val="32"/>
          <w:szCs w:val="32"/>
          <w:lang w:val="en-US" w:eastAsia="zh-CN"/>
        </w:rPr>
        <w:t>符合拆除重建城市更新政策规定要求，其更新单元计划由辖区街道办进行申报；在更新单元规划批复后需要按规定选择市场主体，由市场主体与业主签约后确定实施主体</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城中村</w:t>
      </w:r>
      <w:r>
        <w:rPr>
          <w:rFonts w:hint="eastAsia" w:ascii="仿宋_GB2312" w:hAnsi="仿宋_GB2312" w:eastAsia="仿宋_GB2312" w:cs="仿宋_GB2312"/>
          <w:sz w:val="32"/>
          <w:szCs w:val="32"/>
          <w:lang w:val="en-US" w:eastAsia="zh-CN"/>
        </w:rPr>
        <w:t>如需通过城市更新进行拆除重建</w:t>
      </w:r>
      <w:r>
        <w:rPr>
          <w:rFonts w:hint="eastAsia" w:ascii="仿宋_GB2312" w:hAnsi="仿宋_GB2312" w:eastAsia="仿宋_GB2312" w:cs="仿宋_GB2312"/>
          <w:sz w:val="32"/>
          <w:szCs w:val="32"/>
          <w:lang w:eastAsia="zh-CN"/>
        </w:rPr>
        <w:t>，应</w:t>
      </w:r>
      <w:r>
        <w:rPr>
          <w:rFonts w:hint="eastAsia" w:ascii="仿宋_GB2312" w:hAnsi="仿宋_GB2312" w:eastAsia="仿宋_GB2312" w:cs="仿宋_GB2312"/>
          <w:sz w:val="32"/>
          <w:szCs w:val="32"/>
          <w:lang w:val="en-US" w:eastAsia="zh-CN"/>
        </w:rPr>
        <w:t>符合拆除重建城市更新政策规定要求，其更新单元计划</w:t>
      </w:r>
      <w:r>
        <w:rPr>
          <w:rFonts w:hint="eastAsia" w:ascii="仿宋_GB2312" w:hAnsi="仿宋_GB2312" w:eastAsia="仿宋_GB2312" w:cs="仿宋_GB2312"/>
          <w:sz w:val="32"/>
          <w:szCs w:val="32"/>
          <w:lang w:eastAsia="zh-CN"/>
        </w:rPr>
        <w:t>由原农村集体经济组织</w:t>
      </w:r>
      <w:r>
        <w:rPr>
          <w:rFonts w:hint="eastAsia" w:ascii="仿宋_GB2312" w:hAnsi="仿宋_GB2312" w:eastAsia="仿宋_GB2312" w:cs="仿宋_GB2312"/>
          <w:b w:val="0"/>
          <w:bCs w:val="0"/>
          <w:sz w:val="32"/>
          <w:szCs w:val="32"/>
          <w:lang w:val="en-US" w:eastAsia="zh-CN"/>
        </w:rPr>
        <w:t>或者其委托的单一市场主体申报，</w:t>
      </w:r>
      <w:r>
        <w:rPr>
          <w:rFonts w:hint="eastAsia" w:ascii="仿宋_GB2312" w:hAnsi="仿宋_GB2312" w:eastAsia="仿宋_GB2312" w:cs="仿宋_GB2312"/>
          <w:sz w:val="32"/>
          <w:szCs w:val="32"/>
          <w:lang w:eastAsia="zh-CN"/>
        </w:rPr>
        <w:t>与公开选择的单一市场主体合作实施，也可以自行实施。</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黑体" w:hAnsi="黑体" w:eastAsia="黑体"/>
          <w:sz w:val="32"/>
          <w:szCs w:val="32"/>
          <w:lang w:eastAsia="zh-CN"/>
        </w:rPr>
      </w:pPr>
      <w:r>
        <w:rPr>
          <w:rFonts w:hint="eastAsia" w:ascii="黑体" w:hAnsi="黑体" w:eastAsia="黑体"/>
          <w:sz w:val="32"/>
          <w:szCs w:val="32"/>
          <w:lang w:eastAsia="zh-CN"/>
        </w:rPr>
        <w:t>三</w:t>
      </w:r>
      <w:r>
        <w:rPr>
          <w:rFonts w:hint="eastAsia" w:ascii="黑体" w:hAnsi="黑体" w:eastAsia="黑体"/>
          <w:sz w:val="32"/>
          <w:szCs w:val="32"/>
        </w:rPr>
        <w:t>、</w:t>
      </w:r>
      <w:r>
        <w:rPr>
          <w:rFonts w:hint="eastAsia" w:ascii="黑体" w:hAnsi="黑体" w:eastAsia="黑体"/>
          <w:sz w:val="32"/>
          <w:szCs w:val="32"/>
          <w:lang w:eastAsia="zh-CN"/>
        </w:rPr>
        <w:t>工作进展及下一步工作计划</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宋体" w:eastAsia="仿宋_GB2312"/>
          <w:sz w:val="32"/>
          <w:szCs w:val="32"/>
          <w:lang w:eastAsia="zh-CN"/>
        </w:rPr>
        <w:t>后续</w:t>
      </w:r>
      <w:r>
        <w:rPr>
          <w:rFonts w:hint="eastAsia" w:ascii="仿宋_GB2312" w:hAnsi="仿宋_GB2312" w:eastAsia="仿宋_GB2312" w:cs="仿宋_GB2312"/>
          <w:sz w:val="32"/>
          <w:szCs w:val="32"/>
          <w:lang w:val="en-US" w:eastAsia="zh-CN"/>
        </w:rPr>
        <w:t>我局将会同南园街道办根据相关政策规定依法依规加快推进片区更新改造工作。</w:t>
      </w:r>
    </w:p>
    <w:p>
      <w:pPr>
        <w:keepNext w:val="0"/>
        <w:keepLines w:val="0"/>
        <w:pageBreakBefore w:val="0"/>
        <w:widowControl w:val="0"/>
        <w:kinsoku/>
        <w:wordWrap/>
        <w:overflowPunct/>
        <w:topLinePunct w:val="0"/>
        <w:autoSpaceDE w:val="0"/>
        <w:autoSpaceDN w:val="0"/>
        <w:bidi w:val="0"/>
        <w:snapToGrid/>
        <w:spacing w:line="56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尊敬的</w:t>
      </w:r>
      <w:r>
        <w:rPr>
          <w:rFonts w:hint="eastAsia" w:ascii="仿宋_GB2312" w:hAnsi="仿宋_GB2312" w:eastAsia="仿宋_GB2312" w:cs="仿宋_GB2312"/>
          <w:sz w:val="32"/>
          <w:szCs w:val="32"/>
          <w:highlight w:val="none"/>
          <w:lang w:eastAsia="zh-CN"/>
        </w:rPr>
        <w:t>蒋崇安</w:t>
      </w:r>
      <w:r>
        <w:rPr>
          <w:rFonts w:hint="eastAsia" w:ascii="仿宋_GB2312" w:hAnsi="仿宋_GB2312" w:eastAsia="仿宋_GB2312" w:cs="仿宋_GB2312"/>
          <w:sz w:val="32"/>
          <w:szCs w:val="32"/>
          <w:highlight w:val="none"/>
        </w:rPr>
        <w:t>代表，相信有您及其他代表对</w:t>
      </w:r>
      <w:r>
        <w:rPr>
          <w:rFonts w:hint="eastAsia" w:ascii="仿宋_GB2312" w:hAnsi="仿宋_GB2312" w:eastAsia="仿宋_GB2312" w:cs="仿宋_GB2312"/>
          <w:sz w:val="32"/>
          <w:szCs w:val="32"/>
          <w:highlight w:val="none"/>
          <w:lang w:eastAsia="zh-CN"/>
        </w:rPr>
        <w:t>城市</w:t>
      </w:r>
      <w:r>
        <w:rPr>
          <w:rFonts w:hint="eastAsia" w:ascii="仿宋_GB2312" w:hAnsi="仿宋_GB2312" w:eastAsia="仿宋_GB2312" w:cs="仿宋_GB2312"/>
          <w:sz w:val="32"/>
          <w:szCs w:val="32"/>
          <w:highlight w:val="none"/>
        </w:rPr>
        <w:t>更新的持续关注和支持，并提出宝贵有益的建议，我</w:t>
      </w:r>
      <w:r>
        <w:rPr>
          <w:rFonts w:hint="eastAsia" w:ascii="仿宋_GB2312" w:hAnsi="仿宋_GB2312" w:eastAsia="仿宋_GB2312" w:cs="仿宋_GB2312"/>
          <w:sz w:val="32"/>
          <w:szCs w:val="32"/>
          <w:highlight w:val="none"/>
          <w:lang w:eastAsia="zh-CN"/>
        </w:rPr>
        <w:t>区</w:t>
      </w:r>
      <w:r>
        <w:rPr>
          <w:rFonts w:hint="eastAsia" w:ascii="仿宋_GB2312" w:hAnsi="仿宋_GB2312" w:eastAsia="仿宋_GB2312" w:cs="仿宋_GB2312"/>
          <w:sz w:val="32"/>
          <w:szCs w:val="32"/>
          <w:highlight w:val="none"/>
        </w:rPr>
        <w:t>城市更新工作将会更加的科学、合理和顺利。祝您工作顺利、身体健康！</w:t>
      </w:r>
    </w:p>
    <w:p>
      <w:pPr>
        <w:keepNext w:val="0"/>
        <w:keepLines w:val="0"/>
        <w:pageBreakBefore w:val="0"/>
        <w:widowControl w:val="0"/>
        <w:kinsoku/>
        <w:wordWrap/>
        <w:overflowPunct/>
        <w:topLinePunct w:val="0"/>
        <w:bidi w:val="0"/>
        <w:snapToGrid/>
        <w:spacing w:line="56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rPr>
        <w:t>专此汇报</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jc w:val="both"/>
        <w:textAlignment w:val="auto"/>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snapToGrid/>
        <w:spacing w:line="560" w:lineRule="exact"/>
        <w:jc w:val="both"/>
        <w:textAlignment w:val="auto"/>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bidi w:val="0"/>
        <w:snapToGrid/>
        <w:spacing w:line="560" w:lineRule="exact"/>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3200" w:firstLineChars="10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深圳市福田区城市更新和土地整备局</w:t>
      </w:r>
    </w:p>
    <w:p>
      <w:pPr>
        <w:keepNext w:val="0"/>
        <w:keepLines w:val="0"/>
        <w:pageBreakBefore w:val="0"/>
        <w:widowControl w:val="0"/>
        <w:kinsoku/>
        <w:wordWrap/>
        <w:overflowPunct/>
        <w:topLinePunct w:val="0"/>
        <w:bidi w:val="0"/>
        <w:snapToGrid/>
        <w:spacing w:line="560" w:lineRule="exact"/>
        <w:ind w:left="0" w:leftChars="0" w:right="0" w:firstLine="4480" w:firstLineChars="1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w:t>
      </w:r>
    </w:p>
    <w:p>
      <w:pPr>
        <w:pStyle w:val="4"/>
        <w:keepNext w:val="0"/>
        <w:keepLines w:val="0"/>
        <w:pageBreakBefore w:val="0"/>
        <w:widowControl w:val="0"/>
        <w:kinsoku/>
        <w:wordWrap/>
        <w:overflowPunct/>
        <w:topLinePunct w:val="0"/>
        <w:bidi w:val="0"/>
        <w:snapToGrid/>
        <w:spacing w:line="560" w:lineRule="exact"/>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814" w:right="1474" w:bottom="1814" w:left="1587" w:header="851" w:footer="992" w:gutter="0"/>
      <w:pgBorders>
        <w:top w:val="none" w:sz="0" w:space="0"/>
        <w:left w:val="none" w:sz="0" w:space="0"/>
        <w:bottom w:val="none" w:sz="0" w:space="0"/>
        <w:right w:val="none" w:sz="0" w:space="0"/>
      </w:pgBorders>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r>
                      <w:rPr>
                        <w:rFonts w:hint="eastAsia" w:ascii="仿宋_GB2312" w:hAnsi="仿宋_GB2312" w:eastAsia="仿宋_GB2312" w:cs="仿宋_GB2312"/>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8E62FC"/>
    <w:rsid w:val="03B909B1"/>
    <w:rsid w:val="13D11590"/>
    <w:rsid w:val="17296E6D"/>
    <w:rsid w:val="1D5A6CBB"/>
    <w:rsid w:val="21F04462"/>
    <w:rsid w:val="23880C17"/>
    <w:rsid w:val="26AC2B16"/>
    <w:rsid w:val="274E120B"/>
    <w:rsid w:val="2E0E04E5"/>
    <w:rsid w:val="3D15580D"/>
    <w:rsid w:val="402248B8"/>
    <w:rsid w:val="4974044B"/>
    <w:rsid w:val="4CE6683A"/>
    <w:rsid w:val="56360D98"/>
    <w:rsid w:val="5702489B"/>
    <w:rsid w:val="66A6122D"/>
    <w:rsid w:val="70957E12"/>
    <w:rsid w:val="74E656DC"/>
    <w:rsid w:val="764C50ED"/>
    <w:rsid w:val="78310253"/>
    <w:rsid w:val="7A11185B"/>
    <w:rsid w:val="7B343322"/>
    <w:rsid w:val="7B8E6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widowControl w:val="0"/>
      <w:ind w:firstLine="640" w:firstLineChars="200"/>
      <w:jc w:val="both"/>
      <w:outlineLvl w:val="0"/>
    </w:pPr>
    <w:rPr>
      <w:rFonts w:ascii="Times New Roman" w:hAnsi="Times New Roman" w:eastAsia="黑体" w:cs="Times New Roman"/>
      <w:kern w:val="2"/>
      <w:sz w:val="32"/>
      <w:szCs w:val="3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Body Text"/>
    <w:basedOn w:val="1"/>
    <w:next w:val="1"/>
    <w:qFormat/>
    <w:uiPriority w:val="0"/>
    <w:pPr>
      <w:widowControl w:val="0"/>
      <w:jc w:val="center"/>
    </w:pPr>
    <w:rPr>
      <w:rFonts w:ascii="宋体" w:hAnsi="Times New Roman" w:eastAsia="宋体" w:cs="Times New Roman"/>
      <w:kern w:val="2"/>
      <w:sz w:val="44"/>
      <w:szCs w:val="24"/>
      <w:lang w:val="en-US" w:eastAsia="zh-CN" w:bidi="ar-SA"/>
    </w:rPr>
  </w:style>
  <w:style w:type="paragraph" w:styleId="5">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24"/>
      <w:lang w:val="en-US" w:eastAsia="zh-CN" w:bidi="ar-SA"/>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itle"/>
    <w:basedOn w:val="1"/>
    <w:next w:val="1"/>
    <w:qFormat/>
    <w:uiPriority w:val="10"/>
    <w:pPr>
      <w:spacing w:before="240" w:after="60"/>
      <w:jc w:val="center"/>
    </w:pPr>
    <w:rPr>
      <w:rFonts w:ascii="Cambria" w:hAnsi="Cambria"/>
      <w:b/>
      <w:bCs/>
      <w:sz w:val="32"/>
      <w:szCs w:val="32"/>
    </w:rPr>
  </w:style>
  <w:style w:type="paragraph" w:customStyle="1" w:styleId="10">
    <w:name w:val="正文空2字"/>
    <w:qFormat/>
    <w:uiPriority w:val="99"/>
    <w:pPr>
      <w:widowControl w:val="0"/>
      <w:snapToGrid w:val="0"/>
      <w:spacing w:after="200" w:line="560" w:lineRule="exact"/>
      <w:ind w:firstLine="640" w:firstLineChars="200"/>
    </w:pPr>
    <w:rPr>
      <w:rFonts w:ascii="仿宋_GB2312" w:hAnsi="仿宋_GB2312" w:eastAsia="仿宋_GB2312" w:cs="仿宋_GB2312"/>
      <w:kern w:val="2"/>
      <w:sz w:val="32"/>
      <w:szCs w:val="32"/>
      <w:lang w:val="zh-TW" w:eastAsia="zh-CN" w:bidi="ar-SA"/>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2">
    <w:name w:val="BZWFS"/>
    <w:link w:val="13"/>
    <w:qFormat/>
    <w:uiPriority w:val="0"/>
    <w:pPr>
      <w:widowControl w:val="0"/>
      <w:spacing w:line="560" w:lineRule="exact"/>
      <w:ind w:firstLine="880" w:firstLineChars="200"/>
      <w:jc w:val="both"/>
    </w:pPr>
    <w:rPr>
      <w:rFonts w:ascii="仿宋_GB2312" w:hAnsi="仿宋_GB2312" w:eastAsia="仿宋_GB2312" w:cs="Times New Roman"/>
      <w:sz w:val="32"/>
      <w:szCs w:val="32"/>
    </w:rPr>
  </w:style>
  <w:style w:type="character" w:customStyle="1" w:styleId="13">
    <w:name w:val="BZWFS Char1"/>
    <w:link w:val="12"/>
    <w:qFormat/>
    <w:uiPriority w:val="0"/>
    <w:rPr>
      <w:rFonts w:ascii="仿宋_GB2312" w:hAnsi="仿宋_GB2312" w:eastAsia="仿宋_GB2312" w:cs="Times New Roman"/>
      <w:sz w:val="32"/>
      <w:szCs w:val="32"/>
    </w:rPr>
  </w:style>
  <w:style w:type="paragraph" w:customStyle="1" w:styleId="14">
    <w:name w:val="BT00"/>
    <w:qFormat/>
    <w:uiPriority w:val="0"/>
    <w:pPr>
      <w:widowControl w:val="0"/>
      <w:spacing w:line="640" w:lineRule="exact"/>
      <w:jc w:val="center"/>
      <w:outlineLvl w:val="0"/>
    </w:pPr>
    <w:rPr>
      <w:rFonts w:ascii="方正小标宋简体" w:hAnsi="方正小标宋简体" w:eastAsia="方正小标宋简体" w:cs="Times New Roman"/>
      <w:sz w:val="44"/>
      <w:szCs w:val="44"/>
    </w:rPr>
  </w:style>
  <w:style w:type="paragraph" w:customStyle="1" w:styleId="15">
    <w:name w:val="BG"/>
    <w:qFormat/>
    <w:uiPriority w:val="0"/>
    <w:pPr>
      <w:widowControl w:val="0"/>
      <w:spacing w:line="312" w:lineRule="auto"/>
      <w:jc w:val="center"/>
    </w:pPr>
    <w:rPr>
      <w:rFonts w:ascii="Times New Roman" w:hAnsi="Times New Roman" w:eastAsia="仿宋_GB2312" w:cs="Times New Roman"/>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2023-05-31T11:04:00Z</dcterms:created>
  <dc:creator>Administrator</dc:creator>
  <cp:lastModifiedBy>Administrator</cp:lastModifiedBy>
  <dcterms:modified xsi:type="dcterms:W3CDTF">2024-01-24T10:09:18Z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67576B06D0F0432CA5810D5DCFF878D0</vt:lpwstr>
  </property>
</Properties>
</file>