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 w:hAnsi="仿宋" w:eastAsia="仿宋"/>
          <w:sz w:val="32"/>
          <w:szCs w:val="32"/>
        </w:rPr>
      </w:pPr>
      <w:r>
        <w:rPr>
          <w:rFonts w:hint="eastAsia" w:ascii="黑体" w:eastAsia="黑体"/>
          <w:sz w:val="32"/>
          <w:szCs w:val="32"/>
        </w:rPr>
        <w:t>附件1</w:t>
      </w:r>
    </w:p>
    <w:p>
      <w:pPr>
        <w:spacing w:line="560" w:lineRule="exact"/>
        <w:jc w:val="left"/>
        <w:rPr>
          <w:rFonts w:ascii="仿宋" w:hAnsi="仿宋" w:eastAsia="仿宋"/>
          <w:sz w:val="32"/>
          <w:szCs w:val="32"/>
        </w:rPr>
      </w:pPr>
    </w:p>
    <w:p>
      <w:pPr>
        <w:spacing w:line="560" w:lineRule="exact"/>
        <w:jc w:val="center"/>
        <w:rPr>
          <w:rFonts w:ascii="方正小标宋简体" w:hAnsi="宋体" w:eastAsia="方正小标宋简体"/>
          <w:color w:val="000000"/>
          <w:sz w:val="44"/>
          <w:szCs w:val="44"/>
        </w:rPr>
      </w:pPr>
      <w:bookmarkStart w:id="40" w:name="_GoBack"/>
      <w:r>
        <w:rPr>
          <w:rFonts w:hint="eastAsia" w:ascii="方正小标宋简体" w:hAnsi="宋体" w:eastAsia="方正小标宋简体"/>
          <w:color w:val="000000"/>
          <w:sz w:val="44"/>
          <w:szCs w:val="44"/>
        </w:rPr>
        <w:t>福田河黑臭河段水质提升工程项目简介</w:t>
      </w:r>
    </w:p>
    <w:bookmarkEnd w:id="40"/>
    <w:p>
      <w:pPr>
        <w:spacing w:line="560" w:lineRule="exact"/>
        <w:rPr>
          <w:sz w:val="32"/>
          <w:szCs w:val="32"/>
        </w:rPr>
      </w:pPr>
    </w:p>
    <w:p>
      <w:pPr>
        <w:spacing w:line="560" w:lineRule="exact"/>
        <w:ind w:firstLine="640" w:firstLineChars="200"/>
        <w:rPr>
          <w:rFonts w:ascii="黑体" w:hAnsi="黑体" w:eastAsia="黑体"/>
          <w:color w:val="000000"/>
          <w:sz w:val="32"/>
        </w:rPr>
      </w:pPr>
      <w:bookmarkStart w:id="0" w:name="_Toc455566527"/>
      <w:bookmarkStart w:id="1" w:name="_Toc455501299"/>
      <w:bookmarkStart w:id="2" w:name="_Toc455502172"/>
      <w:bookmarkStart w:id="3" w:name="_Toc459911494"/>
      <w:bookmarkStart w:id="4" w:name="_Toc455501217"/>
      <w:r>
        <w:rPr>
          <w:rFonts w:hint="eastAsia" w:ascii="黑体" w:hAnsi="黑体" w:eastAsia="黑体"/>
          <w:color w:val="000000"/>
          <w:sz w:val="32"/>
        </w:rPr>
        <w:t>一、项目背景</w:t>
      </w:r>
      <w:bookmarkEnd w:id="0"/>
      <w:bookmarkEnd w:id="1"/>
      <w:bookmarkEnd w:id="2"/>
      <w:bookmarkEnd w:id="3"/>
      <w:bookmarkEnd w:id="4"/>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深圳市作为中国最早的经济特区之一，建市30多年来一直高速发展，在社会经济、城市建设、人民生活等方面均取得了辉煌成就，创造了举世瞩目的“深圳速度”。随着社会经济的发展，我市的水环境出现了污染严重、生态系统退化等问题。一直以来，尤其是近年来，深圳市紧抓特区内外一体化、大运会承办、环保模范城复检等契机，开展了一系列污水处理厂新、改、扩建、沿河截排、河道生态修复等工程建设，使全市水环境面貌得到了快速提升。但由于河流污染治理历史欠账严重，水污染负荷远远超出水环境承载力，部分河流现状问题仍较为严重，河道水质与远期目标尚有较大差距，治水形势依然严峻。</w:t>
      </w:r>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按照《城市黑臭水体整治工作指南》中黑臭水体划分标准，目前福田区范围内建成区黑臭水体有深圳河（福田段）全段、福田河（田面村至河口段）、新洲河（福强路至河口段）。福田河上游河道坡度大，利用污水厂再生水进行补水，水质相对较好，基本实现水清岸绿；下游河道受深圳河感潮河段影响，水质仍为轻度黑臭。</w:t>
      </w:r>
    </w:p>
    <w:p>
      <w:pPr>
        <w:spacing w:line="560" w:lineRule="exact"/>
        <w:ind w:firstLine="640" w:firstLineChars="200"/>
        <w:rPr>
          <w:rFonts w:ascii="黑体" w:hAnsi="黑体" w:eastAsia="黑体"/>
          <w:color w:val="000000"/>
          <w:sz w:val="32"/>
        </w:rPr>
      </w:pPr>
      <w:bookmarkStart w:id="5" w:name="_Toc455501300"/>
      <w:bookmarkStart w:id="6" w:name="_Toc455501218"/>
      <w:bookmarkStart w:id="7" w:name="_Toc455502173"/>
      <w:bookmarkStart w:id="8" w:name="_Toc455566528"/>
      <w:bookmarkStart w:id="9" w:name="_Toc459911495"/>
      <w:r>
        <w:rPr>
          <w:rFonts w:hint="eastAsia" w:ascii="黑体" w:hAnsi="黑体" w:eastAsia="黑体"/>
          <w:color w:val="000000"/>
          <w:sz w:val="32"/>
        </w:rPr>
        <w:t>二、项目内容及目标</w:t>
      </w:r>
      <w:bookmarkEnd w:id="5"/>
      <w:bookmarkEnd w:id="6"/>
      <w:bookmarkEnd w:id="7"/>
      <w:bookmarkEnd w:id="8"/>
      <w:bookmarkEnd w:id="9"/>
    </w:p>
    <w:p>
      <w:pPr>
        <w:spacing w:line="560" w:lineRule="exact"/>
        <w:ind w:firstLine="640" w:firstLineChars="200"/>
        <w:rPr>
          <w:rFonts w:ascii="楷体" w:hAnsi="楷体" w:eastAsia="楷体" w:cs="楷体"/>
          <w:color w:val="000000"/>
          <w:sz w:val="32"/>
        </w:rPr>
      </w:pPr>
      <w:bookmarkStart w:id="10" w:name="_Toc455501301"/>
      <w:bookmarkStart w:id="11" w:name="_Toc455566529"/>
      <w:bookmarkStart w:id="12" w:name="_Toc455501219"/>
      <w:bookmarkStart w:id="13" w:name="_Toc459911496"/>
      <w:bookmarkStart w:id="14" w:name="_Toc455502174"/>
      <w:r>
        <w:rPr>
          <w:rFonts w:hint="eastAsia" w:ascii="楷体" w:hAnsi="楷体" w:eastAsia="楷体" w:cs="楷体"/>
          <w:color w:val="000000"/>
          <w:sz w:val="32"/>
        </w:rPr>
        <w:t>（一）项目内容</w:t>
      </w:r>
      <w:bookmarkEnd w:id="10"/>
      <w:bookmarkEnd w:id="11"/>
      <w:bookmarkEnd w:id="12"/>
      <w:bookmarkEnd w:id="13"/>
      <w:bookmarkEnd w:id="14"/>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福田河位于深圳市福田中心区，北起梅林坳，横穿笔架山公园、中心公园，最终汇入深圳河。流域面积15.9km2，干流全长6.8km。目前，福田河旱季基本实现100%截污，并利用滨河污水处理厂向河道补水3.8万m3/d。</w:t>
      </w:r>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该河田面村至河口水闸共约2.13km，已上报住建部列入黑臭水体清单，治理时限为2016年底。该黑臭河段宽10～25m，正常水深0.5～2m。</w:t>
      </w:r>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拟采用微纳米曝气技术和水体原位生态修复技术在该黑臭段实施原位生态修复，从底层开始构建完整、良性的生态系统，在提升水质的同时增强福田河本身的自净能力。</w:t>
      </w:r>
      <w:bookmarkStart w:id="15" w:name="_Toc455501220"/>
      <w:bookmarkStart w:id="16" w:name="_Toc455501302"/>
      <w:bookmarkStart w:id="17" w:name="_Toc455502175"/>
      <w:bookmarkStart w:id="18" w:name="_Toc455566530"/>
      <w:bookmarkStart w:id="19" w:name="_Toc459911497"/>
    </w:p>
    <w:p>
      <w:pPr>
        <w:spacing w:line="560" w:lineRule="exact"/>
        <w:ind w:firstLine="640" w:firstLineChars="200"/>
        <w:rPr>
          <w:rFonts w:ascii="楷体" w:hAnsi="楷体" w:eastAsia="楷体" w:cs="楷体"/>
          <w:color w:val="000000"/>
          <w:sz w:val="32"/>
        </w:rPr>
      </w:pPr>
      <w:r>
        <w:rPr>
          <w:rFonts w:hint="eastAsia" w:ascii="楷体" w:hAnsi="楷体" w:eastAsia="楷体" w:cs="楷体"/>
          <w:color w:val="000000"/>
          <w:sz w:val="32"/>
        </w:rPr>
        <w:t>（二）项目目标</w:t>
      </w:r>
      <w:bookmarkEnd w:id="15"/>
      <w:bookmarkEnd w:id="16"/>
      <w:bookmarkEnd w:id="17"/>
      <w:bookmarkEnd w:id="18"/>
      <w:bookmarkEnd w:id="19"/>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通过有效的工程措施，削减COD、氨氮、总氮等污染物总量，消除河道黑臭现象。</w:t>
      </w:r>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设备安装完毕并运行3~6月内，实现消除黑臭目标，具体如下(暴雨、泄洪或发生污染事故后2周内除外)：</w:t>
      </w:r>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·水体透明度≥40cm；</w:t>
      </w:r>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·溶解氧≥4.0mg/L；</w:t>
      </w:r>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·氧化还原电位≥80mV；</w:t>
      </w:r>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·氨氮浓度≤6mg/L；</w:t>
      </w:r>
    </w:p>
    <w:p>
      <w:pPr>
        <w:spacing w:line="560" w:lineRule="exact"/>
        <w:ind w:firstLine="640" w:firstLineChars="200"/>
        <w:rPr>
          <w:rFonts w:ascii="仿宋" w:hAnsi="仿宋" w:eastAsia="仿宋" w:cs="仿宋"/>
          <w:color w:val="000000"/>
          <w:sz w:val="32"/>
        </w:rPr>
      </w:pPr>
      <w:r>
        <w:rPr>
          <w:rFonts w:hint="eastAsia" w:ascii="仿宋_GB2312" w:hAnsi="仿宋" w:eastAsia="仿宋_GB2312" w:cs="仿宋"/>
          <w:color w:val="000000"/>
          <w:sz w:val="32"/>
        </w:rPr>
        <w:t>若结合两岸截污控源、中水补水、水闸调度以及必要清疏，并组织全程生态治理后，可进一步提升水质满足GB 3838-2002地表水水质标准V类水要求。</w:t>
      </w:r>
    </w:p>
    <w:p>
      <w:pPr>
        <w:spacing w:line="560" w:lineRule="exact"/>
        <w:ind w:firstLine="640" w:firstLineChars="200"/>
        <w:rPr>
          <w:rFonts w:ascii="黑体" w:hAnsi="黑体" w:eastAsia="黑体"/>
          <w:color w:val="000000"/>
          <w:sz w:val="32"/>
        </w:rPr>
      </w:pPr>
      <w:bookmarkStart w:id="20" w:name="_Toc455501303"/>
      <w:bookmarkStart w:id="21" w:name="_Toc455501221"/>
      <w:bookmarkStart w:id="22" w:name="_Toc455502176"/>
      <w:bookmarkStart w:id="23" w:name="_Toc459911498"/>
      <w:bookmarkStart w:id="24" w:name="_Toc455566531"/>
      <w:r>
        <w:rPr>
          <w:rFonts w:hint="eastAsia" w:ascii="黑体" w:hAnsi="黑体" w:eastAsia="黑体"/>
          <w:color w:val="000000"/>
          <w:sz w:val="32"/>
        </w:rPr>
        <w:t>三、设计依据及原则</w:t>
      </w:r>
      <w:bookmarkEnd w:id="20"/>
      <w:bookmarkEnd w:id="21"/>
      <w:bookmarkEnd w:id="22"/>
      <w:bookmarkEnd w:id="23"/>
      <w:bookmarkEnd w:id="24"/>
    </w:p>
    <w:p>
      <w:pPr>
        <w:spacing w:line="560" w:lineRule="exact"/>
        <w:ind w:firstLine="640" w:firstLineChars="200"/>
        <w:rPr>
          <w:rFonts w:ascii="楷体" w:hAnsi="楷体" w:eastAsia="楷体" w:cs="楷体"/>
          <w:color w:val="000000"/>
          <w:sz w:val="32"/>
        </w:rPr>
      </w:pPr>
      <w:bookmarkStart w:id="25" w:name="_Toc455502177"/>
      <w:bookmarkStart w:id="26" w:name="_Toc459911499"/>
      <w:bookmarkStart w:id="27" w:name="_Toc455566532"/>
      <w:bookmarkStart w:id="28" w:name="_Toc455501304"/>
      <w:bookmarkStart w:id="29" w:name="_Toc455501222"/>
      <w:r>
        <w:rPr>
          <w:rFonts w:hint="eastAsia" w:ascii="楷体" w:hAnsi="楷体" w:eastAsia="楷体" w:cs="楷体"/>
          <w:color w:val="000000"/>
          <w:sz w:val="32"/>
        </w:rPr>
        <w:t>（一）编制依据</w:t>
      </w:r>
      <w:bookmarkEnd w:id="25"/>
      <w:bookmarkEnd w:id="26"/>
      <w:bookmarkEnd w:id="27"/>
      <w:bookmarkEnd w:id="28"/>
      <w:bookmarkEnd w:id="29"/>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1.《中华人民共和国环境保护法》</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2.《中华人民共和国水污染防治法》</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3.《中华人民共和国水法》</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4.《重点流域水污染防治规划》</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5.《地表水环境质量标准》（GB3838-2002）</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6.《中华人民共和国固体废物污染环境防治法》</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7.国家、省、市颁布的相关文件、法律、法规、政策</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8.本项目的其他资料</w:t>
      </w:r>
    </w:p>
    <w:p>
      <w:pPr>
        <w:spacing w:line="560" w:lineRule="exact"/>
        <w:ind w:firstLine="640" w:firstLineChars="200"/>
        <w:rPr>
          <w:rFonts w:ascii="楷体" w:hAnsi="楷体" w:eastAsia="楷体" w:cs="楷体"/>
          <w:color w:val="000000"/>
          <w:sz w:val="32"/>
        </w:rPr>
      </w:pPr>
      <w:bookmarkStart w:id="30" w:name="_Toc455566533"/>
      <w:bookmarkStart w:id="31" w:name="_Toc455501305"/>
      <w:bookmarkStart w:id="32" w:name="_Toc455501223"/>
      <w:bookmarkStart w:id="33" w:name="_Toc459911500"/>
      <w:bookmarkStart w:id="34" w:name="_Toc455502178"/>
      <w:r>
        <w:rPr>
          <w:rFonts w:hint="eastAsia" w:ascii="楷体" w:hAnsi="楷体" w:eastAsia="楷体" w:cs="楷体"/>
          <w:color w:val="000000"/>
          <w:sz w:val="32"/>
        </w:rPr>
        <w:t>（二）参考标准及规范</w:t>
      </w:r>
      <w:bookmarkEnd w:id="30"/>
      <w:bookmarkEnd w:id="31"/>
      <w:bookmarkEnd w:id="32"/>
      <w:bookmarkEnd w:id="33"/>
      <w:bookmarkEnd w:id="34"/>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1.环境专业：</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（1）《地表水和污水监测技术规范》（HJ/T91-2002）</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（2）《城镇环境卫生设施规划规范》（GB50337）</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（3）《城镇环境卫生设施设置标准》（CJT27-2005）</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（4）《恶臭污染物排放标准》（GB14554-1993）</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（5）《工业企业设计卫生标准》</w:t>
      </w:r>
      <w:r>
        <w:rPr>
          <w:rFonts w:hint="eastAsia" w:ascii="仿宋_GB2312" w:hAnsi="仿宋" w:eastAsia="仿宋_GB2312" w:cs="仿宋"/>
          <w:color w:val="000000"/>
          <w:sz w:val="32"/>
          <w:szCs w:val="32"/>
        </w:rPr>
        <w:tab/>
      </w:r>
      <w:r>
        <w:rPr>
          <w:rFonts w:hint="eastAsia" w:ascii="仿宋_GB2312" w:hAnsi="仿宋" w:eastAsia="仿宋_GB2312" w:cs="仿宋"/>
          <w:color w:val="000000"/>
          <w:sz w:val="32"/>
          <w:szCs w:val="32"/>
        </w:rPr>
        <w:t>（GBZ1-2010）</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（6）《生态环境状况评价技术规范》（HJT192-2006）</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（7）《建筑施工场界环境噪声排放标准》（GB12523-2011）</w:t>
      </w:r>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2.给水排水专业：</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（1）《地表水环境质量标准》（GB3838-2002）</w:t>
      </w:r>
      <w:r>
        <w:rPr>
          <w:rFonts w:hint="eastAsia" w:ascii="仿宋_GB2312" w:hAnsi="仿宋" w:eastAsia="仿宋_GB2312" w:cs="仿宋"/>
          <w:color w:val="000000"/>
          <w:sz w:val="32"/>
          <w:szCs w:val="32"/>
        </w:rPr>
        <w:tab/>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（2）《室外给水设计规范》（GB50013-2006）</w:t>
      </w:r>
      <w:r>
        <w:rPr>
          <w:rFonts w:hint="eastAsia" w:ascii="仿宋_GB2312" w:hAnsi="仿宋" w:eastAsia="仿宋_GB2312" w:cs="仿宋"/>
          <w:color w:val="000000"/>
          <w:sz w:val="32"/>
          <w:szCs w:val="32"/>
        </w:rPr>
        <w:tab/>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（3）《室外排水设计规范》（GB50014-2006）（2014年版）</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（4）《城市污水处理厂污染物排放标准》（GB18918-2002）</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（5）《污水排入城镇下水道水质标准》（CJ343-2010）</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（6）《地下水质量标准》（GB/T14848-1993）</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（7）《污水综合排放标准》（GB8978-1996）</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（8）《给水排水管道工程施工及验收规范》（GB50268-2008）</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（9）《给水排水构筑物工程施工及验收规范》（GB50141-2008）</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（10）《城镇排水管渠与泵站维护技术规程》（CJJ68-2007）</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（11）《工业金属管道设计规范》</w:t>
      </w:r>
      <w:r>
        <w:rPr>
          <w:rFonts w:hint="eastAsia" w:ascii="仿宋_GB2312" w:hAnsi="仿宋" w:eastAsia="仿宋_GB2312" w:cs="仿宋"/>
          <w:color w:val="000000"/>
          <w:sz w:val="32"/>
          <w:szCs w:val="32"/>
        </w:rPr>
        <w:tab/>
      </w:r>
      <w:r>
        <w:rPr>
          <w:rFonts w:hint="eastAsia" w:ascii="仿宋_GB2312" w:hAnsi="仿宋" w:eastAsia="仿宋_GB2312" w:cs="仿宋"/>
          <w:color w:val="000000"/>
          <w:sz w:val="32"/>
          <w:szCs w:val="32"/>
        </w:rPr>
        <w:t>GB50316-2000（2008年版）</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（12）《建筑给水排水设计规范》</w:t>
      </w:r>
      <w:r>
        <w:rPr>
          <w:rFonts w:hint="eastAsia" w:ascii="仿宋_GB2312" w:hAnsi="仿宋" w:eastAsia="仿宋_GB2312" w:cs="仿宋"/>
          <w:color w:val="000000"/>
          <w:sz w:val="32"/>
          <w:szCs w:val="32"/>
        </w:rPr>
        <w:tab/>
      </w:r>
      <w:r>
        <w:rPr>
          <w:rFonts w:hint="eastAsia" w:ascii="仿宋_GB2312" w:hAnsi="仿宋" w:eastAsia="仿宋_GB2312" w:cs="仿宋"/>
          <w:color w:val="000000"/>
          <w:sz w:val="32"/>
          <w:szCs w:val="32"/>
        </w:rPr>
        <w:t>GB50015-2003（2009年版）</w:t>
      </w:r>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szCs w:val="32"/>
        </w:rPr>
        <w:t>（13）《泵站设计规范》（GB50265-2010）</w:t>
      </w:r>
      <w:r>
        <w:rPr>
          <w:rFonts w:hint="eastAsia" w:ascii="仿宋_GB2312" w:hAnsi="仿宋" w:eastAsia="仿宋_GB2312" w:cs="仿宋"/>
          <w:color w:val="000000"/>
          <w:sz w:val="32"/>
          <w:szCs w:val="32"/>
        </w:rPr>
        <w:tab/>
      </w:r>
    </w:p>
    <w:p>
      <w:pPr>
        <w:spacing w:line="560" w:lineRule="exact"/>
        <w:rPr>
          <w:rFonts w:ascii="黑体" w:hAnsi="黑体" w:eastAsia="黑体"/>
          <w:color w:val="000000"/>
          <w:sz w:val="32"/>
        </w:rPr>
      </w:pPr>
      <w:bookmarkStart w:id="35" w:name="_Toc459911511"/>
      <w:r>
        <w:rPr>
          <w:rFonts w:hint="eastAsia" w:ascii="黑体" w:hAnsi="黑体" w:eastAsia="黑体"/>
          <w:color w:val="000000"/>
          <w:sz w:val="32"/>
        </w:rPr>
        <w:t xml:space="preserve">    四、方案简介</w:t>
      </w:r>
      <w:bookmarkEnd w:id="35"/>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本项目主要内容是提升福田河黑臭河段水质，提升水体溶解氧，降低氨氮浓度，降解河道污染物。</w:t>
      </w:r>
    </w:p>
    <w:p>
      <w:pPr>
        <w:spacing w:line="560" w:lineRule="exact"/>
        <w:ind w:firstLine="640" w:firstLineChars="200"/>
        <w:rPr>
          <w:rFonts w:ascii="楷体" w:hAnsi="楷体" w:eastAsia="楷体" w:cs="楷体"/>
          <w:color w:val="000000"/>
          <w:sz w:val="32"/>
        </w:rPr>
      </w:pPr>
      <w:bookmarkStart w:id="36" w:name="_Toc459911512"/>
      <w:r>
        <w:rPr>
          <w:rFonts w:hint="eastAsia" w:ascii="楷体" w:hAnsi="楷体" w:eastAsia="楷体" w:cs="楷体"/>
          <w:color w:val="000000"/>
          <w:sz w:val="32"/>
        </w:rPr>
        <w:t>（一）服务范围</w:t>
      </w:r>
      <w:bookmarkEnd w:id="36"/>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福田河下游段（田面村至河口段），总长2.13公里。</w:t>
      </w:r>
    </w:p>
    <w:p>
      <w:pPr>
        <w:spacing w:line="560" w:lineRule="exact"/>
        <w:ind w:firstLine="640" w:firstLineChars="200"/>
        <w:rPr>
          <w:rFonts w:ascii="楷体" w:hAnsi="楷体" w:eastAsia="楷体" w:cs="楷体"/>
          <w:color w:val="000000"/>
          <w:sz w:val="32"/>
        </w:rPr>
      </w:pPr>
      <w:bookmarkStart w:id="37" w:name="_Toc459911513"/>
      <w:r>
        <w:rPr>
          <w:rFonts w:hint="eastAsia" w:ascii="楷体" w:hAnsi="楷体" w:eastAsia="楷体" w:cs="楷体"/>
          <w:color w:val="000000"/>
          <w:sz w:val="32"/>
        </w:rPr>
        <w:t>（二）治理目标</w:t>
      </w:r>
      <w:bookmarkEnd w:id="37"/>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工程实施完毕并运行3~6月内，实现消除黑臭目标，具体如下(暴雨、泄洪或发生污染事故后2周内除外)：</w:t>
      </w:r>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·水体透明度≥40cm；</w:t>
      </w:r>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·溶解氧≥2.0mg/L；</w:t>
      </w:r>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·氧化还原电位≥80mV；</w:t>
      </w:r>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·氨氮浓度≤6mg/L。</w:t>
      </w:r>
    </w:p>
    <w:p>
      <w:pPr>
        <w:spacing w:line="560" w:lineRule="exact"/>
        <w:ind w:firstLine="640" w:firstLineChars="200"/>
        <w:rPr>
          <w:rFonts w:ascii="楷体" w:hAnsi="楷体" w:eastAsia="楷体" w:cs="楷体"/>
          <w:color w:val="000000"/>
          <w:sz w:val="32"/>
        </w:rPr>
      </w:pPr>
      <w:bookmarkStart w:id="38" w:name="_Toc459911514"/>
      <w:r>
        <w:rPr>
          <w:rFonts w:hint="eastAsia" w:ascii="楷体" w:hAnsi="楷体" w:eastAsia="楷体" w:cs="楷体"/>
          <w:color w:val="000000"/>
          <w:sz w:val="32"/>
        </w:rPr>
        <w:t>（三）总体思路</w:t>
      </w:r>
      <w:bookmarkEnd w:id="38"/>
    </w:p>
    <w:p>
      <w:pPr>
        <w:spacing w:line="560" w:lineRule="exact"/>
        <w:ind w:firstLine="640" w:firstLineChars="200"/>
        <w:rPr>
          <w:rFonts w:ascii="仿宋_GB2312" w:hAnsi="仿宋" w:eastAsia="仿宋_GB2312" w:cs="仿宋"/>
          <w:color w:val="000000"/>
          <w:sz w:val="32"/>
        </w:rPr>
      </w:pPr>
      <w:r>
        <w:rPr>
          <w:rFonts w:hint="eastAsia" w:ascii="仿宋_GB2312" w:hAnsi="仿宋" w:eastAsia="仿宋_GB2312" w:cs="仿宋"/>
          <w:color w:val="000000"/>
          <w:sz w:val="32"/>
        </w:rPr>
        <w:t>在分析河道现状的基础上，采取物理、化学、生物等工程措施，短时间内最大程度地提升治理河道水环境质量，使工程期内目标河道水质保持不黑不臭。</w:t>
      </w:r>
    </w:p>
    <w:p>
      <w:pPr>
        <w:spacing w:line="560" w:lineRule="exact"/>
        <w:ind w:firstLine="640" w:firstLineChars="200"/>
        <w:rPr>
          <w:rFonts w:ascii="楷体" w:hAnsi="楷体" w:eastAsia="楷体" w:cs="楷体"/>
          <w:color w:val="000000"/>
          <w:sz w:val="32"/>
        </w:rPr>
      </w:pPr>
      <w:bookmarkStart w:id="39" w:name="_Toc459911515"/>
      <w:r>
        <w:rPr>
          <w:rFonts w:hint="eastAsia" w:ascii="楷体" w:hAnsi="楷体" w:eastAsia="楷体" w:cs="楷体"/>
          <w:color w:val="000000"/>
          <w:sz w:val="32"/>
        </w:rPr>
        <w:t>（四）总体方案</w:t>
      </w:r>
      <w:bookmarkEnd w:id="39"/>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1.生态修复技术</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激活水体环境中本已存在的土著菌种，使之成为水体和底泥中的优势菌种。利用微生物将底泥和水体中的有机物、氮、磷等污染物质就地转化为微生物及其他生物的“食物”，促进浮游生物和其他生物繁殖，从底层逐级向上构建并延长食物链、扩展食物网，促进受污染水体向良性、健康生态系统演替，进而消减底泥、消除黑臭、改善水质，实现河段的原位生态修复。完整的生态系统成功构建后，水体的自净能力和抗冲击负荷能力将大幅提升，再次受到外源污染物污染时，可在较短时间内自我修复。</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驯化本土微生物有益于污染物去除的优势菌种，打破水体中原有微生物的平衡状态；连续不断激活水体本土微生物，使之不断大量繁殖，利用水体持续的微循环，不断的释放到水体中，强化水体的自身净化能力；新增的微生物量逐级激活生态食物链中的上级消费者，同时配合水体植物的净化作用，逐步改善水生动植物系统的生长环境，促使水体生态系统恢复自净能力，实现整个水体生态系统的恢复。</w:t>
      </w:r>
    </w:p>
    <w:tbl>
      <w:tblPr>
        <w:tblStyle w:val="6"/>
        <w:tblW w:w="8879" w:type="dxa"/>
        <w:jc w:val="center"/>
        <w:tblLayout w:type="fixed"/>
        <w:tblCellMar>
          <w:top w:w="0" w:type="dxa"/>
          <w:left w:w="108" w:type="dxa"/>
          <w:bottom w:w="0" w:type="dxa"/>
          <w:right w:w="108" w:type="dxa"/>
        </w:tblCellMar>
      </w:tblPr>
      <w:tblGrid>
        <w:gridCol w:w="4381"/>
        <w:gridCol w:w="4498"/>
      </w:tblGrid>
      <w:tr>
        <w:tblPrEx>
          <w:tblCellMar>
            <w:top w:w="0" w:type="dxa"/>
            <w:left w:w="108" w:type="dxa"/>
            <w:bottom w:w="0" w:type="dxa"/>
            <w:right w:w="108" w:type="dxa"/>
          </w:tblCellMar>
        </w:tblPrEx>
        <w:trPr>
          <w:trHeight w:val="3495" w:hRule="atLeast"/>
          <w:jc w:val="center"/>
        </w:trPr>
        <w:tc>
          <w:tcPr>
            <w:tcW w:w="4381" w:type="dxa"/>
          </w:tcPr>
          <w:p>
            <w:pPr>
              <w:rPr>
                <w:sz w:val="32"/>
                <w:szCs w:val="32"/>
              </w:rPr>
            </w:pPr>
            <w:r>
              <w:rPr>
                <w:sz w:val="32"/>
                <w:szCs w:val="32"/>
              </w:rPr>
              <w:drawing>
                <wp:inline distT="0" distB="0" distL="0" distR="0">
                  <wp:extent cx="2733675" cy="2152650"/>
                  <wp:effectExtent l="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733675" cy="2152650"/>
                          </a:xfrm>
                          <a:prstGeom prst="rect">
                            <a:avLst/>
                          </a:prstGeom>
                          <a:noFill/>
                          <a:ln>
                            <a:noFill/>
                          </a:ln>
                        </pic:spPr>
                      </pic:pic>
                    </a:graphicData>
                  </a:graphic>
                </wp:inline>
              </w:drawing>
            </w:r>
          </w:p>
        </w:tc>
        <w:tc>
          <w:tcPr>
            <w:tcW w:w="4498" w:type="dxa"/>
          </w:tcPr>
          <w:p>
            <w:pPr>
              <w:rPr>
                <w:sz w:val="32"/>
                <w:szCs w:val="32"/>
              </w:rPr>
            </w:pPr>
            <w:r>
              <w:rPr>
                <w:sz w:val="32"/>
                <w:szCs w:val="32"/>
              </w:rPr>
              <w:drawing>
                <wp:inline distT="0" distB="0" distL="0" distR="0">
                  <wp:extent cx="2714625" cy="2171700"/>
                  <wp:effectExtent l="0" t="0" r="952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6">
                            <a:extLst>
                              <a:ext uri="{28A0092B-C50C-407E-A947-70E740481C1C}">
                                <a14:useLocalDpi xmlns:a14="http://schemas.microsoft.com/office/drawing/2010/main" val="0"/>
                              </a:ext>
                            </a:extLst>
                          </a:blip>
                          <a:srcRect l="3528" t="2856" r="3220" b="4417"/>
                          <a:stretch>
                            <a:fillRect/>
                          </a:stretch>
                        </pic:blipFill>
                        <pic:spPr>
                          <a:xfrm>
                            <a:off x="0" y="0"/>
                            <a:ext cx="2714625" cy="217170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285" w:hRule="atLeast"/>
          <w:jc w:val="center"/>
        </w:trPr>
        <w:tc>
          <w:tcPr>
            <w:tcW w:w="8879" w:type="dxa"/>
            <w:gridSpan w:val="2"/>
          </w:tcPr>
          <w:p>
            <w:pPr>
              <w:jc w:val="center"/>
              <w:rPr>
                <w:sz w:val="32"/>
                <w:szCs w:val="32"/>
              </w:rPr>
            </w:pPr>
            <w:r>
              <w:rPr>
                <w:rFonts w:hint="eastAsia" w:ascii="仿宋" w:hAnsi="仿宋" w:eastAsia="仿宋" w:cs="仿宋"/>
                <w:color w:val="000000"/>
                <w:sz w:val="24"/>
                <w:szCs w:val="24"/>
              </w:rPr>
              <w:t>水体原位生态修复设备</w:t>
            </w:r>
          </w:p>
        </w:tc>
      </w:tr>
    </w:tbl>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2.微纳米曝气技术</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微纳米曝气系统，是大面积气相、液相界面技术。微纳米曝气系统采用超高压气水混合方法，在超饱和状态下产生大量微米、亚微米级气泡。</w:t>
      </w:r>
    </w:p>
    <w:tbl>
      <w:tblPr>
        <w:tblStyle w:val="6"/>
        <w:tblW w:w="8465" w:type="dxa"/>
        <w:jc w:val="center"/>
        <w:tblLayout w:type="fixed"/>
        <w:tblCellMar>
          <w:top w:w="0" w:type="dxa"/>
          <w:left w:w="108" w:type="dxa"/>
          <w:bottom w:w="0" w:type="dxa"/>
          <w:right w:w="108" w:type="dxa"/>
        </w:tblCellMar>
      </w:tblPr>
      <w:tblGrid>
        <w:gridCol w:w="4593"/>
        <w:gridCol w:w="3872"/>
      </w:tblGrid>
      <w:tr>
        <w:tblPrEx>
          <w:tblCellMar>
            <w:top w:w="0" w:type="dxa"/>
            <w:left w:w="108" w:type="dxa"/>
            <w:bottom w:w="0" w:type="dxa"/>
            <w:right w:w="108" w:type="dxa"/>
          </w:tblCellMar>
        </w:tblPrEx>
        <w:trPr>
          <w:trHeight w:val="20" w:hRule="atLeast"/>
          <w:jc w:val="center"/>
        </w:trPr>
        <w:tc>
          <w:tcPr>
            <w:tcW w:w="4593" w:type="dxa"/>
            <w:vAlign w:val="center"/>
          </w:tcPr>
          <w:p>
            <w:pPr>
              <w:rPr>
                <w:sz w:val="32"/>
                <w:szCs w:val="32"/>
              </w:rPr>
            </w:pPr>
            <w:r>
              <w:rPr>
                <w:sz w:val="32"/>
                <w:szCs w:val="32"/>
              </w:rPr>
              <w:drawing>
                <wp:inline distT="0" distB="0" distL="0" distR="0">
                  <wp:extent cx="2705100" cy="2476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05100" cy="2476500"/>
                          </a:xfrm>
                          <a:prstGeom prst="rect">
                            <a:avLst/>
                          </a:prstGeom>
                          <a:noFill/>
                          <a:ln>
                            <a:noFill/>
                          </a:ln>
                        </pic:spPr>
                      </pic:pic>
                    </a:graphicData>
                  </a:graphic>
                </wp:inline>
              </w:drawing>
            </w:r>
          </w:p>
        </w:tc>
        <w:tc>
          <w:tcPr>
            <w:tcW w:w="3872" w:type="dxa"/>
            <w:vAlign w:val="center"/>
          </w:tcPr>
          <w:p>
            <w:pPr>
              <w:rPr>
                <w:sz w:val="32"/>
                <w:szCs w:val="32"/>
              </w:rPr>
            </w:pPr>
            <w:r>
              <w:rPr>
                <w:sz w:val="32"/>
                <w:szCs w:val="32"/>
              </w:rPr>
              <w:drawing>
                <wp:inline distT="0" distB="0" distL="0" distR="0">
                  <wp:extent cx="2362200" cy="2438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243840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40" w:hRule="atLeast"/>
          <w:jc w:val="center"/>
        </w:trPr>
        <w:tc>
          <w:tcPr>
            <w:tcW w:w="4593" w:type="dxa"/>
            <w:vAlign w:val="center"/>
          </w:tcPr>
          <w:p>
            <w:pPr>
              <w:spacing w:line="560" w:lineRule="exact"/>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试验设备图</w:t>
            </w:r>
          </w:p>
        </w:tc>
        <w:tc>
          <w:tcPr>
            <w:tcW w:w="3872" w:type="dxa"/>
            <w:vAlign w:val="center"/>
          </w:tcPr>
          <w:p>
            <w:pPr>
              <w:spacing w:line="560" w:lineRule="exact"/>
              <w:ind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案例图</w:t>
            </w:r>
          </w:p>
        </w:tc>
      </w:tr>
    </w:tbl>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微纳米曝气系统产生的0.1~10微米的纳米气泡，可使水中的溶解氧达到过饱和。纳米气泡在沉降、破裂的过程中，能促使产生强氧化性质的OH-自由基和H3O2-，这些物质可有效降解水体污染物，达到提高水体溶解氧，治理黑臭的目的。</w:t>
      </w:r>
    </w:p>
    <w:p>
      <w:pPr>
        <w:spacing w:line="560" w:lineRule="exact"/>
        <w:rPr>
          <w:rFonts w:ascii="仿宋" w:hAnsi="仿宋" w:eastAsia="仿宋" w:cs="仿宋"/>
          <w:color w:val="000000"/>
          <w:sz w:val="32"/>
          <w:szCs w:val="32"/>
        </w:rPr>
        <w:sectPr>
          <w:footerReference r:id="rId3" w:type="default"/>
          <w:pgSz w:w="11906" w:h="16838"/>
          <w:pgMar w:top="2098" w:right="1474" w:bottom="1984" w:left="1587" w:header="851" w:footer="992" w:gutter="0"/>
          <w:pgNumType w:fmt="numberInDash"/>
          <w:cols w:space="0" w:num="1"/>
          <w:docGrid w:type="lines" w:linePitch="318" w:charSpace="0"/>
        </w:sectPr>
      </w:pPr>
    </w:p>
    <w:p>
      <w:pPr>
        <w:jc w:val="left"/>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6"/>
              <wp:cNvGraphicFramePr/>
              <a:graphic xmlns:a="http://schemas.openxmlformats.org/drawingml/2006/main">
                <a:graphicData uri="http://schemas.microsoft.com/office/word/2010/wordprocessingShape">
                  <wps:wsp>
                    <wps:cNvSpPr>
                      <a:spLocks noChangeArrowheads="1"/>
                    </wps:cNvSpPr>
                    <wps:spPr bwMode="auto">
                      <a:xfrm>
                        <a:off x="0" y="0"/>
                        <a:ext cx="445135" cy="230505"/>
                      </a:xfrm>
                      <a:prstGeom prst="rect">
                        <a:avLst/>
                      </a:prstGeom>
                      <a:noFill/>
                      <a:ln>
                        <a:noFill/>
                      </a:ln>
                    </wps:spPr>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rect id="文本框 6" o:spid="_x0000_s1026" o:spt="1" style="position:absolute;left:0pt;margin-top:0pt;height:18.15pt;width:35.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445BC"/>
    <w:rsid w:val="002F642F"/>
    <w:rsid w:val="003D6E87"/>
    <w:rsid w:val="00515034"/>
    <w:rsid w:val="00683F14"/>
    <w:rsid w:val="006C510F"/>
    <w:rsid w:val="007022F8"/>
    <w:rsid w:val="007B0197"/>
    <w:rsid w:val="008D475E"/>
    <w:rsid w:val="008E45A6"/>
    <w:rsid w:val="009450BD"/>
    <w:rsid w:val="009C3A75"/>
    <w:rsid w:val="00A84ABA"/>
    <w:rsid w:val="00B44D05"/>
    <w:rsid w:val="00C641BF"/>
    <w:rsid w:val="00CB3FD5"/>
    <w:rsid w:val="00E05B8A"/>
    <w:rsid w:val="00EA156E"/>
    <w:rsid w:val="00F439EC"/>
    <w:rsid w:val="00F54986"/>
    <w:rsid w:val="00FF4E63"/>
    <w:rsid w:val="054B34F8"/>
    <w:rsid w:val="09F506FC"/>
    <w:rsid w:val="0CE02784"/>
    <w:rsid w:val="0F23017D"/>
    <w:rsid w:val="1019722E"/>
    <w:rsid w:val="10BA5A7E"/>
    <w:rsid w:val="15D22550"/>
    <w:rsid w:val="19B1259C"/>
    <w:rsid w:val="1A8F1E98"/>
    <w:rsid w:val="1FBE36EF"/>
    <w:rsid w:val="206A3F13"/>
    <w:rsid w:val="24431E41"/>
    <w:rsid w:val="25801678"/>
    <w:rsid w:val="25A22BCF"/>
    <w:rsid w:val="2AEF3FDA"/>
    <w:rsid w:val="2E0D6027"/>
    <w:rsid w:val="33F02AFD"/>
    <w:rsid w:val="368D0397"/>
    <w:rsid w:val="3DDD280E"/>
    <w:rsid w:val="3E09515B"/>
    <w:rsid w:val="46685247"/>
    <w:rsid w:val="47827874"/>
    <w:rsid w:val="490D13A1"/>
    <w:rsid w:val="4B0D68E8"/>
    <w:rsid w:val="4E7445BC"/>
    <w:rsid w:val="4F2B13E7"/>
    <w:rsid w:val="574E2A39"/>
    <w:rsid w:val="576A20F3"/>
    <w:rsid w:val="5A5E0E89"/>
    <w:rsid w:val="60F65F63"/>
    <w:rsid w:val="63DB492C"/>
    <w:rsid w:val="6DDB5BF2"/>
    <w:rsid w:val="74EB7C56"/>
    <w:rsid w:val="75745D03"/>
    <w:rsid w:val="793A6A83"/>
    <w:rsid w:val="FD7FA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8">
    <w:name w:val="Hyperlink"/>
    <w:basedOn w:val="7"/>
    <w:qFormat/>
    <w:uiPriority w:val="0"/>
    <w:rPr>
      <w:color w:val="0000FF" w:themeColor="hyperlink"/>
      <w:u w:val="single"/>
      <w14:textFill>
        <w14:solidFill>
          <w14:schemeClr w14:val="hlink"/>
        </w14:solidFill>
      </w14:textFill>
    </w:rPr>
  </w:style>
  <w:style w:type="character" w:customStyle="1" w:styleId="9">
    <w:name w:val="批注框文本 Char"/>
    <w:basedOn w:val="7"/>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401</Words>
  <Characters>2287</Characters>
  <Lines>19</Lines>
  <Paragraphs>5</Paragraphs>
  <TotalTime>0</TotalTime>
  <ScaleCrop>false</ScaleCrop>
  <LinksUpToDate>false</LinksUpToDate>
  <CharactersWithSpaces>2683</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2017-10-31T14:51:00Z</dcterms:created>
  <dc:creator>user</dc:creator>
  <cp:lastModifiedBy>刘菁菁</cp:lastModifiedBy>
  <cp:lastPrinted>2017-10-30T14:54:00Z</cp:lastPrinted>
  <dcterms:modified xsi:type="dcterms:W3CDTF">2024-02-26T12:36:29Z</dcterms:modified>
  <dc:title>关于举行《福田河黑臭河段水质提升工程》   听证会的公告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8348435961C701BA4D15DC65264C5389</vt:lpwstr>
  </property>
</Properties>
</file>