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color w:val="auto"/>
          <w:sz w:val="36"/>
          <w:szCs w:val="36"/>
        </w:rPr>
      </w:pPr>
      <w:r>
        <w:rPr>
          <w:color w:val="auto"/>
          <w:sz w:val="36"/>
        </w:rPr>
        <mc:AlternateContent>
          <mc:Choice Requires="wps">
            <w:drawing>
              <wp:anchor distT="0" distB="0" distL="114300" distR="114300" simplePos="0" relativeHeight="251659264" behindDoc="1" locked="0" layoutInCell="1" allowOverlap="1">
                <wp:simplePos x="0" y="0"/>
                <wp:positionH relativeFrom="column">
                  <wp:posOffset>-1939290</wp:posOffset>
                </wp:positionH>
                <wp:positionV relativeFrom="paragraph">
                  <wp:posOffset>-691515</wp:posOffset>
                </wp:positionV>
                <wp:extent cx="5669915" cy="1301115"/>
                <wp:effectExtent l="0" t="0" r="1905" b="6350"/>
                <wp:wrapNone/>
                <wp:docPr id="1" name="文本框 1"/>
                <wp:cNvGraphicFramePr/>
                <a:graphic xmlns:a="http://schemas.openxmlformats.org/drawingml/2006/main">
                  <a:graphicData uri="http://schemas.microsoft.com/office/word/2010/wordprocessingShape">
                    <wps:wsp>
                      <wps:cNvSpPr txBox="1"/>
                      <wps:spPr>
                        <a:xfrm>
                          <a:off x="0" y="0"/>
                          <a:ext cx="5669915" cy="1301115"/>
                        </a:xfrm>
                        <a:prstGeom prst="rect">
                          <a:avLst/>
                        </a:prstGeom>
                        <a:solidFill>
                          <a:srgbClr val="FFFFFF"/>
                        </a:solidFill>
                        <a:ln w="6350">
                          <a:noFill/>
                        </a:ln>
                        <a:effectLst/>
                      </wps:spPr>
                      <wps:txbx>
                        <w:txbxContent>
                          <w:p/>
                        </w:txbxContent>
                      </wps:txbx>
                      <wps:bodyPr wrap="square" upright="1"/>
                    </wps:wsp>
                  </a:graphicData>
                </a:graphic>
              </wp:anchor>
            </w:drawing>
          </mc:Choice>
          <mc:Fallback>
            <w:pict>
              <v:shape id="_x0000_s1026" o:spid="_x0000_s1026" o:spt="202" type="#_x0000_t202" style="position:absolute;left:0pt;margin-left:-152.7pt;margin-top:-54.45pt;height:102.45pt;width:446.45pt;z-index:-251657216;mso-width-relative:page;mso-height-relative:page;" fillcolor="#FFFFFF" filled="t" stroked="f" coordsize="21600,21600" o:gfxdata="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">
                <v:fill on="t" focussize="0,0"/>
                <v:stroke on="f" weight="0.5pt"/>
                <v:imagedata o:title=""/>
                <o:lock v:ext="edit" aspectratio="f"/>
                <v:textbox>
                  <w:txbxContent>
                    <w:p/>
                  </w:txbxContent>
                </v:textbox>
              </v:shape>
            </w:pict>
          </mc:Fallback>
        </mc:AlternateContent>
      </w:r>
      <w:r>
        <w:rPr>
          <w:rFonts w:hint="eastAsia" w:ascii="方正小标宋简体" w:hAnsi="方正小标宋简体" w:eastAsia="方正小标宋简体" w:cs="方正小标宋简体"/>
          <w:color w:val="auto"/>
          <w:sz w:val="36"/>
          <w:szCs w:val="36"/>
          <w:lang w:eastAsia="zh-CN"/>
        </w:rPr>
        <w:t>福田区总工会采购</w:t>
      </w:r>
      <w:r>
        <w:rPr>
          <w:rFonts w:hint="eastAsia" w:ascii="方正小标宋简体" w:hAnsi="方正小标宋简体" w:eastAsia="方正小标宋简体" w:cs="方正小标宋简体"/>
          <w:color w:val="auto"/>
          <w:sz w:val="36"/>
          <w:szCs w:val="36"/>
        </w:rPr>
        <w:t>公告</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color w:val="auto"/>
          <w:sz w:val="28"/>
          <w:szCs w:val="28"/>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项目名称</w:t>
      </w:r>
      <w:r>
        <w:rPr>
          <w:rFonts w:hint="eastAsia" w:ascii="仿宋_GB2312" w:hAnsi="仿宋_GB2312" w:eastAsia="仿宋_GB2312" w:cs="仿宋_GB2312"/>
          <w:color w:val="auto"/>
          <w:sz w:val="28"/>
          <w:szCs w:val="28"/>
          <w:u w:val="none"/>
          <w:lang w:val="en-US" w:eastAsia="zh-CN"/>
        </w:rPr>
        <w:t>：福田区工会2024年劳动争议前端化解专项行动项目</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采购方式：公开采购</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预算金额：</w:t>
      </w:r>
      <w:r>
        <w:rPr>
          <w:rFonts w:hint="eastAsia" w:ascii="仿宋_GB2312" w:hAnsi="仿宋_GB2312" w:eastAsia="仿宋_GB2312" w:cs="仿宋_GB2312"/>
          <w:color w:val="auto"/>
          <w:sz w:val="28"/>
          <w:szCs w:val="28"/>
          <w:u w:val="none"/>
          <w:lang w:val="en-US" w:eastAsia="zh-CN"/>
        </w:rPr>
        <w:t>30万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采购需求：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1、协助组织各街道工业（产业）园区、楼宇的企业职工代表、企业HR、企业负责人，开展和谐劳动关系普法宣传活动，加强企业劳动用工指导，保障职工合法权益，促进劳动关系和谐稳定。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协助聚焦劳动争议多发企业、初创企业和小微企业、新业态企业和风险企业，组织开展企业HR课堂、用工一对一跟踪服务（劳动关系体检）、规范用工制度、指导开展集体协商等一系列劳动用工合法合规指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3、协助对企业管理者和企业员工组织开展双向普法。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auto"/>
          <w:sz w:val="28"/>
          <w:szCs w:val="28"/>
          <w:u w:val="none"/>
        </w:rPr>
        <w:t>合同履行期限：</w:t>
      </w:r>
      <w:r>
        <w:rPr>
          <w:rFonts w:hint="eastAsia" w:ascii="仿宋_GB2312" w:hAnsi="仿宋_GB2312" w:eastAsia="仿宋_GB2312" w:cs="仿宋_GB2312"/>
          <w:color w:val="auto"/>
          <w:sz w:val="28"/>
          <w:szCs w:val="28"/>
          <w:u w:val="none"/>
          <w:lang w:val="en-US" w:eastAsia="zh-CN"/>
        </w:rPr>
        <w:t>2024年4月1日至2024</w:t>
      </w:r>
      <w:r>
        <w:rPr>
          <w:rFonts w:hint="default" w:ascii="仿宋_GB2312" w:hAnsi="仿宋_GB2312" w:eastAsia="仿宋_GB2312" w:cs="仿宋_GB2312"/>
          <w:color w:val="auto"/>
          <w:sz w:val="28"/>
          <w:szCs w:val="28"/>
          <w:u w:val="none"/>
        </w:rPr>
        <w:t>年</w:t>
      </w:r>
      <w:r>
        <w:rPr>
          <w:rFonts w:hint="eastAsia" w:ascii="仿宋_GB2312" w:hAnsi="仿宋_GB2312" w:eastAsia="仿宋_GB2312" w:cs="仿宋_GB2312"/>
          <w:color w:val="auto"/>
          <w:sz w:val="28"/>
          <w:szCs w:val="28"/>
          <w:u w:val="none"/>
          <w:lang w:val="en-US" w:eastAsia="zh-CN"/>
        </w:rPr>
        <w:t>12</w:t>
      </w:r>
      <w:r>
        <w:rPr>
          <w:rFonts w:hint="default" w:ascii="仿宋_GB2312" w:hAnsi="仿宋_GB2312" w:eastAsia="仿宋_GB2312" w:cs="仿宋_GB2312"/>
          <w:color w:val="auto"/>
          <w:sz w:val="28"/>
          <w:szCs w:val="28"/>
          <w:u w:val="none"/>
        </w:rPr>
        <w:t>月</w:t>
      </w:r>
      <w:r>
        <w:rPr>
          <w:rFonts w:hint="eastAsia" w:ascii="仿宋_GB2312" w:hAnsi="仿宋_GB2312" w:eastAsia="仿宋_GB2312" w:cs="仿宋_GB2312"/>
          <w:color w:val="auto"/>
          <w:sz w:val="28"/>
          <w:szCs w:val="28"/>
          <w:u w:val="none"/>
          <w:lang w:val="en-US" w:eastAsia="zh-CN"/>
        </w:rPr>
        <w:t>31日</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二、申请人的资格要求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rPr>
        <w:t>1</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u w:val="none"/>
        </w:rPr>
        <w:t>满足《中华人民共和国政府采购法》第二十二条规定</w:t>
      </w:r>
      <w:r>
        <w:rPr>
          <w:rFonts w:hint="eastAsia" w:ascii="仿宋_GB2312" w:hAnsi="仿宋_GB2312" w:eastAsia="仿宋_GB2312" w:cs="仿宋_GB2312"/>
          <w:color w:val="auto"/>
          <w:sz w:val="28"/>
          <w:szCs w:val="28"/>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color w:val="auto"/>
          <w:sz w:val="28"/>
          <w:szCs w:val="28"/>
          <w:u w:val="none"/>
        </w:rPr>
        <w:t>近三年内（成立不足三年的可从成立之日起算）无重大违法犯罪记录和不存在处于被禁止参与政府采购活动期限内情形；</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有三年以上的普法宣传活动组织经验</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能够严格按照合同约定，履行相应义务，提供优质服务</w:t>
      </w:r>
      <w:r>
        <w:rPr>
          <w:rFonts w:hint="eastAsia" w:ascii="仿宋_GB2312" w:hAnsi="仿宋_GB2312" w:eastAsia="仿宋_GB2312" w:cs="仿宋_GB2312"/>
          <w:color w:val="auto"/>
          <w:sz w:val="28"/>
          <w:szCs w:val="28"/>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rPr>
        <w:t>具备自有专业顾问团队，对和谐劳动关系构建工作有一定的了解能力，具有工会领域、劳动关系领域、社会保险等项目运营经验</w:t>
      </w:r>
      <w:r>
        <w:rPr>
          <w:rFonts w:hint="eastAsia" w:ascii="仿宋_GB2312" w:hAnsi="仿宋_GB2312" w:eastAsia="仿宋_GB2312" w:cs="仿宋_GB2312"/>
          <w:color w:val="auto"/>
          <w:sz w:val="28"/>
          <w:szCs w:val="28"/>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5、</w:t>
      </w:r>
      <w:r>
        <w:rPr>
          <w:rFonts w:hint="default" w:ascii="仿宋_GB2312" w:hAnsi="仿宋_GB2312" w:eastAsia="仿宋_GB2312" w:cs="仿宋_GB2312"/>
          <w:color w:val="auto"/>
          <w:sz w:val="28"/>
          <w:szCs w:val="28"/>
          <w:u w:val="none"/>
        </w:rPr>
        <w:t>本项目不接受联合体。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rPr>
        <w:t>三、</w:t>
      </w:r>
      <w:r>
        <w:rPr>
          <w:rFonts w:hint="eastAsia" w:ascii="黑体" w:hAnsi="黑体" w:eastAsia="黑体" w:cs="黑体"/>
          <w:color w:val="auto"/>
          <w:sz w:val="28"/>
          <w:szCs w:val="28"/>
          <w:lang w:eastAsia="zh-CN"/>
        </w:rPr>
        <w:t>应答</w:t>
      </w:r>
      <w:r>
        <w:rPr>
          <w:rFonts w:hint="eastAsia" w:ascii="黑体" w:hAnsi="黑体" w:eastAsia="黑体" w:cs="黑体"/>
          <w:color w:val="auto"/>
          <w:sz w:val="28"/>
          <w:szCs w:val="28"/>
          <w:u w:val="none"/>
        </w:rPr>
        <w:t>文件提交</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eastAsia="zh-CN"/>
        </w:rPr>
        <w:t>报价资料：报价函、项目方案、营业执照、招投标信用报告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eastAsia="仿宋_GB2312"/>
          <w:lang w:eastAsia="zh-CN"/>
        </w:rPr>
      </w:pPr>
      <w:r>
        <w:rPr>
          <w:rFonts w:hint="eastAsia" w:ascii="仿宋_GB2312" w:hAnsi="仿宋_GB2312" w:eastAsia="仿宋_GB2312" w:cs="仿宋_GB2312"/>
          <w:color w:val="auto"/>
          <w:sz w:val="28"/>
          <w:szCs w:val="28"/>
          <w:u w:val="none"/>
          <w:lang w:eastAsia="zh-CN"/>
        </w:rPr>
        <w:t>截止时间：</w:t>
      </w:r>
      <w:r>
        <w:rPr>
          <w:rFonts w:hint="eastAsia" w:ascii="仿宋_GB2312" w:hAnsi="仿宋_GB2312" w:eastAsia="仿宋_GB2312" w:cs="仿宋_GB2312"/>
          <w:color w:val="auto"/>
          <w:sz w:val="28"/>
          <w:szCs w:val="28"/>
          <w:u w:val="none"/>
          <w:shd w:val="clear" w:color="auto" w:fill="auto"/>
          <w:lang w:val="en-US" w:eastAsia="zh-CN"/>
        </w:rPr>
        <w:t>2024</w:t>
      </w:r>
      <w:r>
        <w:rPr>
          <w:rFonts w:hint="eastAsia" w:ascii="仿宋_GB2312" w:hAnsi="仿宋_GB2312" w:eastAsia="仿宋_GB2312" w:cs="仿宋_GB2312"/>
          <w:color w:val="auto"/>
          <w:sz w:val="28"/>
          <w:szCs w:val="28"/>
          <w:u w:val="none"/>
          <w:shd w:val="clear" w:color="auto" w:fill="auto"/>
        </w:rPr>
        <w:t>年</w:t>
      </w:r>
      <w:r>
        <w:rPr>
          <w:rFonts w:hint="eastAsia" w:ascii="仿宋_GB2312" w:hAnsi="仿宋_GB2312" w:eastAsia="仿宋_GB2312" w:cs="仿宋_GB2312"/>
          <w:color w:val="auto"/>
          <w:sz w:val="28"/>
          <w:szCs w:val="28"/>
          <w:u w:val="none"/>
          <w:shd w:val="clear" w:color="auto" w:fill="auto"/>
          <w:lang w:val="en-US" w:eastAsia="zh-CN"/>
        </w:rPr>
        <w:t>3</w:t>
      </w:r>
      <w:r>
        <w:rPr>
          <w:rFonts w:hint="eastAsia" w:ascii="仿宋_GB2312" w:hAnsi="仿宋_GB2312" w:eastAsia="仿宋_GB2312" w:cs="仿宋_GB2312"/>
          <w:color w:val="auto"/>
          <w:sz w:val="28"/>
          <w:szCs w:val="28"/>
          <w:u w:val="none"/>
          <w:shd w:val="clear" w:color="auto" w:fill="auto"/>
        </w:rPr>
        <w:t>月</w:t>
      </w:r>
      <w:r>
        <w:rPr>
          <w:rFonts w:hint="eastAsia" w:ascii="仿宋_GB2312" w:hAnsi="仿宋_GB2312" w:eastAsia="仿宋_GB2312" w:cs="仿宋_GB2312"/>
          <w:color w:val="auto"/>
          <w:sz w:val="28"/>
          <w:szCs w:val="28"/>
          <w:u w:val="none"/>
          <w:shd w:val="clear" w:color="auto" w:fill="auto"/>
          <w:lang w:val="en-US" w:eastAsia="zh-CN"/>
        </w:rPr>
        <w:t>20</w:t>
      </w:r>
      <w:r>
        <w:rPr>
          <w:rFonts w:hint="eastAsia" w:ascii="仿宋_GB2312" w:hAnsi="仿宋_GB2312" w:eastAsia="仿宋_GB2312" w:cs="仿宋_GB2312"/>
          <w:color w:val="auto"/>
          <w:sz w:val="28"/>
          <w:szCs w:val="28"/>
          <w:u w:val="none"/>
          <w:shd w:val="clear" w:color="auto" w:fill="auto"/>
        </w:rPr>
        <w:t>日</w:t>
      </w:r>
      <w:r>
        <w:rPr>
          <w:rFonts w:hint="eastAsia" w:ascii="仿宋_GB2312" w:hAnsi="仿宋_GB2312" w:eastAsia="仿宋_GB2312" w:cs="仿宋_GB2312"/>
          <w:color w:val="auto"/>
          <w:sz w:val="28"/>
          <w:szCs w:val="28"/>
          <w:u w:val="none"/>
          <w:shd w:val="clear" w:color="auto" w:fill="auto"/>
          <w:lang w:val="en-US" w:eastAsia="zh-CN"/>
        </w:rPr>
        <w:t>18</w:t>
      </w:r>
      <w:r>
        <w:rPr>
          <w:rFonts w:hint="eastAsia" w:ascii="仿宋_GB2312" w:hAnsi="仿宋_GB2312" w:eastAsia="仿宋_GB2312" w:cs="仿宋_GB2312"/>
          <w:color w:val="auto"/>
          <w:sz w:val="28"/>
          <w:szCs w:val="28"/>
          <w:u w:val="none"/>
          <w:shd w:val="clear" w:color="auto" w:fill="auto"/>
        </w:rPr>
        <w:t>点</w:t>
      </w:r>
      <w:r>
        <w:rPr>
          <w:rFonts w:hint="eastAsia" w:ascii="仿宋_GB2312" w:hAnsi="仿宋_GB2312" w:eastAsia="仿宋_GB2312" w:cs="仿宋_GB2312"/>
          <w:color w:val="auto"/>
          <w:sz w:val="28"/>
          <w:szCs w:val="28"/>
          <w:u w:val="none"/>
          <w:shd w:val="clear" w:color="auto" w:fill="auto"/>
          <w:lang w:val="en-US" w:eastAsia="zh-CN"/>
        </w:rPr>
        <w:t>00</w:t>
      </w:r>
      <w:r>
        <w:rPr>
          <w:rFonts w:hint="eastAsia" w:ascii="仿宋_GB2312" w:hAnsi="仿宋_GB2312" w:eastAsia="仿宋_GB2312" w:cs="仿宋_GB2312"/>
          <w:color w:val="auto"/>
          <w:sz w:val="28"/>
          <w:szCs w:val="28"/>
          <w:u w:val="none"/>
          <w:shd w:val="clear" w:color="auto" w:fill="auto"/>
        </w:rPr>
        <w:t>分</w:t>
      </w:r>
      <w:r>
        <w:rPr>
          <w:rFonts w:hint="eastAsia" w:ascii="仿宋_GB2312" w:hAnsi="仿宋_GB2312" w:eastAsia="仿宋_GB2312" w:cs="仿宋_GB2312"/>
          <w:color w:val="auto"/>
          <w:sz w:val="28"/>
          <w:szCs w:val="28"/>
          <w:u w:val="none"/>
        </w:rPr>
        <w:t>（北京时间）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rPr>
        <w:t>地点：</w:t>
      </w:r>
      <w:r>
        <w:rPr>
          <w:rFonts w:hint="eastAsia" w:ascii="仿宋_GB2312" w:hAnsi="仿宋_GB2312" w:eastAsia="仿宋_GB2312" w:cs="仿宋_GB2312"/>
          <w:color w:val="auto"/>
          <w:sz w:val="28"/>
          <w:szCs w:val="28"/>
          <w:u w:val="none"/>
          <w:shd w:val="clear" w:color="auto" w:fill="auto"/>
          <w:lang w:val="en-US" w:eastAsia="zh-CN"/>
        </w:rPr>
        <w:t>深圳市福田区新天世纪商务中心A座4413房</w:t>
      </w:r>
    </w:p>
    <w:p>
      <w:pPr>
        <w:pStyle w:val="2"/>
        <w:rPr>
          <w:rFonts w:hint="default"/>
          <w:lang w:val="en-US" w:eastAsia="zh-CN"/>
        </w:rPr>
      </w:pPr>
      <w:r>
        <w:rPr>
          <w:rFonts w:hint="eastAsia" w:ascii="仿宋_GB2312" w:hAnsi="仿宋_GB2312" w:eastAsia="仿宋_GB2312" w:cs="仿宋_GB2312"/>
          <w:color w:val="auto"/>
          <w:sz w:val="28"/>
          <w:szCs w:val="28"/>
          <w:u w:val="none"/>
          <w:shd w:val="clear" w:color="auto" w:fill="auto"/>
          <w:lang w:val="en-US" w:eastAsia="zh-CN"/>
        </w:rPr>
        <w:t>提交方式：邮寄或线下提交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lang w:eastAsia="zh-CN"/>
        </w:rPr>
        <w:t>四、</w:t>
      </w:r>
      <w:r>
        <w:rPr>
          <w:rFonts w:hint="eastAsia" w:ascii="黑体" w:hAnsi="黑体" w:eastAsia="黑体" w:cs="黑体"/>
          <w:color w:val="auto"/>
          <w:sz w:val="28"/>
          <w:szCs w:val="28"/>
          <w:u w:val="none"/>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2024年3月18日至2024年3月20</w:t>
      </w:r>
      <w:bookmarkStart w:id="0" w:name="_GoBack"/>
      <w:bookmarkEnd w:id="0"/>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lang w:eastAsia="zh-CN"/>
        </w:rPr>
        <w:t>五、</w:t>
      </w:r>
      <w:r>
        <w:rPr>
          <w:rFonts w:hint="eastAsia" w:ascii="黑体" w:hAnsi="黑体" w:eastAsia="黑体" w:cs="黑体"/>
          <w:color w:val="auto"/>
          <w:sz w:val="28"/>
          <w:szCs w:val="28"/>
          <w:u w:val="none"/>
        </w:rPr>
        <w:t>其他补充事宜</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承接单位必须对该采购所涉及的相应内容、数据予以保密。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黑体" w:hAnsi="黑体" w:eastAsia="黑体" w:cs="黑体"/>
          <w:color w:val="auto"/>
          <w:sz w:val="28"/>
          <w:szCs w:val="28"/>
          <w:u w:val="none"/>
          <w:lang w:eastAsia="zh-CN"/>
        </w:rPr>
        <w:t>六、</w:t>
      </w:r>
      <w:r>
        <w:rPr>
          <w:rFonts w:hint="eastAsia" w:ascii="黑体" w:hAnsi="黑体" w:eastAsia="黑体" w:cs="黑体"/>
          <w:color w:val="auto"/>
          <w:sz w:val="28"/>
          <w:szCs w:val="28"/>
          <w:u w:val="none"/>
        </w:rPr>
        <w:t>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1.采购</w:t>
      </w:r>
      <w:r>
        <w:rPr>
          <w:rFonts w:hint="eastAsia" w:ascii="仿宋_GB2312" w:hAnsi="仿宋_GB2312" w:eastAsia="仿宋_GB2312" w:cs="仿宋_GB2312"/>
          <w:color w:val="auto"/>
          <w:sz w:val="28"/>
          <w:szCs w:val="28"/>
          <w:u w:val="none"/>
          <w:lang w:eastAsia="zh-CN"/>
        </w:rPr>
        <w:t>单位</w:t>
      </w:r>
      <w:r>
        <w:rPr>
          <w:rFonts w:hint="eastAsia" w:ascii="仿宋_GB2312" w:hAnsi="仿宋_GB2312" w:eastAsia="仿宋_GB2312" w:cs="仿宋_GB2312"/>
          <w:color w:val="auto"/>
          <w:sz w:val="28"/>
          <w:szCs w:val="28"/>
          <w:u w:val="none"/>
        </w:rPr>
        <w:t>信息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名称：</w:t>
      </w:r>
      <w:r>
        <w:rPr>
          <w:rFonts w:hint="eastAsia" w:ascii="仿宋_GB2312" w:hAnsi="仿宋_GB2312" w:eastAsia="仿宋_GB2312" w:cs="仿宋_GB2312"/>
          <w:color w:val="auto"/>
          <w:sz w:val="28"/>
          <w:szCs w:val="28"/>
          <w:u w:val="none"/>
          <w:lang w:val="en-US" w:eastAsia="zh-CN"/>
        </w:rPr>
        <w:t>深圳市福田区总工会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地址：</w:t>
      </w:r>
      <w:r>
        <w:rPr>
          <w:rFonts w:hint="eastAsia" w:ascii="仿宋_GB2312" w:hAnsi="仿宋_GB2312" w:eastAsia="仿宋_GB2312" w:cs="仿宋_GB2312"/>
          <w:color w:val="auto"/>
          <w:sz w:val="28"/>
          <w:szCs w:val="28"/>
          <w:u w:val="none"/>
          <w:lang w:val="en-US" w:eastAsia="zh-CN"/>
        </w:rPr>
        <w:t>深圳市福田区福民路123号</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2.项目联系方式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rPr>
        <w:t>项目联系人：</w:t>
      </w:r>
      <w:r>
        <w:rPr>
          <w:rFonts w:hint="eastAsia" w:ascii="仿宋_GB2312" w:hAnsi="仿宋_GB2312" w:eastAsia="仿宋_GB2312" w:cs="仿宋_GB2312"/>
          <w:color w:val="auto"/>
          <w:sz w:val="28"/>
          <w:szCs w:val="28"/>
          <w:u w:val="none"/>
          <w:lang w:val="en-US" w:eastAsia="zh-CN"/>
        </w:rPr>
        <w:t>陈先生</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rPr>
        <w:t>电话：</w:t>
      </w:r>
      <w:r>
        <w:rPr>
          <w:rFonts w:hint="eastAsia" w:ascii="仿宋_GB2312" w:hAnsi="仿宋_GB2312" w:eastAsia="仿宋_GB2312" w:cs="仿宋_GB2312"/>
          <w:color w:val="auto"/>
          <w:sz w:val="28"/>
          <w:szCs w:val="28"/>
          <w:u w:val="none"/>
          <w:lang w:val="en-US" w:eastAsia="zh-CN"/>
        </w:rPr>
        <w:t>82998676</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7D9C24"/>
    <w:rsid w:val="0CEFC768"/>
    <w:rsid w:val="2DFEA9DA"/>
    <w:rsid w:val="5CB7226C"/>
    <w:rsid w:val="7F3A9927"/>
    <w:rsid w:val="AF4E5728"/>
    <w:rsid w:val="BB7D9C24"/>
    <w:rsid w:val="D3FB8EED"/>
    <w:rsid w:val="F5795AE4"/>
    <w:rsid w:val="F6FBB8F3"/>
    <w:rsid w:val="F7EB6800"/>
    <w:rsid w:val="FDB6DA80"/>
    <w:rsid w:val="FFFEF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2023-12-08T01:39:00Z</dcterms:created>
  <dc:creator>陈敬德</dc:creator>
  <cp:lastModifiedBy>pengshuyi</cp:lastModifiedBy>
  <dcterms:modified xsi:type="dcterms:W3CDTF">2024-03-18T09:41:07Z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672E781C1F5A30E7BE98F265F7F4F409</vt:lpwstr>
  </property>
</Properties>
</file>