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1051"/>
        <w:gridCol w:w="2509"/>
        <w:gridCol w:w="1736"/>
        <w:gridCol w:w="1842"/>
        <w:gridCol w:w="2262"/>
      </w:tblGrid>
      <w:tr>
        <w:tblPrEx>
          <w:tblCellMar>
            <w:top w:w="0" w:type="dxa"/>
            <w:left w:w="108" w:type="dxa"/>
            <w:bottom w:w="0" w:type="dxa"/>
            <w:right w:w="108" w:type="dxa"/>
          </w:tblCellMar>
        </w:tblPrEx>
        <w:trPr>
          <w:trHeight w:val="69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kern w:val="0"/>
                <w:sz w:val="24"/>
              </w:rPr>
              <w:t>2024年河套福保园区党群服务中心法律服务</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250000.00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河套福保园区</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胡朝杭</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2037"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vAlign w:val="center"/>
          </w:tcPr>
          <w:p>
            <w:pPr>
              <w:widowControl/>
              <w:spacing w:line="240" w:lineRule="auto"/>
              <w:ind w:firstLine="480" w:firstLineChars="20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因河套福保园区内企业数量多且涉及大量劳动密集型产业，辖区内各类纠纷问题频发，呈现出诉求主体多元化、形式多样化、内容复杂化以及矛盾易激化等特点。为加强我街道河套福保园区依法调处园区内各类矛盾纠纷的能力，拟采购法律团队服务，派驻河套福保园区办公，主要负责河套福保园区各类纠纷调解工作，为维护园区平安稳定提供法律支撑。</w:t>
            </w:r>
          </w:p>
        </w:tc>
      </w:tr>
      <w:tr>
        <w:tblPrEx>
          <w:tblCellMar>
            <w:top w:w="0" w:type="dxa"/>
            <w:left w:w="108" w:type="dxa"/>
            <w:bottom w:w="0" w:type="dxa"/>
            <w:right w:w="108" w:type="dxa"/>
          </w:tblCellMar>
        </w:tblPrEx>
        <w:trPr>
          <w:trHeight w:val="5307"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（1）物业管理纠纷调解。服务团队对保税园区物业管理纠纷进行调解，并整理保留相关档案资料；</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（2）信访案件处理。服务团队对园区各类纠纷信访案件进行调查、跟踪、答复、调解、档案整理等一系列工作；</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（3）法律咨询。服务团队在保税区内开展针对园区企业及员工的普法服务，包括法治培训、普法宣传、法律宣传等，同时也为保税中心的工作人员提供必要的各项法律法规讲座；</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（4）纠纷调解。负责园区如物业、劳动保障、经济纠纷等各类矛盾纠纷(含简易、重大、重特大调解）的调解工作；</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（5）协助街道工作部门调处、化解矛盾纠纷，开展各类维护辖区和谐稳定的活动；参与处理辖区内的突发事件，维护辖区的稳定；</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（6）规范保税区网内执法行为，推进依法行政，加快法治政府建设，保护公民、法人和其他组织的合法权益；</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（7）协助街道在政务服务、公共事务管理、社会管理、危机处理、企业对接等各个方面提供及时法律帮助。</w:t>
            </w:r>
          </w:p>
        </w:tc>
      </w:tr>
      <w:tr>
        <w:tblPrEx>
          <w:tblCellMar>
            <w:top w:w="0" w:type="dxa"/>
            <w:left w:w="108" w:type="dxa"/>
            <w:bottom w:w="0" w:type="dxa"/>
            <w:right w:w="108" w:type="dxa"/>
          </w:tblCellMar>
        </w:tblPrEx>
        <w:trPr>
          <w:trHeight w:val="2845"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both"/>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both"/>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2024年4月11日至2025年4月10日</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%；项目终验合格后，中标供应商提供符合规定的发票，街道办支付合同</w:t>
            </w:r>
            <w:r>
              <w:rPr>
                <w:rFonts w:hint="eastAsia" w:ascii="仿宋_GB2312" w:hAnsi="仿宋_GB2312" w:eastAsia="仿宋_GB2312" w:cs="仿宋_GB2312"/>
                <w:kern w:val="0"/>
                <w:sz w:val="24"/>
                <w:lang w:eastAsia="zh-CN"/>
              </w:rPr>
              <w:t>剩余的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在预算价格以内</w:t>
            </w:r>
          </w:p>
        </w:tc>
      </w:tr>
      <w:tr>
        <w:tblPrEx>
          <w:tblCellMar>
            <w:top w:w="0" w:type="dxa"/>
            <w:left w:w="108" w:type="dxa"/>
            <w:bottom w:w="0" w:type="dxa"/>
            <w:right w:w="108" w:type="dxa"/>
          </w:tblCellMar>
        </w:tblPrEx>
        <w:trPr>
          <w:trHeight w:val="2766"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3742"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both"/>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1、营业执照、经营范围等相关资质复印件</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2、投标报价单（须写出详实内容：包括但不限于价格、服务项目、内容、服务人数等）；</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3、对此项目的运营提供详细的服务方案；</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4、公司详细简介；</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5、项目相关案例、业绩等；</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7、可体现投标人综合实力及运营管理能力的其他资料</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w:t>
            </w:r>
            <w:bookmarkStart w:id="0" w:name="_GoBack"/>
            <w:bookmarkEnd w:id="0"/>
            <w:r>
              <w:rPr>
                <w:rFonts w:hint="eastAsia" w:ascii="仿宋_GB2312" w:hAnsi="仿宋_GB2312" w:eastAsia="仿宋_GB2312" w:cs="仿宋_GB2312"/>
                <w:kern w:val="0"/>
                <w:sz w:val="24"/>
              </w:rPr>
              <w:t>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4F00D9-A16B-4844-9985-3C9B4AD516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399A372-3030-4174-B439-32D8F8B4F15F}"/>
  </w:font>
  <w:font w:name="仿宋_GB2312">
    <w:panose1 w:val="02010609030101010101"/>
    <w:charset w:val="86"/>
    <w:family w:val="auto"/>
    <w:pitch w:val="default"/>
    <w:sig w:usb0="00000001" w:usb1="080E0000" w:usb2="00000000" w:usb3="00000000" w:csb0="00040000" w:csb1="00000000"/>
    <w:embedRegular r:id="rId3" w:fontKey="{40727758-CB05-4A58-8657-B49E49ADDBD5}"/>
  </w:font>
  <w:font w:name="方正小标宋简体">
    <w:panose1 w:val="02000000000000000000"/>
    <w:charset w:val="86"/>
    <w:family w:val="auto"/>
    <w:pitch w:val="default"/>
    <w:sig w:usb0="00000001" w:usb1="080E0000" w:usb2="00000000" w:usb3="00000000" w:csb0="00040000" w:csb1="00000000"/>
    <w:embedRegular r:id="rId4" w:fontKey="{0BE184C3-EC2A-4A53-8B0F-DD3AC0A4D3A6}"/>
  </w:font>
  <w:font w:name="Wingdings 2">
    <w:panose1 w:val="05020102010507070707"/>
    <w:charset w:val="02"/>
    <w:family w:val="roman"/>
    <w:pitch w:val="default"/>
    <w:sig w:usb0="00000000" w:usb1="00000000" w:usb2="00000000" w:usb3="00000000" w:csb0="80000000" w:csb1="00000000"/>
    <w:embedRegular r:id="rId5" w:fontKey="{A978CB9F-4849-4948-905E-1C3912DD88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NmM2NjNlYzhhN2JmYTk5ZTRjOWZlNTZmMDE4OWEifQ=="/>
  </w:docVars>
  <w:rsids>
    <w:rsidRoot w:val="194B399D"/>
    <w:rsid w:val="079F5227"/>
    <w:rsid w:val="091C13C7"/>
    <w:rsid w:val="0A4669B5"/>
    <w:rsid w:val="11312983"/>
    <w:rsid w:val="14C24AD9"/>
    <w:rsid w:val="172C00A3"/>
    <w:rsid w:val="18B761FE"/>
    <w:rsid w:val="194B399D"/>
    <w:rsid w:val="1AF3636A"/>
    <w:rsid w:val="1CD203FA"/>
    <w:rsid w:val="1D097B94"/>
    <w:rsid w:val="1D1041D7"/>
    <w:rsid w:val="1FCE0E11"/>
    <w:rsid w:val="22930940"/>
    <w:rsid w:val="251026CF"/>
    <w:rsid w:val="2E544988"/>
    <w:rsid w:val="2FBB6ACC"/>
    <w:rsid w:val="304A7E50"/>
    <w:rsid w:val="334D7C7F"/>
    <w:rsid w:val="340E45C5"/>
    <w:rsid w:val="3F1434CE"/>
    <w:rsid w:val="416451E2"/>
    <w:rsid w:val="447E6A90"/>
    <w:rsid w:val="4E144BA8"/>
    <w:rsid w:val="4E1E0521"/>
    <w:rsid w:val="587C663C"/>
    <w:rsid w:val="5A771A36"/>
    <w:rsid w:val="5C8F69B7"/>
    <w:rsid w:val="5EBA216A"/>
    <w:rsid w:val="66AD6A92"/>
    <w:rsid w:val="66C374B6"/>
    <w:rsid w:val="6A1555D3"/>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next w:val="1"/>
    <w:autoRedefine/>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autoRedefine/>
    <w:qFormat/>
    <w:uiPriority w:val="0"/>
    <w:pPr>
      <w:spacing w:line="560" w:lineRule="exact"/>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qFormat/>
    <w:uiPriority w:val="0"/>
    <w:rPr>
      <w:vertAlign w:val="superscript"/>
    </w:rPr>
  </w:style>
  <w:style w:type="character" w:customStyle="1" w:styleId="10">
    <w:name w:val="font11"/>
    <w:basedOn w:val="8"/>
    <w:autoRedefine/>
    <w:qFormat/>
    <w:uiPriority w:val="0"/>
    <w:rPr>
      <w:rFonts w:hint="eastAsia" w:ascii="仿宋_GB2312" w:eastAsia="仿宋_GB2312" w:cs="仿宋_GB2312"/>
      <w:color w:val="000000"/>
      <w:sz w:val="28"/>
      <w:szCs w:val="28"/>
      <w:u w:val="none"/>
    </w:rPr>
  </w:style>
  <w:style w:type="paragraph" w:customStyle="1" w:styleId="11">
    <w:name w:val="列出段落3"/>
    <w:basedOn w:val="1"/>
    <w:autoRedefine/>
    <w:unhideWhenUsed/>
    <w:qFormat/>
    <w:uiPriority w:val="99"/>
    <w:pPr>
      <w:ind w:firstLine="420" w:firstLineChars="200"/>
    </w:pPr>
  </w:style>
  <w:style w:type="paragraph" w:customStyle="1" w:styleId="12">
    <w:name w:val="Heading #1|1"/>
    <w:basedOn w:val="1"/>
    <w:autoRedefine/>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autoRedefine/>
    <w:qFormat/>
    <w:uiPriority w:val="0"/>
    <w:rPr>
      <w:rFonts w:ascii="宋体" w:hAnsi="宋体" w:eastAsia="宋体" w:cs="宋体"/>
      <w:sz w:val="20"/>
      <w:szCs w:val="20"/>
      <w:lang w:val="zh-TW" w:eastAsia="zh-TW" w:bidi="zh-TW"/>
    </w:rPr>
  </w:style>
  <w:style w:type="paragraph" w:customStyle="1" w:styleId="14">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CC</cp:lastModifiedBy>
  <dcterms:modified xsi:type="dcterms:W3CDTF">2024-03-21T03:07:04Z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A8D48723C3EC44B489C24FBD1C3F84A0_13</vt:lpwstr>
  </property>
</Properties>
</file>