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福田区人力资源局设计制作安装材料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采购招标</w:t>
      </w:r>
      <w:r>
        <w:rPr>
          <w:rFonts w:hint="eastAsia" w:ascii="方正小标宋简体" w:hAnsi="方正小标宋简体" w:eastAsia="方正小标宋简体" w:cs="方正小标宋简体"/>
          <w:color w:val="000000"/>
          <w:sz w:val="44"/>
          <w:szCs w:val="44"/>
          <w:lang w:val="en-US" w:eastAsia="zh-CN"/>
        </w:rPr>
        <w:t>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为进一步加强福田区公共就业服务专区建设，打造</w:t>
      </w:r>
      <w:r>
        <w:rPr>
          <w:rFonts w:hint="eastAsia" w:ascii="仿宋_GB2312" w:hAnsi="仿宋_GB2312" w:eastAsia="仿宋_GB2312" w:cs="仿宋_GB2312"/>
          <w:sz w:val="32"/>
          <w:szCs w:val="32"/>
          <w:lang w:val="en-US" w:eastAsia="zh-CN"/>
        </w:rPr>
        <w:t>“1+20+N”的就业驿站布局，</w:t>
      </w:r>
      <w:r>
        <w:rPr>
          <w:rFonts w:hint="eastAsia" w:ascii="仿宋_GB2312" w:hAnsi="仿宋_GB2312" w:eastAsia="仿宋_GB2312" w:cs="仿宋_GB2312"/>
          <w:i w:val="0"/>
          <w:caps w:val="0"/>
          <w:color w:val="000000"/>
          <w:spacing w:val="0"/>
          <w:sz w:val="32"/>
          <w:szCs w:val="32"/>
          <w:shd w:val="clear" w:color="auto" w:fill="FFFFFF"/>
          <w:lang w:val="en-US" w:eastAsia="zh-CN"/>
        </w:rPr>
        <w:t>加大驿站开展就业服务宣传力度，现对我区新打造的就业驿站牌匾进行采购，</w:t>
      </w:r>
      <w:r>
        <w:rPr>
          <w:rFonts w:hint="eastAsia" w:ascii="仿宋_GB2312" w:hAnsi="仿宋_GB2312" w:eastAsia="仿宋_GB2312" w:cs="仿宋_GB2312"/>
          <w:i w:val="0"/>
          <w:caps w:val="0"/>
          <w:color w:val="000000"/>
          <w:spacing w:val="0"/>
          <w:sz w:val="32"/>
          <w:szCs w:val="32"/>
          <w:shd w:val="clear" w:color="auto" w:fill="FFFFFF"/>
        </w:rPr>
        <w:t>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为加强就业驿站建设，对验收通过福田区就业驿站设计、制作并安装“就业驿站”牌匾。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预算金额：年度人民币6500元（含税金）。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4.设计制作安装材料必须符合提供的样板要求，在约定的时间内送货上门并完成安装；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5.供应商对承接的原稿（或电子档），半成品、成品及样本应当妥善保管，不得擅自提供给任何第三方作任何使用；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7.响应人的报价不得超过预算金额。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rPr>
        <w:t>中标之日起</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个自然日内</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福田区就业驿站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1.投标人须是在深圳市注册的有合法经营资格的国内独立法人，且满足《中华人民共和国政府采购法》第二十二条规定；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2.公司营业范围为广告设计及装修装饰工程等，在福田区各级政府或国有企事业承接过相关工程制作者优先，可附案例；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3.提供营业执照、法定代表人身份证明、法定代表人授权证明书等；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4.履约承诺书。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2024年3月22</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3BF3638"/>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DF13FB"/>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BEF0CA6"/>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8FFD50D"/>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6FF0D7"/>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E2FC47"/>
    <w:rsid w:val="7EF3FCEE"/>
    <w:rsid w:val="7FDFE29C"/>
    <w:rsid w:val="B9F3A943"/>
    <w:rsid w:val="BFF42E27"/>
    <w:rsid w:val="DC3F293E"/>
    <w:rsid w:val="DEDEA532"/>
    <w:rsid w:val="DFB7FE48"/>
    <w:rsid w:val="DFFB4438"/>
    <w:rsid w:val="E3FE509B"/>
    <w:rsid w:val="F6DED15D"/>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2022-04-12T11:08:00Z</dcterms:created>
  <dc:creator>庄雪梅</dc:creator>
  <cp:lastModifiedBy>邱锦哲</cp:lastModifiedBy>
  <dcterms:modified xsi:type="dcterms:W3CDTF">2024-03-22T16:09:21Z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7BDA89C06587CBCD08CC3364604449F2</vt:lpwstr>
  </property>
</Properties>
</file>