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jc w:val="center"/>
        <w:outlineLvl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福保街道购买“三小”场所智慧安全监管服务项目采购需求</w:t>
      </w:r>
    </w:p>
    <w:p>
      <w:pPr>
        <w:pStyle w:val="2"/>
        <w:rPr>
          <w:lang w:val="en-US"/>
        </w:rPr>
      </w:pPr>
    </w:p>
    <w:p>
      <w:pPr>
        <w:ind w:firstLine="560"/>
        <w:rPr>
          <w:rFonts w:hAnsi="仿宋_GB2312" w:cs="仿宋_GB2312"/>
          <w:b/>
          <w:bCs/>
          <w:sz w:val="28"/>
          <w:szCs w:val="28"/>
        </w:rPr>
      </w:pPr>
      <w:r>
        <w:rPr>
          <w:rFonts w:hint="eastAsia" w:hAnsi="仿宋_GB2312" w:cs="仿宋_GB2312"/>
          <w:b/>
          <w:bCs/>
          <w:sz w:val="28"/>
          <w:szCs w:val="28"/>
        </w:rPr>
        <w:t>一、采购项目概况：</w:t>
      </w:r>
    </w:p>
    <w:p>
      <w:pPr>
        <w:spacing w:line="360" w:lineRule="auto"/>
        <w:ind w:firstLine="560"/>
        <w:rPr>
          <w:sz w:val="28"/>
          <w:szCs w:val="28"/>
        </w:rPr>
      </w:pPr>
      <w:r>
        <w:rPr>
          <w:rFonts w:hint="eastAsia" w:hAnsi="仿宋_GB2312" w:cs="仿宋_GB2312"/>
          <w:sz w:val="28"/>
          <w:szCs w:val="28"/>
        </w:rPr>
        <w:t>针对福田区福保街道设有阁楼的“三小”场所违规住人情况，按照《深圳市消防发展“十四五”规划》、《福田区应急管理体系和能力建设“十四五”规划》等要求，现福田区福保街道应急办计划通过购买服务方式，在辖区内设有阁楼的“三小”场所安装智能烟感探测器、AI摄像机等设备，利用智能微波、红外+蓝光探测、AI识别算法分析等技术，实现对辖区设有阁楼的“三小”场所违规住人情况进行监测预警。</w:t>
      </w:r>
    </w:p>
    <w:p>
      <w:pPr>
        <w:numPr>
          <w:ilvl w:val="0"/>
          <w:numId w:val="1"/>
        </w:numPr>
        <w:ind w:firstLine="560"/>
        <w:rPr>
          <w:rFonts w:hAnsi="仿宋_GB2312" w:cs="仿宋_GB2312"/>
          <w:b/>
          <w:bCs/>
          <w:sz w:val="28"/>
          <w:szCs w:val="28"/>
        </w:rPr>
      </w:pPr>
      <w:r>
        <w:rPr>
          <w:rFonts w:hint="eastAsia" w:hAnsi="仿宋_GB2312" w:cs="仿宋_GB2312"/>
          <w:b/>
          <w:bCs/>
          <w:sz w:val="28"/>
          <w:szCs w:val="28"/>
        </w:rPr>
        <w:t>项目服务内容：</w:t>
      </w:r>
    </w:p>
    <w:p>
      <w:pPr>
        <w:spacing w:line="360" w:lineRule="auto"/>
        <w:ind w:firstLine="560"/>
        <w:rPr>
          <w:sz w:val="28"/>
          <w:szCs w:val="28"/>
        </w:rPr>
      </w:pPr>
      <w:r>
        <w:rPr>
          <w:rFonts w:hint="eastAsia"/>
          <w:sz w:val="28"/>
          <w:szCs w:val="28"/>
        </w:rPr>
        <w:t>1</w:t>
      </w:r>
      <w:r>
        <w:rPr>
          <w:sz w:val="28"/>
          <w:szCs w:val="28"/>
        </w:rPr>
        <w:t>.</w:t>
      </w:r>
      <w:r>
        <w:rPr>
          <w:rFonts w:hint="eastAsia"/>
          <w:sz w:val="28"/>
          <w:szCs w:val="28"/>
        </w:rPr>
        <w:t>在福田区福</w:t>
      </w:r>
      <w:r>
        <w:rPr>
          <w:rFonts w:hint="eastAsia" w:hAnsi="仿宋_GB2312" w:cs="仿宋_GB2312"/>
          <w:sz w:val="28"/>
          <w:szCs w:val="28"/>
        </w:rPr>
        <w:t>保</w:t>
      </w:r>
      <w:r>
        <w:rPr>
          <w:rFonts w:hint="eastAsia"/>
          <w:sz w:val="28"/>
          <w:szCs w:val="28"/>
        </w:rPr>
        <w:t>街道500家设有阁楼的“三小”场所前端安装智能烟感火灾探测器、三小场所AI摄像机等监测服务，前端设备通过无线或有线方式连接网络，通过移动客户端和软件平台端进行定时段监测场所内人员留宿情况，及时报送监测预警信息和视频图像抓拍。</w:t>
      </w:r>
    </w:p>
    <w:p>
      <w:pPr>
        <w:spacing w:line="360" w:lineRule="auto"/>
        <w:ind w:firstLine="560"/>
        <w:rPr>
          <w:sz w:val="28"/>
          <w:szCs w:val="28"/>
        </w:rPr>
      </w:pPr>
      <w:r>
        <w:rPr>
          <w:rFonts w:hint="eastAsia"/>
          <w:sz w:val="28"/>
          <w:szCs w:val="28"/>
        </w:rPr>
        <w:t>（1）场所内安装智能烟感火灾探测器：通过设备自身</w:t>
      </w:r>
      <w:r>
        <w:rPr>
          <w:rFonts w:hint="eastAsia"/>
          <w:sz w:val="28"/>
          <w:szCs w:val="28"/>
          <w:lang w:val="en-US" w:eastAsia="zh-CN"/>
        </w:rPr>
        <w:t>微波</w:t>
      </w:r>
      <w:r>
        <w:rPr>
          <w:rFonts w:hint="eastAsia"/>
          <w:sz w:val="28"/>
          <w:szCs w:val="28"/>
        </w:rPr>
        <w:t>探测器及智能传感器，对场景内探测器下方布防后的时间段内探测到出现的移动人体/物体，包括烟雾阈值、温度值、湿度值、异常故障报警、电池电量等数据信息，通过无线或有线方式上报至移动端和平台端，同时平台端可下发指令调整设备的烟雾报警阈值。</w:t>
      </w:r>
    </w:p>
    <w:p>
      <w:pPr>
        <w:spacing w:line="360" w:lineRule="auto"/>
        <w:ind w:firstLine="560"/>
        <w:rPr>
          <w:sz w:val="28"/>
          <w:szCs w:val="28"/>
        </w:rPr>
      </w:pPr>
      <w:r>
        <w:rPr>
          <w:rFonts w:hint="eastAsia"/>
          <w:sz w:val="28"/>
          <w:szCs w:val="28"/>
        </w:rPr>
        <w:t>（2）场所内安装高清三小场所AI摄像机：通过无线或有线方式连接网络，统一进行设定时间段布控和撤防，对布控区域范围内进行移动物体智能跟踪/拍摄、实时画面录像/回放，并且对检测到的移动侦测/人形进行识别/分析报警，将报警信息发送至移动端和平台端，通过移动端和平台端与摄像机进行对讲，以及实时监控报警场景。</w:t>
      </w:r>
    </w:p>
    <w:p>
      <w:pPr>
        <w:spacing w:line="360" w:lineRule="auto"/>
        <w:ind w:firstLine="560"/>
        <w:rPr>
          <w:sz w:val="28"/>
          <w:szCs w:val="28"/>
        </w:rPr>
      </w:pPr>
      <w:r>
        <w:rPr>
          <w:rFonts w:hint="eastAsia"/>
          <w:sz w:val="28"/>
          <w:szCs w:val="28"/>
        </w:rPr>
        <w:t>2</w:t>
      </w:r>
      <w:r>
        <w:rPr>
          <w:sz w:val="28"/>
          <w:szCs w:val="28"/>
        </w:rPr>
        <w:t>.</w:t>
      </w:r>
      <w:r>
        <w:rPr>
          <w:rFonts w:hint="eastAsia"/>
          <w:sz w:val="28"/>
          <w:szCs w:val="28"/>
        </w:rPr>
        <w:t>提供福田区福</w:t>
      </w:r>
      <w:r>
        <w:rPr>
          <w:rFonts w:hint="eastAsia" w:hAnsi="仿宋_GB2312" w:cs="仿宋_GB2312"/>
          <w:sz w:val="28"/>
          <w:szCs w:val="28"/>
        </w:rPr>
        <w:t>保</w:t>
      </w:r>
      <w:r>
        <w:rPr>
          <w:rFonts w:hint="eastAsia"/>
          <w:sz w:val="28"/>
          <w:szCs w:val="28"/>
        </w:rPr>
        <w:t>街道“三小”场所智慧安全监管平台服务，系统平台能接收前端监测预警信息，并将预警信息推送到相关监管方、业主方人员，具有设备管理、报警处置、数据统计等相关功能。</w:t>
      </w:r>
    </w:p>
    <w:p>
      <w:pPr>
        <w:spacing w:line="360" w:lineRule="auto"/>
        <w:ind w:firstLine="560"/>
        <w:rPr>
          <w:sz w:val="28"/>
          <w:szCs w:val="28"/>
        </w:rPr>
      </w:pPr>
      <w:r>
        <w:rPr>
          <w:rFonts w:hint="eastAsia"/>
          <w:sz w:val="28"/>
          <w:szCs w:val="28"/>
        </w:rPr>
        <w:t>3.提供“三小”场所室内空间扫描建模服务，针对“三小”场所进行室内三维扫描建模、数据渲染及后期处理。</w:t>
      </w:r>
    </w:p>
    <w:p>
      <w:pPr>
        <w:spacing w:line="360" w:lineRule="auto"/>
        <w:ind w:firstLine="560"/>
        <w:rPr>
          <w:sz w:val="28"/>
          <w:szCs w:val="28"/>
        </w:rPr>
      </w:pPr>
      <w:r>
        <w:rPr>
          <w:rFonts w:hint="eastAsia"/>
          <w:sz w:val="28"/>
          <w:szCs w:val="28"/>
        </w:rPr>
        <w:t>4.提供前端感知设备的新装、维护等工作；及时对系统反馈的设备离线、低电、断电、拆卸等报警信号进行现场核实并恢复正常；定期对安装感知设备的商户进行全覆盖巡查，对存在异常的设备进行维修，对现场情况发生变更的商户重新进行全景扫描。</w:t>
      </w:r>
    </w:p>
    <w:p>
      <w:pPr>
        <w:numPr>
          <w:ilvl w:val="0"/>
          <w:numId w:val="2"/>
        </w:numPr>
        <w:ind w:firstLine="560"/>
        <w:rPr>
          <w:rFonts w:hAnsi="仿宋_GB2312" w:cs="仿宋_GB2312"/>
          <w:b/>
          <w:bCs/>
          <w:sz w:val="28"/>
          <w:szCs w:val="28"/>
        </w:rPr>
      </w:pPr>
      <w:r>
        <w:rPr>
          <w:rFonts w:hint="eastAsia" w:hAnsi="仿宋_GB2312" w:cs="仿宋_GB2312"/>
          <w:b/>
          <w:bCs/>
          <w:sz w:val="28"/>
          <w:szCs w:val="28"/>
        </w:rPr>
        <w:t>项目管理要求：</w:t>
      </w:r>
    </w:p>
    <w:p>
      <w:pPr>
        <w:pStyle w:val="2"/>
        <w:numPr>
          <w:ilvl w:val="0"/>
          <w:numId w:val="3"/>
        </w:numPr>
        <w:ind w:firstLine="560"/>
        <w:rPr>
          <w:rFonts w:ascii="仿宋_GB2312" w:hAnsi="Calibri" w:eastAsia="仿宋_GB2312" w:cs="Times New Roman"/>
          <w:b/>
          <w:bCs/>
          <w:sz w:val="24"/>
          <w:szCs w:val="22"/>
          <w:lang w:val="en-US" w:bidi="ar-SA"/>
        </w:rPr>
      </w:pPr>
      <w:r>
        <w:rPr>
          <w:rFonts w:hint="eastAsia" w:ascii="仿宋_GB2312" w:hAnsi="Calibri" w:eastAsia="仿宋_GB2312" w:cs="Times New Roman"/>
          <w:b/>
          <w:bCs/>
          <w:sz w:val="28"/>
          <w:szCs w:val="28"/>
          <w:lang w:val="en-US" w:bidi="ar-SA"/>
        </w:rPr>
        <w:t>服务需求清单</w:t>
      </w:r>
      <w:r>
        <w:rPr>
          <w:rFonts w:hint="eastAsia" w:ascii="仿宋_GB2312" w:hAnsi="Calibri" w:eastAsia="仿宋_GB2312" w:cs="Times New Roman"/>
          <w:b/>
          <w:bCs/>
          <w:sz w:val="24"/>
          <w:szCs w:val="22"/>
          <w:lang w:val="en-US" w:bidi="ar-SA"/>
        </w:rPr>
        <w:t>：</w:t>
      </w:r>
    </w:p>
    <w:tbl>
      <w:tblPr>
        <w:tblStyle w:val="7"/>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405"/>
        <w:gridCol w:w="84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序号</w:t>
            </w:r>
          </w:p>
        </w:tc>
        <w:tc>
          <w:tcPr>
            <w:tcW w:w="5405" w:type="dxa"/>
            <w:shd w:val="clear" w:color="auto" w:fill="auto"/>
            <w:noWrap/>
            <w:vAlign w:val="center"/>
          </w:tcPr>
          <w:p>
            <w:pPr>
              <w:ind w:firstLine="0" w:firstLineChars="0"/>
              <w:jc w:val="center"/>
              <w:rPr>
                <w:sz w:val="28"/>
                <w:szCs w:val="28"/>
              </w:rPr>
            </w:pPr>
            <w:r>
              <w:rPr>
                <w:rFonts w:hint="eastAsia"/>
                <w:sz w:val="28"/>
                <w:szCs w:val="28"/>
              </w:rPr>
              <w:t>类别名称</w:t>
            </w:r>
          </w:p>
        </w:tc>
        <w:tc>
          <w:tcPr>
            <w:tcW w:w="840" w:type="dxa"/>
            <w:shd w:val="clear" w:color="auto" w:fill="auto"/>
            <w:noWrap/>
            <w:vAlign w:val="center"/>
          </w:tcPr>
          <w:p>
            <w:pPr>
              <w:ind w:firstLine="0" w:firstLineChars="0"/>
              <w:jc w:val="center"/>
              <w:rPr>
                <w:sz w:val="28"/>
                <w:szCs w:val="28"/>
              </w:rPr>
            </w:pPr>
            <w:r>
              <w:rPr>
                <w:rFonts w:hint="eastAsia"/>
                <w:sz w:val="28"/>
                <w:szCs w:val="28"/>
              </w:rPr>
              <w:t>数量</w:t>
            </w:r>
          </w:p>
        </w:tc>
        <w:tc>
          <w:tcPr>
            <w:tcW w:w="1124" w:type="dxa"/>
            <w:shd w:val="clear" w:color="auto" w:fill="auto"/>
            <w:noWrap/>
            <w:vAlign w:val="center"/>
          </w:tcPr>
          <w:p>
            <w:pPr>
              <w:ind w:firstLine="0" w:firstLineChars="0"/>
              <w:jc w:val="center"/>
              <w:rPr>
                <w:sz w:val="28"/>
                <w:szCs w:val="28"/>
              </w:rPr>
            </w:pPr>
            <w:r>
              <w:rPr>
                <w:rFonts w:hint="eastAsia"/>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1</w:t>
            </w:r>
          </w:p>
        </w:tc>
        <w:tc>
          <w:tcPr>
            <w:tcW w:w="5405" w:type="dxa"/>
            <w:shd w:val="clear" w:color="auto" w:fill="auto"/>
            <w:vAlign w:val="center"/>
          </w:tcPr>
          <w:p>
            <w:pPr>
              <w:ind w:firstLine="0" w:firstLineChars="0"/>
              <w:rPr>
                <w:sz w:val="28"/>
                <w:szCs w:val="28"/>
              </w:rPr>
            </w:pPr>
            <w:r>
              <w:rPr>
                <w:rFonts w:hint="eastAsia"/>
                <w:sz w:val="28"/>
                <w:szCs w:val="28"/>
              </w:rPr>
              <w:t>福保街道“三小”场所智慧安全监管平台</w:t>
            </w:r>
          </w:p>
        </w:tc>
        <w:tc>
          <w:tcPr>
            <w:tcW w:w="840" w:type="dxa"/>
            <w:shd w:val="clear" w:color="auto" w:fill="auto"/>
            <w:vAlign w:val="center"/>
          </w:tcPr>
          <w:p>
            <w:pPr>
              <w:ind w:firstLine="0" w:firstLineChars="0"/>
              <w:jc w:val="center"/>
              <w:rPr>
                <w:sz w:val="28"/>
                <w:szCs w:val="28"/>
              </w:rPr>
            </w:pPr>
            <w:r>
              <w:rPr>
                <w:rFonts w:hint="eastAsia"/>
                <w:sz w:val="28"/>
                <w:szCs w:val="28"/>
              </w:rPr>
              <w:t>1</w:t>
            </w:r>
          </w:p>
        </w:tc>
        <w:tc>
          <w:tcPr>
            <w:tcW w:w="1124" w:type="dxa"/>
            <w:shd w:val="clear" w:color="auto" w:fill="auto"/>
            <w:noWrap/>
            <w:vAlign w:val="center"/>
          </w:tcPr>
          <w:p>
            <w:pPr>
              <w:ind w:firstLine="0" w:firstLineChars="0"/>
              <w:jc w:val="center"/>
              <w:rPr>
                <w:sz w:val="28"/>
                <w:szCs w:val="28"/>
              </w:rPr>
            </w:pPr>
            <w:r>
              <w:rPr>
                <w:rFonts w:hint="eastAsia"/>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2</w:t>
            </w:r>
          </w:p>
        </w:tc>
        <w:tc>
          <w:tcPr>
            <w:tcW w:w="5405" w:type="dxa"/>
            <w:shd w:val="clear" w:color="auto" w:fill="auto"/>
            <w:vAlign w:val="center"/>
          </w:tcPr>
          <w:p>
            <w:pPr>
              <w:ind w:firstLine="0" w:firstLineChars="0"/>
              <w:rPr>
                <w:sz w:val="28"/>
                <w:szCs w:val="28"/>
              </w:rPr>
            </w:pPr>
            <w:r>
              <w:rPr>
                <w:rFonts w:hint="eastAsia"/>
                <w:sz w:val="28"/>
                <w:szCs w:val="28"/>
              </w:rPr>
              <w:t>客户端</w:t>
            </w:r>
          </w:p>
        </w:tc>
        <w:tc>
          <w:tcPr>
            <w:tcW w:w="840" w:type="dxa"/>
            <w:shd w:val="clear" w:color="auto" w:fill="auto"/>
            <w:vAlign w:val="center"/>
          </w:tcPr>
          <w:p>
            <w:pPr>
              <w:ind w:firstLine="0" w:firstLineChars="0"/>
              <w:jc w:val="center"/>
              <w:rPr>
                <w:sz w:val="28"/>
                <w:szCs w:val="28"/>
              </w:rPr>
            </w:pPr>
            <w:r>
              <w:rPr>
                <w:rFonts w:hint="eastAsia"/>
                <w:sz w:val="28"/>
                <w:szCs w:val="28"/>
              </w:rPr>
              <w:t>1</w:t>
            </w:r>
          </w:p>
        </w:tc>
        <w:tc>
          <w:tcPr>
            <w:tcW w:w="1124" w:type="dxa"/>
            <w:shd w:val="clear" w:color="auto" w:fill="auto"/>
            <w:noWrap/>
            <w:vAlign w:val="center"/>
          </w:tcPr>
          <w:p>
            <w:pPr>
              <w:ind w:firstLine="0" w:firstLineChars="0"/>
              <w:jc w:val="center"/>
              <w:rPr>
                <w:sz w:val="28"/>
                <w:szCs w:val="28"/>
              </w:rPr>
            </w:pPr>
            <w:r>
              <w:rPr>
                <w:rFonts w:hint="eastAsia"/>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3</w:t>
            </w:r>
          </w:p>
        </w:tc>
        <w:tc>
          <w:tcPr>
            <w:tcW w:w="5405" w:type="dxa"/>
            <w:shd w:val="clear" w:color="auto" w:fill="auto"/>
            <w:vAlign w:val="center"/>
          </w:tcPr>
          <w:p>
            <w:pPr>
              <w:ind w:firstLine="0" w:firstLineChars="0"/>
              <w:rPr>
                <w:sz w:val="28"/>
                <w:szCs w:val="28"/>
              </w:rPr>
            </w:pPr>
            <w:r>
              <w:rPr>
                <w:rFonts w:hint="eastAsia"/>
                <w:sz w:val="28"/>
                <w:szCs w:val="28"/>
              </w:rPr>
              <w:t>硬件设备租赁</w:t>
            </w:r>
          </w:p>
        </w:tc>
        <w:tc>
          <w:tcPr>
            <w:tcW w:w="840" w:type="dxa"/>
            <w:shd w:val="clear" w:color="auto" w:fill="auto"/>
            <w:vAlign w:val="center"/>
          </w:tcPr>
          <w:p>
            <w:pPr>
              <w:ind w:firstLine="0" w:firstLineChars="0"/>
              <w:jc w:val="center"/>
              <w:rPr>
                <w:sz w:val="28"/>
                <w:szCs w:val="28"/>
              </w:rPr>
            </w:pPr>
            <w:r>
              <w:rPr>
                <w:rFonts w:hint="eastAsia"/>
                <w:sz w:val="28"/>
                <w:szCs w:val="28"/>
              </w:rPr>
              <w:t>500</w:t>
            </w:r>
          </w:p>
        </w:tc>
        <w:tc>
          <w:tcPr>
            <w:tcW w:w="1124" w:type="dxa"/>
            <w:shd w:val="clear" w:color="auto" w:fill="auto"/>
            <w:noWrap/>
            <w:vAlign w:val="center"/>
          </w:tcPr>
          <w:p>
            <w:pPr>
              <w:ind w:firstLine="0" w:firstLineChars="0"/>
              <w:jc w:val="center"/>
              <w:rPr>
                <w:sz w:val="28"/>
                <w:szCs w:val="28"/>
              </w:rPr>
            </w:pPr>
            <w:r>
              <w:rPr>
                <w:rFonts w:hint="eastAsia"/>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4</w:t>
            </w:r>
          </w:p>
        </w:tc>
        <w:tc>
          <w:tcPr>
            <w:tcW w:w="5405" w:type="dxa"/>
            <w:shd w:val="clear" w:color="auto" w:fill="auto"/>
            <w:vAlign w:val="center"/>
          </w:tcPr>
          <w:p>
            <w:pPr>
              <w:ind w:firstLine="0" w:firstLineChars="0"/>
              <w:rPr>
                <w:sz w:val="28"/>
                <w:szCs w:val="28"/>
              </w:rPr>
            </w:pPr>
            <w:r>
              <w:rPr>
                <w:rFonts w:hint="eastAsia"/>
                <w:sz w:val="28"/>
                <w:szCs w:val="28"/>
              </w:rPr>
              <w:t>三小场所全景扫描</w:t>
            </w:r>
          </w:p>
        </w:tc>
        <w:tc>
          <w:tcPr>
            <w:tcW w:w="840" w:type="dxa"/>
            <w:shd w:val="clear" w:color="auto" w:fill="auto"/>
            <w:vAlign w:val="center"/>
          </w:tcPr>
          <w:p>
            <w:pPr>
              <w:ind w:firstLine="0" w:firstLineChars="0"/>
              <w:jc w:val="center"/>
              <w:rPr>
                <w:sz w:val="28"/>
                <w:szCs w:val="28"/>
              </w:rPr>
            </w:pPr>
            <w:r>
              <w:rPr>
                <w:rFonts w:hint="eastAsia"/>
                <w:sz w:val="28"/>
                <w:szCs w:val="28"/>
              </w:rPr>
              <w:t>500</w:t>
            </w:r>
          </w:p>
        </w:tc>
        <w:tc>
          <w:tcPr>
            <w:tcW w:w="1124" w:type="dxa"/>
            <w:shd w:val="clear" w:color="auto" w:fill="auto"/>
            <w:noWrap/>
            <w:vAlign w:val="center"/>
          </w:tcPr>
          <w:p>
            <w:pPr>
              <w:ind w:firstLine="0" w:firstLineChars="0"/>
              <w:jc w:val="center"/>
              <w:rPr>
                <w:sz w:val="28"/>
                <w:szCs w:val="28"/>
              </w:rPr>
            </w:pPr>
            <w:r>
              <w:rPr>
                <w:rFonts w:hint="eastAsia"/>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5</w:t>
            </w:r>
          </w:p>
        </w:tc>
        <w:tc>
          <w:tcPr>
            <w:tcW w:w="5405" w:type="dxa"/>
            <w:shd w:val="clear" w:color="auto" w:fill="auto"/>
            <w:vAlign w:val="center"/>
          </w:tcPr>
          <w:p>
            <w:pPr>
              <w:ind w:firstLine="0" w:firstLineChars="0"/>
              <w:rPr>
                <w:sz w:val="28"/>
                <w:szCs w:val="28"/>
              </w:rPr>
            </w:pPr>
            <w:r>
              <w:rPr>
                <w:rFonts w:hint="eastAsia"/>
                <w:sz w:val="28"/>
                <w:szCs w:val="28"/>
              </w:rPr>
              <w:t>安装、调试</w:t>
            </w:r>
          </w:p>
        </w:tc>
        <w:tc>
          <w:tcPr>
            <w:tcW w:w="840" w:type="dxa"/>
            <w:shd w:val="clear" w:color="auto" w:fill="auto"/>
            <w:vAlign w:val="center"/>
          </w:tcPr>
          <w:p>
            <w:pPr>
              <w:ind w:firstLine="0" w:firstLineChars="0"/>
              <w:jc w:val="center"/>
              <w:rPr>
                <w:sz w:val="28"/>
                <w:szCs w:val="28"/>
              </w:rPr>
            </w:pPr>
            <w:r>
              <w:rPr>
                <w:rFonts w:hint="eastAsia"/>
                <w:sz w:val="28"/>
                <w:szCs w:val="28"/>
              </w:rPr>
              <w:t>500</w:t>
            </w:r>
          </w:p>
        </w:tc>
        <w:tc>
          <w:tcPr>
            <w:tcW w:w="1124" w:type="dxa"/>
            <w:shd w:val="clear" w:color="auto" w:fill="auto"/>
            <w:noWrap/>
            <w:vAlign w:val="center"/>
          </w:tcPr>
          <w:p>
            <w:pPr>
              <w:ind w:firstLine="0" w:firstLineChars="0"/>
              <w:jc w:val="center"/>
              <w:rPr>
                <w:sz w:val="28"/>
                <w:szCs w:val="28"/>
              </w:rPr>
            </w:pPr>
            <w:r>
              <w:rPr>
                <w:rFonts w:hint="eastAsia"/>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6</w:t>
            </w:r>
          </w:p>
        </w:tc>
        <w:tc>
          <w:tcPr>
            <w:tcW w:w="5405" w:type="dxa"/>
            <w:shd w:val="clear" w:color="auto" w:fill="auto"/>
            <w:vAlign w:val="center"/>
          </w:tcPr>
          <w:p>
            <w:pPr>
              <w:ind w:firstLine="0" w:firstLineChars="0"/>
              <w:rPr>
                <w:sz w:val="28"/>
                <w:szCs w:val="28"/>
              </w:rPr>
            </w:pPr>
            <w:r>
              <w:rPr>
                <w:rFonts w:hint="eastAsia"/>
                <w:sz w:val="28"/>
                <w:szCs w:val="28"/>
              </w:rPr>
              <w:t>运行维护服务</w:t>
            </w:r>
          </w:p>
        </w:tc>
        <w:tc>
          <w:tcPr>
            <w:tcW w:w="840" w:type="dxa"/>
            <w:shd w:val="clear" w:color="auto" w:fill="auto"/>
            <w:noWrap/>
            <w:vAlign w:val="center"/>
          </w:tcPr>
          <w:p>
            <w:pPr>
              <w:ind w:firstLine="0" w:firstLineChars="0"/>
              <w:jc w:val="center"/>
              <w:rPr>
                <w:rFonts w:hint="eastAsia" w:eastAsia="仿宋_GB2312"/>
                <w:sz w:val="28"/>
                <w:szCs w:val="28"/>
                <w:lang w:val="en-US" w:eastAsia="zh-CN"/>
              </w:rPr>
            </w:pPr>
            <w:r>
              <w:rPr>
                <w:rFonts w:hint="eastAsia"/>
                <w:sz w:val="28"/>
                <w:szCs w:val="28"/>
                <w:lang w:val="en-US" w:eastAsia="zh-CN"/>
              </w:rPr>
              <w:t>1</w:t>
            </w:r>
          </w:p>
        </w:tc>
        <w:tc>
          <w:tcPr>
            <w:tcW w:w="1124" w:type="dxa"/>
            <w:shd w:val="clear" w:color="auto" w:fill="auto"/>
            <w:noWrap/>
            <w:vAlign w:val="center"/>
          </w:tcPr>
          <w:p>
            <w:pPr>
              <w:ind w:firstLine="0" w:firstLineChars="0"/>
              <w:jc w:val="center"/>
              <w:rPr>
                <w:sz w:val="28"/>
                <w:szCs w:val="28"/>
              </w:rPr>
            </w:pPr>
            <w:r>
              <w:rPr>
                <w:rFonts w:hint="eastAsia"/>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6" w:type="dxa"/>
            <w:shd w:val="clear" w:color="auto" w:fill="auto"/>
            <w:noWrap/>
            <w:vAlign w:val="center"/>
          </w:tcPr>
          <w:p>
            <w:pPr>
              <w:ind w:firstLine="0" w:firstLineChars="0"/>
              <w:jc w:val="center"/>
              <w:rPr>
                <w:sz w:val="28"/>
                <w:szCs w:val="28"/>
              </w:rPr>
            </w:pPr>
            <w:r>
              <w:rPr>
                <w:rFonts w:hint="eastAsia"/>
                <w:sz w:val="28"/>
                <w:szCs w:val="28"/>
              </w:rPr>
              <w:t>7</w:t>
            </w:r>
          </w:p>
        </w:tc>
        <w:tc>
          <w:tcPr>
            <w:tcW w:w="5405" w:type="dxa"/>
            <w:shd w:val="clear" w:color="auto" w:fill="auto"/>
            <w:noWrap/>
            <w:vAlign w:val="center"/>
          </w:tcPr>
          <w:p>
            <w:pPr>
              <w:ind w:firstLine="0" w:firstLineChars="0"/>
              <w:rPr>
                <w:sz w:val="28"/>
                <w:szCs w:val="28"/>
              </w:rPr>
            </w:pPr>
            <w:r>
              <w:rPr>
                <w:rFonts w:hint="eastAsia"/>
                <w:sz w:val="28"/>
                <w:szCs w:val="28"/>
              </w:rPr>
              <w:t>7*24小值守服务费</w:t>
            </w:r>
          </w:p>
        </w:tc>
        <w:tc>
          <w:tcPr>
            <w:tcW w:w="840" w:type="dxa"/>
            <w:shd w:val="clear" w:color="auto" w:fill="auto"/>
            <w:vAlign w:val="center"/>
          </w:tcPr>
          <w:p>
            <w:pPr>
              <w:ind w:firstLine="0" w:firstLineChars="0"/>
              <w:jc w:val="center"/>
              <w:rPr>
                <w:rFonts w:hint="eastAsia" w:eastAsia="仿宋_GB2312"/>
                <w:sz w:val="28"/>
                <w:szCs w:val="28"/>
                <w:lang w:val="en-US" w:eastAsia="zh-CN"/>
              </w:rPr>
            </w:pPr>
            <w:r>
              <w:rPr>
                <w:rFonts w:hint="eastAsia"/>
                <w:sz w:val="28"/>
                <w:szCs w:val="28"/>
                <w:lang w:val="en-US" w:eastAsia="zh-CN"/>
              </w:rPr>
              <w:t>1</w:t>
            </w:r>
          </w:p>
        </w:tc>
        <w:tc>
          <w:tcPr>
            <w:tcW w:w="1124" w:type="dxa"/>
            <w:shd w:val="clear" w:color="auto" w:fill="auto"/>
            <w:noWrap/>
            <w:vAlign w:val="center"/>
          </w:tcPr>
          <w:p>
            <w:pPr>
              <w:ind w:firstLine="0" w:firstLineChars="0"/>
              <w:jc w:val="center"/>
              <w:rPr>
                <w:sz w:val="28"/>
                <w:szCs w:val="28"/>
              </w:rPr>
            </w:pPr>
            <w:r>
              <w:rPr>
                <w:rFonts w:hint="eastAsia"/>
                <w:sz w:val="28"/>
                <w:szCs w:val="28"/>
              </w:rPr>
              <w:t>每/年</w:t>
            </w:r>
          </w:p>
        </w:tc>
      </w:tr>
    </w:tbl>
    <w:p>
      <w:pPr>
        <w:spacing w:line="360" w:lineRule="auto"/>
        <w:ind w:left="640" w:leftChars="200" w:firstLine="0" w:firstLineChars="0"/>
        <w:rPr>
          <w:b/>
          <w:bCs/>
          <w:sz w:val="28"/>
          <w:szCs w:val="28"/>
        </w:rPr>
      </w:pPr>
      <w:r>
        <w:rPr>
          <w:b/>
          <w:bCs/>
          <w:sz w:val="28"/>
          <w:szCs w:val="28"/>
        </w:rPr>
        <w:t>2.</w:t>
      </w:r>
      <w:r>
        <w:rPr>
          <w:rFonts w:hint="eastAsia"/>
          <w:b/>
          <w:bCs/>
          <w:sz w:val="28"/>
          <w:szCs w:val="28"/>
        </w:rPr>
        <w:t>服务技术指标要求：</w:t>
      </w:r>
    </w:p>
    <w:tbl>
      <w:tblPr>
        <w:tblStyle w:val="7"/>
        <w:tblW w:w="8548" w:type="dxa"/>
        <w:tblInd w:w="-26" w:type="dxa"/>
        <w:tblLayout w:type="fixed"/>
        <w:tblCellMar>
          <w:top w:w="0" w:type="dxa"/>
          <w:left w:w="108" w:type="dxa"/>
          <w:bottom w:w="0" w:type="dxa"/>
          <w:right w:w="108" w:type="dxa"/>
        </w:tblCellMar>
      </w:tblPr>
      <w:tblGrid>
        <w:gridCol w:w="733"/>
        <w:gridCol w:w="1076"/>
        <w:gridCol w:w="950"/>
        <w:gridCol w:w="5789"/>
      </w:tblGrid>
      <w:tr>
        <w:tblPrEx>
          <w:tblCellMar>
            <w:top w:w="0" w:type="dxa"/>
            <w:left w:w="108" w:type="dxa"/>
            <w:bottom w:w="0" w:type="dxa"/>
            <w:right w:w="108" w:type="dxa"/>
          </w:tblCellMar>
        </w:tblPrEx>
        <w:trPr>
          <w:trHeight w:val="31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类别名称</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服务技术指标</w:t>
            </w:r>
          </w:p>
        </w:tc>
      </w:tr>
      <w:tr>
        <w:tblPrEx>
          <w:tblCellMar>
            <w:top w:w="0" w:type="dxa"/>
            <w:left w:w="108" w:type="dxa"/>
            <w:bottom w:w="0" w:type="dxa"/>
            <w:right w:w="108" w:type="dxa"/>
          </w:tblCellMar>
        </w:tblPrEx>
        <w:trPr>
          <w:trHeight w:val="52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福保街道“三小”场所智慧安全监管平台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实时报警模块：展示告警类型，店铺近景，商户名称，街道，商户地址，处置状态，告警时间等告警详情数据；</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已处理报警类型模块：当前街道告警统计，当前街道告警统计（福田区/**街道）</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告警总数（已处置，待处置）/（拆卸报警数，离线报警数，留宿报警数）各类型报警待处置数；</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三小场所详情：商户名称，法人，面积，地址，社区，编码，告警次数，联系电话、工商信息:营业执照、周边信息查询，自定义范围显示周边监控、POI点、BIM模型展示、展示BIM模型及模型属性、实现模型与属性数据关联展示；</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点云信息模块：全文检索 摄像头数，企业数，巡防员数，建筑数，超市数，餐饮数；</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数据统计模块：频发告警商户：显示频发告警商户，推送商铺名称+社区+报警次数+告警类型+时间+位置信息；</w:t>
            </w:r>
          </w:p>
          <w:p>
            <w:pPr>
              <w:numPr>
                <w:ilvl w:val="0"/>
                <w:numId w:val="0"/>
              </w:num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用户管理模块：用户管理列表：用户编码/用户姓名/手机号码/账号状态/创建时间/操作（查看+修改）；</w:t>
            </w:r>
          </w:p>
          <w:p>
            <w:pPr>
              <w:numPr>
                <w:ilvl w:val="0"/>
                <w:numId w:val="0"/>
              </w:numPr>
              <w:bidi w:val="0"/>
              <w:jc w:val="left"/>
              <w:rPr>
                <w:rFonts w:ascii="宋体" w:hAnsi="宋体" w:eastAsia="宋体" w:cs="宋体"/>
                <w:color w:val="000000"/>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监管账号管理：账号申请：监管人姓名，监管人员电话号码，申请人姓名，申请人电话，监管范围，是否实时推送报警信息。</w:t>
            </w:r>
          </w:p>
        </w:tc>
      </w:tr>
      <w:tr>
        <w:tblPrEx>
          <w:tblCellMar>
            <w:top w:w="0" w:type="dxa"/>
            <w:left w:w="108" w:type="dxa"/>
            <w:bottom w:w="0" w:type="dxa"/>
            <w:right w:w="108" w:type="dxa"/>
          </w:tblCellMar>
        </w:tblPrEx>
        <w:trPr>
          <w:trHeight w:val="31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客户端</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left"/>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、登录：实现执法者注册：姓名，工号，部门，联系方式，登录账号，密码，确认密码；</w:t>
            </w:r>
          </w:p>
          <w:p>
            <w:pPr>
              <w:ind w:firstLine="0" w:firstLineChars="0"/>
              <w:jc w:val="left"/>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、注册：实现执法者注册：姓名，工号，部门，联系方式，登录账号，密码，确认密码；</w:t>
            </w:r>
          </w:p>
          <w:p>
            <w:pPr>
              <w:ind w:firstLine="0" w:firstLineChars="0"/>
              <w:jc w:val="left"/>
            </w:pPr>
            <w:r>
              <w:rPr>
                <w:rFonts w:ascii="宋体" w:hAnsi="宋体" w:eastAsia="宋体" w:cs="宋体"/>
                <w:sz w:val="21"/>
                <w:szCs w:val="21"/>
              </w:rPr>
              <w:t>3</w:t>
            </w:r>
            <w:r>
              <w:rPr>
                <w:rFonts w:hint="eastAsia" w:ascii="宋体" w:hAnsi="宋体" w:eastAsia="宋体" w:cs="宋体"/>
                <w:sz w:val="21"/>
                <w:szCs w:val="21"/>
              </w:rPr>
              <w:t>、商户注册：姓名，电话，身份证号码，身份证号码，法人照片，店铺名称，店铺地址，商户编号，设备编码，店铺照片；</w:t>
            </w:r>
          </w:p>
        </w:tc>
      </w:tr>
      <w:tr>
        <w:tblPrEx>
          <w:tblCellMar>
            <w:top w:w="0" w:type="dxa"/>
            <w:left w:w="108" w:type="dxa"/>
            <w:bottom w:w="0" w:type="dxa"/>
            <w:right w:w="108" w:type="dxa"/>
          </w:tblCellMar>
        </w:tblPrEx>
        <w:trPr>
          <w:trHeight w:val="288"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硬件设备租赁</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三小场所AI摄像机</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1、支持通过无线方式或有线方式连接网络；</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2、最大支持分辨率2304×1296、帧率25fps；</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3、支持白平衡、背光补偿、镜像控制等功能；</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4、支持 3D 数字降噪，支持数字宽动态</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5、支持通过客户端对亮度、对比度、饱和度等进行调整；</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▲6、支持移动侦测/人形检测报警功能；（提供公安部检验报告扫描件）</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7、具有语音对讲功能，可通过客户端与摄像机进行对讲；</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8、支持手动录像、移动侦测录像及定时录像功能；</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9、支持录像回放功能；</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10、支持将报警信息发送至客户端/平台端，通过客户端/平台端查看报警信息；</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11、支持H.265、H.264(Main Profile)编码格式；</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12、具有超清、高清和均衡三种视频浏览模式，各模式下码率自适应；</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13、支持自动转换彩色/黑白模式；</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14、支持摄像机在正常环境下连续工作，不出现电气、机械或软件故障；</w:t>
            </w:r>
          </w:p>
        </w:tc>
      </w:tr>
      <w:tr>
        <w:tblPrEx>
          <w:tblCellMar>
            <w:top w:w="0" w:type="dxa"/>
            <w:left w:w="108" w:type="dxa"/>
            <w:bottom w:w="0" w:type="dxa"/>
            <w:right w:w="108" w:type="dxa"/>
          </w:tblCellMar>
        </w:tblPrEx>
        <w:trPr>
          <w:trHeight w:val="720"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智能烟感探测器</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▲1、产品需符合GB 20517-2006《独立式感烟火灾探测报警器》要求；（提供国家消防电子产品质量监督检验中心出具的型式试验报告扫描件）</w:t>
            </w:r>
          </w:p>
        </w:tc>
      </w:tr>
      <w:tr>
        <w:tblPrEx>
          <w:tblCellMar>
            <w:top w:w="0" w:type="dxa"/>
            <w:left w:w="108" w:type="dxa"/>
            <w:bottom w:w="0" w:type="dxa"/>
            <w:right w:w="108" w:type="dxa"/>
          </w:tblCellMar>
        </w:tblPrEx>
        <w:trPr>
          <w:trHeight w:val="72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2、产品需获得无线电发射设备型号核准证和进网许可证；（提供无线电发射设备型号核准证和进网许可证扫描件）</w:t>
            </w:r>
          </w:p>
        </w:tc>
      </w:tr>
      <w:tr>
        <w:tblPrEx>
          <w:tblCellMar>
            <w:top w:w="0" w:type="dxa"/>
            <w:left w:w="108" w:type="dxa"/>
            <w:bottom w:w="0" w:type="dxa"/>
            <w:right w:w="108" w:type="dxa"/>
          </w:tblCellMar>
        </w:tblPrEx>
        <w:trPr>
          <w:trHeight w:val="9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3、具有≥1个红外光信号发射管、≥1个蓝光信号发射管、≥1个光信号接收管、≥1个温湿度传感器、≥1个红外遥控接收管、≥1个移动侦测传感模块；</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4、在距设备正前方3m处，设备蜂鸣器的声压级应≥85dB（A计权）；</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5、支持通过平台端下发指令调整设备的烟雾报警阈值；</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6、支持监测周围室内环境的温度和湿度，并定时自动上报至平台端；</w:t>
            </w:r>
          </w:p>
        </w:tc>
      </w:tr>
      <w:tr>
        <w:tblPrEx>
          <w:tblCellMar>
            <w:top w:w="0" w:type="dxa"/>
            <w:left w:w="108" w:type="dxa"/>
            <w:bottom w:w="0" w:type="dxa"/>
            <w:right w:w="108" w:type="dxa"/>
          </w:tblCellMar>
        </w:tblPrEx>
        <w:trPr>
          <w:trHeight w:val="72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▲7、当蜂鸣器出现故障时，设备应能产生蜂鸣器故障报警，并上报至手机APP端与平台端；（提供公安部检验报告扫描件）</w:t>
            </w:r>
          </w:p>
        </w:tc>
      </w:tr>
      <w:tr>
        <w:tblPrEx>
          <w:tblCellMar>
            <w:top w:w="0" w:type="dxa"/>
            <w:left w:w="108" w:type="dxa"/>
            <w:bottom w:w="0" w:type="dxa"/>
            <w:right w:w="108" w:type="dxa"/>
          </w:tblCellMar>
        </w:tblPrEx>
        <w:trPr>
          <w:trHeight w:val="72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▲8、当通讯模块出现休眠功能异常时，设备应产生休眠异常故障报警，并上报至手机APP端和平台端；（提供公安部检验报告扫描件）</w:t>
            </w:r>
          </w:p>
        </w:tc>
      </w:tr>
      <w:tr>
        <w:tblPrEx>
          <w:tblCellMar>
            <w:top w:w="0" w:type="dxa"/>
            <w:left w:w="108" w:type="dxa"/>
            <w:bottom w:w="0" w:type="dxa"/>
            <w:right w:w="108" w:type="dxa"/>
          </w:tblCellMar>
        </w:tblPrEx>
        <w:trPr>
          <w:trHeight w:val="72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▲9、处于报警状态时，设备应支持通过本地按键、平台端、手机APP端远程下发消音指令进行消音；（提供公安部检验报告扫描件）</w:t>
            </w:r>
          </w:p>
        </w:tc>
      </w:tr>
      <w:tr>
        <w:tblPrEx>
          <w:tblCellMar>
            <w:top w:w="0" w:type="dxa"/>
            <w:left w:w="108" w:type="dxa"/>
            <w:bottom w:w="0" w:type="dxa"/>
            <w:right w:w="108" w:type="dxa"/>
          </w:tblCellMar>
        </w:tblPrEx>
        <w:trPr>
          <w:trHeight w:val="9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10、设备应具有移动侦测报警功能：在探测器下方探测到出现的移动人体/物体时，设备应能产生报警。在探测器下方连续24小时没有探测到移动人体/物体，发生超时后设备应能产生报警；</w:t>
            </w:r>
          </w:p>
        </w:tc>
      </w:tr>
      <w:tr>
        <w:tblPrEx>
          <w:tblCellMar>
            <w:top w:w="0" w:type="dxa"/>
            <w:left w:w="108" w:type="dxa"/>
            <w:bottom w:w="0" w:type="dxa"/>
            <w:right w:w="108" w:type="dxa"/>
          </w:tblCellMar>
        </w:tblPrEx>
        <w:trPr>
          <w:trHeight w:val="9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11、在探测器下方，布防时间段内，当探测到出现的移动人体/物体时，设备应能产生报警。设备应支持配置移动侦测参数，其中参数应包括灵敏度、通讯频率等；</w:t>
            </w:r>
          </w:p>
        </w:tc>
      </w:tr>
      <w:tr>
        <w:tblPrEx>
          <w:tblCellMar>
            <w:top w:w="0" w:type="dxa"/>
            <w:left w:w="108" w:type="dxa"/>
            <w:bottom w:w="0" w:type="dxa"/>
            <w:right w:w="108" w:type="dxa"/>
          </w:tblCellMar>
        </w:tblPrEx>
        <w:trPr>
          <w:trHeight w:val="72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12、具有抗水汽干扰功能；受试样品通电状态，放置在具有25℃、RH99%的环境下，持续4h；（提供公安部检验报告扫描件）</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13、设备的外壳防护等级应符合GB/T4208-2017中IP31的要求。（提供公安部检验报告扫描件）</w:t>
            </w:r>
          </w:p>
        </w:tc>
      </w:tr>
      <w:tr>
        <w:tblPrEx>
          <w:tblCellMar>
            <w:top w:w="0" w:type="dxa"/>
            <w:left w:w="108" w:type="dxa"/>
            <w:bottom w:w="0" w:type="dxa"/>
            <w:right w:w="108" w:type="dxa"/>
          </w:tblCellMar>
        </w:tblPrEx>
        <w:trPr>
          <w:trHeight w:val="288"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2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三小场所全景扫描</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1、场所全景数字化档案；直观监测场所监测；</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2、灾后复盘，便于对场所灾前灾后进行对比分析，分析致灾原因。</w:t>
            </w:r>
          </w:p>
        </w:tc>
      </w:tr>
      <w:tr>
        <w:tblPrEx>
          <w:tblCellMar>
            <w:top w:w="0" w:type="dxa"/>
            <w:left w:w="108" w:type="dxa"/>
            <w:bottom w:w="0" w:type="dxa"/>
            <w:right w:w="108" w:type="dxa"/>
          </w:tblCellMar>
        </w:tblPrEx>
        <w:trPr>
          <w:trHeight w:val="480"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2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安装、调试</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1、包含不限于，AI摄像机、智能烟感探测器、支架、平台部署、客户端等；</w:t>
            </w:r>
          </w:p>
        </w:tc>
      </w:tr>
      <w:tr>
        <w:tblPrEx>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2、包含不限于，线缆、线管、插座面板、底壳、电工胶布、咋带、螺钉等相关辅材；</w:t>
            </w:r>
          </w:p>
        </w:tc>
      </w:tr>
      <w:tr>
        <w:tblPrEx>
          <w:tblCellMar>
            <w:top w:w="0" w:type="dxa"/>
            <w:left w:w="108" w:type="dxa"/>
            <w:bottom w:w="0" w:type="dxa"/>
            <w:right w:w="108" w:type="dxa"/>
          </w:tblCellMar>
        </w:tblPrEx>
        <w:trPr>
          <w:trHeight w:val="2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宋体" w:hAnsi="宋体" w:eastAsia="宋体" w:cs="宋体"/>
                <w:color w:val="000000"/>
                <w:sz w:val="21"/>
                <w:szCs w:val="21"/>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eastAsia="宋体" w:cs="宋体"/>
                <w:color w:val="000000"/>
                <w:sz w:val="21"/>
                <w:szCs w:val="21"/>
              </w:rPr>
            </w:pP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3、前端设备调试、培训注意事项；</w:t>
            </w:r>
          </w:p>
        </w:tc>
      </w:tr>
      <w:tr>
        <w:tblPrEx>
          <w:tblCellMar>
            <w:top w:w="0" w:type="dxa"/>
            <w:left w:w="108" w:type="dxa"/>
            <w:bottom w:w="0" w:type="dxa"/>
            <w:right w:w="108" w:type="dxa"/>
          </w:tblCellMar>
        </w:tblPrEx>
        <w:trPr>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运行维护服务</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1、运维服务人员要求：≥4人巡检服务、故障修复服务及设备迁移服务等。</w:t>
            </w:r>
          </w:p>
        </w:tc>
      </w:tr>
      <w:tr>
        <w:tblPrEx>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7*24小值守服务费</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1、提供≥3人7*24小时专人在线轮班值守服务，对福保街道“三小”场所智慧安全监管系统平台，接收前端监测预警信息核对，并将预警信息推送到相关监管方、业主方人员等。</w:t>
            </w:r>
          </w:p>
        </w:tc>
      </w:tr>
    </w:tbl>
    <w:p>
      <w:pPr>
        <w:pStyle w:val="2"/>
        <w:ind w:firstLine="0" w:firstLineChars="0"/>
      </w:pPr>
    </w:p>
    <w:p>
      <w:pPr>
        <w:ind w:left="640" w:leftChars="200" w:firstLine="0" w:firstLineChars="0"/>
        <w:rPr>
          <w:b/>
          <w:bCs/>
        </w:rPr>
      </w:pPr>
      <w:r>
        <w:rPr>
          <w:b/>
          <w:bCs/>
        </w:rPr>
        <w:t>3.</w:t>
      </w:r>
      <w:r>
        <w:rPr>
          <w:rFonts w:hint="eastAsia"/>
          <w:b/>
          <w:bCs/>
        </w:rPr>
        <w:t>服务时间要求：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1、合同签订之日起60天内将符合要求的联网式</w:t>
      </w:r>
      <w:r>
        <w:rPr>
          <w:rFonts w:hint="eastAsia" w:ascii="仿宋_GB2312" w:hAnsi="仿宋_GB2312" w:eastAsia="仿宋_GB2312" w:cs="仿宋_GB2312"/>
          <w:sz w:val="28"/>
          <w:szCs w:val="28"/>
          <w:lang w:val="en-US" w:eastAsia="zh-CN"/>
        </w:rPr>
        <w:t>前端</w:t>
      </w:r>
      <w:r>
        <w:rPr>
          <w:rFonts w:hint="eastAsia" w:ascii="仿宋_GB2312" w:hAnsi="仿宋_GB2312" w:eastAsia="仿宋_GB2312" w:cs="仿宋_GB2312"/>
          <w:sz w:val="28"/>
          <w:szCs w:val="28"/>
        </w:rPr>
        <w:t>监测设备安装调试完成(所有设备上传至监管平台)。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2、发现设备故障或收到采购单位故障通知后，2小时内响应，48 小时内维修完毕，如遇设备损坏或丢失，72小时内维修完毕或安装新设备。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3、因第三方原因造成的情形，可在采购单位下达可入场维修通知之日起3日内解决故障：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①因通讯信号不稳定导致物联通讯故障，致使设备离线的；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②因场所装修、停业、场所负责人不配合等原因，致使设备被移除、损坏停用的；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③因第三方原因无法进入场所，致使设备无法及时维修的。</w:t>
      </w:r>
    </w:p>
    <w:p>
      <w:pPr>
        <w:pStyle w:val="2"/>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5.</w:t>
      </w:r>
      <w:r>
        <w:rPr>
          <w:rFonts w:hint="eastAsia" w:ascii="仿宋_GB2312" w:hAnsi="仿宋_GB2312" w:eastAsia="仿宋_GB2312" w:cs="仿宋_GB2312"/>
          <w:b/>
          <w:bCs/>
          <w:sz w:val="28"/>
          <w:szCs w:val="28"/>
        </w:rPr>
        <w:t>服务成果要求：</w:t>
      </w:r>
    </w:p>
    <w:p>
      <w:pPr>
        <w:pStyle w:val="2"/>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1、提供500套前端监测设备安装台账，台账应包含场所信息、设备信息、安装前后照片等。</w:t>
      </w:r>
    </w:p>
    <w:p>
      <w:pPr>
        <w:pStyle w:val="2"/>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2、提交每月监测预警报告。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3、提交项目总结报告。报告内容应包含项目过程概述及回顾、项目可交付成果情况，项目目标完成度，项目开展过程中遇到的问题及难点的分析总结和建议等。</w:t>
      </w:r>
    </w:p>
    <w:p>
      <w:pPr>
        <w:pStyle w:val="2"/>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6.</w:t>
      </w:r>
      <w:r>
        <w:rPr>
          <w:rFonts w:hint="eastAsia" w:ascii="仿宋_GB2312" w:hAnsi="仿宋_GB2312" w:eastAsia="仿宋_GB2312" w:cs="仿宋_GB2312"/>
          <w:b/>
          <w:bCs/>
          <w:sz w:val="28"/>
          <w:szCs w:val="28"/>
        </w:rPr>
        <w:t>考核办法/验收方式：</w:t>
      </w:r>
    </w:p>
    <w:p>
      <w:pPr>
        <w:pStyle w:val="2"/>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1、每月考核：自500套前端监测设备</w:t>
      </w:r>
      <w:r>
        <w:rPr>
          <w:rFonts w:hint="eastAsia" w:ascii="仿宋_GB2312" w:hAnsi="仿宋_GB2312" w:eastAsia="仿宋_GB2312" w:cs="仿宋_GB2312"/>
          <w:sz w:val="28"/>
          <w:szCs w:val="28"/>
        </w:rPr>
        <w:t>经采购单位确认可投入使用</w:t>
      </w:r>
      <w:r>
        <w:rPr>
          <w:rFonts w:hint="eastAsia" w:ascii="仿宋_GB2312" w:hAnsi="仿宋_GB2312" w:eastAsia="仿宋_GB2312" w:cs="仿宋_GB2312"/>
          <w:sz w:val="28"/>
          <w:szCs w:val="28"/>
          <w:lang w:val="en-US"/>
        </w:rPr>
        <w:t>次日起的每个自然月，对设备当月平均在线率进行考核，具体为：</w:t>
      </w:r>
    </w:p>
    <w:p>
      <w:pPr>
        <w:pStyle w:val="2"/>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①90%≤设备当月平均在线率＜95%的，当月费用核减合同总价款的1%；</w:t>
      </w:r>
    </w:p>
    <w:p>
      <w:pPr>
        <w:pStyle w:val="2"/>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②设备当月平均在线率＜90%的，当月费用核减合同总价款的2%。</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2、整体验收：采购单位根据招投标文件、合同等本项目相关资料对服务内容、服务成果、服务质量等进行验收。</w:t>
      </w:r>
    </w:p>
    <w:p>
      <w:pPr>
        <w:pStyle w:val="2"/>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7.</w:t>
      </w:r>
      <w:r>
        <w:rPr>
          <w:rFonts w:hint="eastAsia" w:ascii="仿宋_GB2312" w:hAnsi="仿宋_GB2312" w:eastAsia="仿宋_GB2312" w:cs="仿宋_GB2312"/>
          <w:b/>
          <w:bCs/>
          <w:sz w:val="28"/>
          <w:szCs w:val="28"/>
        </w:rPr>
        <w:t>报价要求：</w:t>
      </w:r>
    </w:p>
    <w:p>
      <w:pPr>
        <w:ind w:left="557" w:leftChars="174"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1、根据本企业的成本自行决定报价，且报价不得超过项目预算。</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2、本项目服务费采用包干制，应包括服务成本、法定税费和企业的利润。根据提供的资料自行测算报价；签定合同后，合同期限内不做调整。</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3、提供详细分项报价清单。</w:t>
      </w:r>
    </w:p>
    <w:p>
      <w:pPr>
        <w:pStyle w:val="2"/>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8.</w:t>
      </w:r>
      <w:r>
        <w:rPr>
          <w:rFonts w:hint="eastAsia" w:ascii="仿宋_GB2312" w:hAnsi="仿宋_GB2312" w:eastAsia="仿宋_GB2312" w:cs="仿宋_GB2312"/>
          <w:b/>
          <w:bCs/>
          <w:sz w:val="28"/>
          <w:szCs w:val="28"/>
        </w:rPr>
        <w:t>付款方式：</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合同签订后，分二期付款。具体以合同约定为准。</w:t>
      </w:r>
    </w:p>
    <w:p>
      <w:pPr>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9.服务期限：</w:t>
      </w:r>
    </w:p>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r>
        <w:rPr>
          <w:rFonts w:hint="eastAsia" w:hAnsi="仿宋_GB2312" w:cs="仿宋_GB2312"/>
          <w:sz w:val="28"/>
          <w:szCs w:val="28"/>
          <w:lang w:eastAsia="zh-CN"/>
        </w:rPr>
        <w:t>服务</w:t>
      </w:r>
      <w:r>
        <w:rPr>
          <w:rFonts w:hint="eastAsia" w:ascii="仿宋_GB2312" w:hAnsi="仿宋_GB2312" w:eastAsia="仿宋_GB2312" w:cs="仿宋_GB2312"/>
          <w:sz w:val="28"/>
          <w:szCs w:val="28"/>
        </w:rPr>
        <w:t>周期三年，合同每年一签，合同期满后可根据供应商履约情况，可</w:t>
      </w:r>
      <w:bookmarkStart w:id="0" w:name="_GoBack"/>
      <w:bookmarkEnd w:id="0"/>
      <w:r>
        <w:rPr>
          <w:rFonts w:hint="eastAsia" w:ascii="仿宋_GB2312" w:hAnsi="仿宋_GB2312" w:eastAsia="仿宋_GB2312" w:cs="仿宋_GB2312"/>
          <w:sz w:val="28"/>
          <w:szCs w:val="28"/>
        </w:rPr>
        <w:t>延长合同期。本项目为长期服务项目。以实际签订合同为准。</w:t>
      </w:r>
    </w:p>
    <w:p>
      <w:pPr>
        <w:pStyle w:val="2"/>
        <w:numPr>
          <w:ilvl w:val="0"/>
          <w:numId w:val="4"/>
        </w:numPr>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服务地点：</w:t>
      </w:r>
    </w:p>
    <w:p>
      <w:pPr>
        <w:pStyle w:val="2"/>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在采购人指定</w:t>
      </w:r>
      <w:r>
        <w:rPr>
          <w:rFonts w:hint="eastAsia" w:ascii="仿宋_GB2312" w:hAnsi="仿宋_GB2312" w:eastAsia="仿宋_GB2312" w:cs="仿宋_GB2312"/>
          <w:sz w:val="28"/>
          <w:szCs w:val="28"/>
          <w:lang w:val="en-US"/>
        </w:rPr>
        <w:t>的福田区福</w:t>
      </w:r>
      <w:r>
        <w:rPr>
          <w:rFonts w:hint="eastAsia" w:ascii="仿宋_GB2312" w:hAnsi="仿宋_GB2312" w:eastAsia="仿宋_GB2312" w:cs="仿宋_GB2312"/>
          <w:sz w:val="28"/>
          <w:szCs w:val="28"/>
          <w:lang w:val="en-US" w:eastAsia="zh-CN"/>
        </w:rPr>
        <w:t>保</w:t>
      </w:r>
      <w:r>
        <w:rPr>
          <w:rFonts w:hint="eastAsia" w:ascii="仿宋_GB2312" w:hAnsi="仿宋_GB2312" w:eastAsia="仿宋_GB2312" w:cs="仿宋_GB2312"/>
          <w:sz w:val="28"/>
          <w:szCs w:val="28"/>
          <w:lang w:val="en-US"/>
        </w:rPr>
        <w:t>街道500家“三小”场所</w:t>
      </w:r>
      <w:r>
        <w:rPr>
          <w:rFonts w:hint="eastAsia" w:ascii="仿宋_GB2312" w:hAnsi="仿宋_GB2312" w:eastAsia="仿宋_GB2312" w:cs="仿宋_GB2312"/>
          <w:sz w:val="28"/>
          <w:szCs w:val="28"/>
        </w:rPr>
        <w:t>地点。</w:t>
      </w:r>
    </w:p>
    <w:p>
      <w:pPr>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11.关于违约：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1、如投标人未按照投标文件中承诺的时间交货或提供服务，投标人应承担延期服务的违约责任，并可要求投标人赔偿采购人因此造成的实际经济损失。</w:t>
      </w:r>
    </w:p>
    <w:p>
      <w:pPr>
        <w:pStyle w:val="2"/>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2、投标人不能按照项目需求进行提供运维服务，需向采购人每日偿付延迟运维服务总额的0.5%作为违约金，在应付款中直接结算；本款违约金的计算以合同总额的30%为限。</w:t>
      </w:r>
    </w:p>
    <w:p>
      <w:pPr>
        <w:pStyle w:val="2"/>
        <w:ind w:firstLine="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12.</w:t>
      </w:r>
      <w:r>
        <w:rPr>
          <w:rFonts w:hint="eastAsia" w:ascii="仿宋_GB2312" w:hAnsi="仿宋_GB2312" w:eastAsia="仿宋_GB2312" w:cs="仿宋_GB2312"/>
          <w:b/>
          <w:bCs/>
          <w:sz w:val="28"/>
          <w:szCs w:val="28"/>
        </w:rPr>
        <w:t>其他需说明的事项：</w:t>
      </w:r>
    </w:p>
    <w:p>
      <w:pPr>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1、现场的控制和安全管理均由中标单位自行负责，中标单位应做好安全保障措施，保障其工作人员的安全。</w:t>
      </w:r>
    </w:p>
    <w:p>
      <w:pPr>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2、中标单位工作人员不得借职务之便从事其他盈利性活动。</w:t>
      </w:r>
    </w:p>
    <w:p>
      <w:pPr>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3、采购单位工作人员或场所内相关人员因中标单位提供的燃气监测设备导致其合法权益受损，采购单位将追究中标单位责任，并要求中标单位依法承担赔偿责任。</w:t>
      </w:r>
    </w:p>
    <w:p>
      <w:pPr>
        <w:ind w:firstLine="0" w:firstLineChars="0"/>
        <w:rPr>
          <w:rFonts w:ascii="仿宋" w:hAnsi="仿宋" w:eastAsia="仿宋"/>
          <w:bCs/>
          <w:sz w:val="28"/>
          <w:szCs w:val="28"/>
        </w:rPr>
      </w:pPr>
      <w:r>
        <w:rPr>
          <w:rFonts w:hint="eastAsia" w:ascii="仿宋_GB2312" w:hAnsi="仿宋_GB2312" w:eastAsia="仿宋_GB2312" w:cs="仿宋_GB2312"/>
          <w:sz w:val="28"/>
          <w:szCs w:val="28"/>
        </w:rPr>
        <w:t>4、提供虚假承诺的，涉嫌存在违法违规行为的，依法报主管部门处理处罚。</w:t>
      </w:r>
    </w:p>
    <w:p>
      <w:pPr>
        <w:numPr>
          <w:ilvl w:val="255"/>
          <w:numId w:val="0"/>
        </w:numPr>
        <w:ind w:firstLine="562"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kern w:val="0"/>
          <w:sz w:val="28"/>
          <w:szCs w:val="28"/>
        </w:rPr>
        <w:t>四、评判信息</w:t>
      </w:r>
    </w:p>
    <w:p>
      <w:pPr>
        <w:ind w:firstLine="480"/>
        <w:rPr>
          <w:rFonts w:ascii="仿宋" w:hAnsi="仿宋" w:eastAsia="仿宋" w:cs="仿宋"/>
          <w:color w:val="000000"/>
          <w:sz w:val="24"/>
        </w:rPr>
      </w:pPr>
      <w:r>
        <w:rPr>
          <w:rFonts w:hint="eastAsia" w:ascii="仿宋" w:hAnsi="仿宋" w:eastAsia="仿宋" w:cs="仿宋"/>
          <w:color w:val="000000"/>
          <w:sz w:val="24"/>
        </w:rPr>
        <w:t>本次评判采用综合评判法，按照采购文件中规定的各项因素进行量化评判，以评判总得分最高的供应商为成交候选供应商。</w:t>
      </w:r>
    </w:p>
    <w:p>
      <w:pPr>
        <w:ind w:firstLine="480"/>
        <w:rPr>
          <w:rFonts w:ascii="仿宋" w:hAnsi="仿宋" w:eastAsia="仿宋" w:cs="仿宋"/>
          <w:color w:val="000000"/>
          <w:sz w:val="24"/>
        </w:rPr>
      </w:pPr>
      <w:r>
        <w:rPr>
          <w:rFonts w:hint="eastAsia" w:ascii="仿宋" w:hAnsi="仿宋" w:eastAsia="仿宋" w:cs="仿宋"/>
          <w:color w:val="000000"/>
          <w:sz w:val="24"/>
        </w:rPr>
        <w:t>确定成交供应商按评判后得分由高到低顺序排序。得分排名前3名的供应商作为成交候选人。得分相同的，按响应报价由低到高排列；得分且响应报价相同的，按技术指标优劣顺序排列；综合得分、响应报价及技术得分均相同的，评审委员会成员通过表决，以少数服从多数原则，决定列前成交候选人。</w:t>
      </w:r>
    </w:p>
    <w:p>
      <w:pPr>
        <w:pStyle w:val="2"/>
        <w:tabs>
          <w:tab w:val="left" w:pos="562"/>
          <w:tab w:val="left" w:pos="3372"/>
          <w:tab w:val="left" w:pos="3653"/>
        </w:tabs>
        <w:ind w:firstLine="480"/>
        <w:rPr>
          <w:rFonts w:ascii="仿宋" w:hAnsi="仿宋" w:eastAsia="仿宋" w:cs="仿宋"/>
          <w:color w:val="000000"/>
          <w:sz w:val="24"/>
        </w:rPr>
      </w:pPr>
      <w:r>
        <w:rPr>
          <w:rFonts w:hint="eastAsia" w:ascii="仿宋" w:hAnsi="仿宋" w:eastAsia="仿宋" w:cs="仿宋"/>
          <w:color w:val="000000"/>
          <w:sz w:val="24"/>
        </w:rPr>
        <w:t>价格分应当采用低价优先法计算，即满足采购文件要求且投标价格最低的响应报价为评判基准价，其价格分为满分。其他响应人的价格分统一按照下列公式计算：</w:t>
      </w:r>
    </w:p>
    <w:p>
      <w:pPr>
        <w:pStyle w:val="2"/>
        <w:tabs>
          <w:tab w:val="left" w:pos="562"/>
          <w:tab w:val="left" w:pos="3372"/>
          <w:tab w:val="left" w:pos="3653"/>
        </w:tabs>
        <w:ind w:firstLine="482"/>
        <w:rPr>
          <w:rFonts w:ascii="仿宋" w:hAnsi="仿宋" w:eastAsia="仿宋" w:cs="仿宋"/>
          <w:b/>
          <w:bCs/>
          <w:color w:val="000000"/>
          <w:sz w:val="24"/>
        </w:rPr>
      </w:pPr>
      <w:r>
        <w:rPr>
          <w:rFonts w:hint="eastAsia" w:ascii="仿宋" w:hAnsi="仿宋" w:eastAsia="仿宋" w:cs="仿宋"/>
          <w:b/>
          <w:bCs/>
          <w:color w:val="000000"/>
          <w:sz w:val="24"/>
        </w:rPr>
        <w:t>响应报价得分=(评判基准价/响应报价)×100</w:t>
      </w:r>
    </w:p>
    <w:p>
      <w:pPr>
        <w:pStyle w:val="2"/>
        <w:tabs>
          <w:tab w:val="left" w:pos="562"/>
          <w:tab w:val="left" w:pos="3372"/>
          <w:tab w:val="left" w:pos="3653"/>
        </w:tabs>
        <w:ind w:firstLine="482"/>
        <w:rPr>
          <w:rFonts w:ascii="仿宋" w:hAnsi="仿宋" w:eastAsia="仿宋" w:cs="仿宋"/>
          <w:b/>
          <w:bCs/>
          <w:color w:val="000000"/>
          <w:sz w:val="24"/>
        </w:rPr>
      </w:pPr>
      <w:r>
        <w:rPr>
          <w:rFonts w:hint="eastAsia" w:ascii="仿宋" w:hAnsi="仿宋" w:eastAsia="仿宋" w:cs="仿宋"/>
          <w:b/>
          <w:bCs/>
          <w:color w:val="000000"/>
          <w:sz w:val="24"/>
        </w:rPr>
        <w:t>评判总得分=F1×A1+F2×A2+……+Fn×An</w:t>
      </w:r>
    </w:p>
    <w:p>
      <w:pPr>
        <w:pStyle w:val="2"/>
        <w:tabs>
          <w:tab w:val="left" w:pos="562"/>
          <w:tab w:val="left" w:pos="3372"/>
          <w:tab w:val="left" w:pos="3653"/>
        </w:tabs>
        <w:ind w:firstLine="482"/>
        <w:rPr>
          <w:rFonts w:ascii="仿宋" w:hAnsi="仿宋" w:eastAsia="仿宋" w:cs="仿宋"/>
          <w:b/>
          <w:bCs/>
          <w:color w:val="000000"/>
          <w:sz w:val="24"/>
        </w:rPr>
      </w:pPr>
      <w:r>
        <w:rPr>
          <w:rFonts w:hint="eastAsia" w:ascii="仿宋" w:hAnsi="仿宋" w:eastAsia="仿宋" w:cs="仿宋"/>
          <w:b/>
          <w:bCs/>
          <w:color w:val="000000"/>
          <w:sz w:val="24"/>
        </w:rPr>
        <w:t xml:space="preserve">F1、F2……Fn分别为各项评判因素的得分； </w:t>
      </w:r>
    </w:p>
    <w:p>
      <w:pPr>
        <w:pStyle w:val="2"/>
        <w:tabs>
          <w:tab w:val="left" w:pos="562"/>
          <w:tab w:val="left" w:pos="3372"/>
          <w:tab w:val="left" w:pos="3653"/>
        </w:tabs>
        <w:ind w:firstLine="482"/>
        <w:rPr>
          <w:rFonts w:ascii="仿宋" w:hAnsi="仿宋" w:eastAsia="仿宋" w:cs="仿宋"/>
          <w:b/>
          <w:bCs/>
          <w:sz w:val="24"/>
        </w:rPr>
      </w:pPr>
      <w:r>
        <w:rPr>
          <w:rFonts w:hint="eastAsia" w:ascii="仿宋" w:hAnsi="仿宋" w:eastAsia="仿宋" w:cs="仿宋"/>
          <w:b/>
          <w:bCs/>
          <w:color w:val="000000"/>
          <w:sz w:val="24"/>
        </w:rPr>
        <w:t>A1、A2、……An 分别为各项评判因素所占的权重(A1+A2+……+An=1)。</w:t>
      </w:r>
    </w:p>
    <w:p>
      <w:pPr>
        <w:ind w:firstLine="480"/>
        <w:rPr>
          <w:rFonts w:ascii="仿宋" w:hAnsi="仿宋" w:eastAsia="仿宋" w:cs="仿宋"/>
          <w:color w:val="000000"/>
          <w:sz w:val="24"/>
        </w:rPr>
      </w:pPr>
      <w:r>
        <w:rPr>
          <w:rFonts w:hint="eastAsia" w:ascii="仿宋" w:hAnsi="仿宋" w:eastAsia="仿宋" w:cs="仿宋"/>
          <w:color w:val="000000"/>
          <w:sz w:val="24"/>
        </w:rPr>
        <w:t>评审委员会对每个通过资格性检查和符合性检查且报价不超过预算控制金额的响应供应商进行评判，然后汇总每个响应供应商每项评判要素的评分，得分精确到小数点后两位（四舍五入）。</w:t>
      </w:r>
    </w:p>
    <w:p>
      <w:pPr>
        <w:wordWrap w:val="0"/>
        <w:ind w:firstLine="480"/>
        <w:jc w:val="left"/>
        <w:rPr>
          <w:rFonts w:ascii="仿宋" w:hAnsi="仿宋" w:eastAsia="仿宋" w:cs="仿宋"/>
          <w:color w:val="000000"/>
          <w:sz w:val="24"/>
        </w:rPr>
      </w:pPr>
      <w:r>
        <w:rPr>
          <w:rFonts w:hint="eastAsia" w:ascii="仿宋" w:hAnsi="仿宋" w:eastAsia="仿宋" w:cs="仿宋"/>
          <w:color w:val="000000"/>
          <w:sz w:val="24"/>
        </w:rPr>
        <w:t>评委会在评判时，按照以下量化的评判因素，对进入该阶段评判的各响应文件进行分析和比较：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650"/>
        <w:gridCol w:w="1284"/>
        <w:gridCol w:w="756"/>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评分项</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1</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价格</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2</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技术部分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91" w:type="dxa"/>
            <w:vMerge w:val="restart"/>
            <w:tcBorders>
              <w:top w:val="single" w:color="auto" w:sz="4" w:space="0"/>
              <w:left w:val="single" w:color="auto" w:sz="4" w:space="0"/>
              <w:right w:val="single" w:color="auto" w:sz="4" w:space="0"/>
            </w:tcBorders>
          </w:tcPr>
          <w:p>
            <w:pPr>
              <w:ind w:firstLine="360"/>
              <w:jc w:val="center"/>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b/>
                <w:bCs/>
                <w:sz w:val="18"/>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服务方案</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15</w:t>
            </w:r>
          </w:p>
        </w:tc>
        <w:tc>
          <w:tcPr>
            <w:tcW w:w="5529" w:type="dxa"/>
            <w:tcBorders>
              <w:top w:val="single" w:color="auto" w:sz="4" w:space="0"/>
              <w:left w:val="single" w:color="auto" w:sz="4" w:space="0"/>
              <w:bottom w:val="single" w:color="auto" w:sz="4" w:space="0"/>
              <w:right w:val="single" w:color="auto" w:sz="4" w:space="0"/>
            </w:tcBorders>
          </w:tcPr>
          <w:p>
            <w:pPr>
              <w:numPr>
                <w:ilvl w:val="0"/>
                <w:numId w:val="5"/>
              </w:numPr>
              <w:spacing w:line="360" w:lineRule="auto"/>
              <w:ind w:firstLine="0" w:firstLineChars="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评分内容：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根据投标人提供的项目服务方案进行打分，内容包括：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hint="eastAsia" w:ascii="宋体" w:hAnsi="宋体" w:eastAsia="宋体" w:cs="宋体"/>
                <w:sz w:val="18"/>
                <w:szCs w:val="18"/>
              </w:rPr>
              <w:t>服务工作范围</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hint="eastAsia" w:ascii="宋体" w:hAnsi="宋体" w:eastAsia="宋体" w:cs="宋体"/>
                <w:sz w:val="18"/>
                <w:szCs w:val="18"/>
              </w:rPr>
              <w:t>服务工作内容</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3、安装服务计划；</w:t>
            </w:r>
          </w:p>
          <w:p>
            <w:pPr>
              <w:numPr>
                <w:ilvl w:val="255"/>
                <w:numId w:val="0"/>
              </w:numPr>
              <w:spacing w:line="36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4、服务人员要求；</w:t>
            </w:r>
            <w:r>
              <w:rPr>
                <w:rFonts w:hint="eastAsia" w:ascii="宋体" w:hAnsi="宋体" w:eastAsia="宋体" w:cs="宋体"/>
                <w:color w:val="000000"/>
                <w:kern w:val="0"/>
                <w:sz w:val="18"/>
                <w:szCs w:val="18"/>
              </w:rPr>
              <w:br w:type="textWrapping"/>
            </w:r>
            <w:r>
              <w:rPr>
                <w:rFonts w:hint="eastAsia" w:ascii="宋体" w:hAnsi="宋体" w:eastAsia="宋体" w:cs="宋体"/>
                <w:b/>
                <w:bCs/>
                <w:color w:val="000000"/>
                <w:kern w:val="0"/>
                <w:sz w:val="18"/>
                <w:szCs w:val="18"/>
              </w:rPr>
              <w:t>（二）评分依据：</w:t>
            </w:r>
          </w:p>
          <w:p>
            <w:pPr>
              <w:numPr>
                <w:ilvl w:val="255"/>
                <w:numId w:val="0"/>
              </w:numPr>
              <w:spacing w:line="36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1、投标人投标文件包含以上任意一项内容，即可得2分，四项全部包含的得8分。</w:t>
            </w:r>
          </w:p>
          <w:p>
            <w:pPr>
              <w:numPr>
                <w:ilvl w:val="255"/>
                <w:numId w:val="0"/>
              </w:numPr>
              <w:spacing w:line="360" w:lineRule="auto"/>
              <w:jc w:val="left"/>
              <w:rPr>
                <w:rStyle w:val="10"/>
                <w:rFonts w:ascii="宋体" w:hAnsi="宋体" w:eastAsia="宋体" w:cs="宋体"/>
                <w:sz w:val="18"/>
                <w:szCs w:val="18"/>
              </w:rPr>
            </w:pPr>
            <w:r>
              <w:rPr>
                <w:rFonts w:hint="eastAsia" w:ascii="宋体" w:hAnsi="宋体" w:eastAsia="宋体" w:cs="宋体"/>
                <w:color w:val="000000"/>
                <w:kern w:val="0"/>
                <w:sz w:val="18"/>
                <w:szCs w:val="18"/>
              </w:rPr>
              <w:t>2、评标委员会根据响应情况，</w:t>
            </w:r>
            <w:r>
              <w:rPr>
                <w:rStyle w:val="10"/>
                <w:rFonts w:hint="eastAsia" w:ascii="宋体" w:hAnsi="宋体" w:eastAsia="宋体" w:cs="宋体"/>
                <w:sz w:val="18"/>
                <w:szCs w:val="18"/>
              </w:rPr>
              <w:t>评审出优、良、中、差。</w:t>
            </w:r>
          </w:p>
          <w:p>
            <w:pPr>
              <w:numPr>
                <w:ilvl w:val="255"/>
                <w:numId w:val="0"/>
              </w:numPr>
              <w:spacing w:line="360" w:lineRule="auto"/>
              <w:jc w:val="left"/>
              <w:rPr>
                <w:rFonts w:ascii="宋体" w:hAnsi="宋体" w:eastAsia="宋体" w:cs="宋体"/>
                <w:b/>
                <w:i/>
                <w:sz w:val="18"/>
                <w:szCs w:val="18"/>
                <w:u w:val="single"/>
              </w:rPr>
            </w:pPr>
            <w:r>
              <w:rPr>
                <w:rFonts w:hint="eastAsia" w:ascii="宋体" w:hAnsi="宋体" w:eastAsia="宋体" w:cs="宋体"/>
                <w:color w:val="000000"/>
                <w:kern w:val="0"/>
                <w:sz w:val="18"/>
                <w:szCs w:val="18"/>
              </w:rPr>
              <w:t>评审为优：方案内容全面、具体，科学合理，针对性、可操作性强，加7分；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评审为良：方案内容比较全面、具体，比较合理，具有一定针对性、可操作性，加4分；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评审为中：有方案内容，合理性一般，部分方案具有针对性、可操作性，加2分。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评审为差：方案内容简单，缺乏针对性、可操作性，不加分。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项目重点难点分析、应对措施及相关的合理化建议</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sz w:val="18"/>
                <w:szCs w:val="18"/>
              </w:rPr>
            </w:pPr>
            <w:r>
              <w:rPr>
                <w:rFonts w:hint="eastAsia" w:ascii="宋体" w:hAnsi="宋体" w:eastAsia="宋体" w:cs="宋体"/>
                <w:b/>
                <w:bCs/>
                <w:color w:val="000000"/>
                <w:kern w:val="0"/>
                <w:sz w:val="18"/>
                <w:szCs w:val="18"/>
              </w:rPr>
              <w:t>（一）评分内容：</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根据投标人提供的项目重点难点分析、应对措施及相关的合理化建议进行打分，内容包括：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1、项目重点难点分析；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2、项目重点难点解决措施；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3、项目合理化建议。</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（二）评分依据：</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1、投标人投标文件包含以上任意一项内容，即可得2分，三项全部包含的得6分。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2、评标委员会根据响应情况，</w:t>
            </w:r>
            <w:r>
              <w:rPr>
                <w:rStyle w:val="10"/>
                <w:rFonts w:hint="eastAsia" w:ascii="宋体" w:hAnsi="宋体" w:eastAsia="宋体" w:cs="宋体"/>
                <w:sz w:val="18"/>
                <w:szCs w:val="18"/>
              </w:rPr>
              <w:t>评审出优、良、中、差。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评审为优：方案内容全面、具体，科学合理，针对性、可操作性强，加4分；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评审为良：方案内容比较全面、具体，比较合理，具有一定针对性、可操作性，加2分；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评审为中：有方案内容，合理性一般，部分方案具有针对性、可操作性，加1分。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评审为差：方案内容简单，缺乏针对性、可操作性，不加分。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质量（完成时间、安全）保障措施及方案</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5529" w:type="dxa"/>
            <w:tcBorders>
              <w:top w:val="single" w:color="auto" w:sz="4" w:space="0"/>
              <w:left w:val="single" w:color="auto" w:sz="4" w:space="0"/>
              <w:bottom w:val="single" w:color="auto" w:sz="4" w:space="0"/>
              <w:right w:val="single" w:color="auto" w:sz="4" w:space="0"/>
            </w:tcBorders>
          </w:tcPr>
          <w:p>
            <w:pPr>
              <w:widowControl/>
              <w:spacing w:after="60" w:line="360" w:lineRule="auto"/>
              <w:ind w:firstLine="0" w:firstLineChars="0"/>
              <w:jc w:val="left"/>
              <w:rPr>
                <w:rFonts w:ascii="宋体" w:hAnsi="宋体" w:eastAsia="宋体" w:cs="宋体"/>
                <w:sz w:val="18"/>
                <w:szCs w:val="18"/>
              </w:rPr>
            </w:pPr>
            <w:r>
              <w:rPr>
                <w:rStyle w:val="10"/>
                <w:rFonts w:hint="eastAsia" w:ascii="宋体" w:hAnsi="宋体" w:eastAsia="宋体" w:cs="宋体"/>
                <w:b/>
                <w:bCs/>
                <w:sz w:val="18"/>
                <w:szCs w:val="18"/>
              </w:rPr>
              <w:t>（一）评分内容：</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根据投标人提供的质量（完成时间、安全）保障措施进行打分，内容包括：</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1、项目质量保障方案；</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2、项目进度保障措施；</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3、项目安全保障措施。</w:t>
            </w:r>
            <w:r>
              <w:rPr>
                <w:rStyle w:val="10"/>
                <w:rFonts w:hint="eastAsia" w:ascii="宋体" w:hAnsi="宋体" w:eastAsia="宋体" w:cs="宋体"/>
                <w:sz w:val="18"/>
                <w:szCs w:val="18"/>
              </w:rPr>
              <w:br w:type="textWrapping"/>
            </w:r>
            <w:r>
              <w:rPr>
                <w:rStyle w:val="10"/>
                <w:rFonts w:hint="eastAsia" w:ascii="宋体" w:hAnsi="宋体" w:eastAsia="宋体" w:cs="宋体"/>
                <w:b/>
                <w:bCs/>
                <w:sz w:val="18"/>
                <w:szCs w:val="18"/>
              </w:rPr>
              <w:t>（二）评分依据：</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1、投标人投标文件包含以上任意一项内容，即可得2分，三项全部包含的得6分。</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2、评标委员会根据响应情况，评审出优、良、中、差。</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评审为优：方案内容全面、具体，科学合理，针对性、可操作性强，加4分；</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评审为良：方案内容比较全面、具体，比较合理，具有一定针对性、可操作性，加2分；</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评审为中：有方案内容，合理性一般，部分方案具有针对性、可操作性，加1分。</w:t>
            </w:r>
            <w:r>
              <w:rPr>
                <w:rStyle w:val="10"/>
                <w:rFonts w:hint="eastAsia" w:ascii="宋体" w:hAnsi="宋体" w:eastAsia="宋体" w:cs="宋体"/>
                <w:sz w:val="18"/>
                <w:szCs w:val="18"/>
              </w:rPr>
              <w:br w:type="textWrapping"/>
            </w:r>
            <w:r>
              <w:rPr>
                <w:rStyle w:val="10"/>
                <w:rFonts w:hint="eastAsia" w:ascii="宋体" w:hAnsi="宋体" w:eastAsia="宋体" w:cs="宋体"/>
                <w:sz w:val="18"/>
                <w:szCs w:val="18"/>
              </w:rPr>
              <w:t>评审为差：方案内容简单，缺乏针对性、可操作性，不加分。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color w:val="000000"/>
                <w:kern w:val="0"/>
                <w:sz w:val="18"/>
                <w:szCs w:val="18"/>
              </w:rPr>
              <w:t>产品技术指标符合程度评价</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20</w:t>
            </w:r>
          </w:p>
        </w:tc>
        <w:tc>
          <w:tcPr>
            <w:tcW w:w="5529" w:type="dxa"/>
            <w:tcBorders>
              <w:top w:val="single" w:color="auto" w:sz="4" w:space="0"/>
              <w:left w:val="single" w:color="auto" w:sz="4" w:space="0"/>
              <w:bottom w:val="single" w:color="auto" w:sz="4" w:space="0"/>
              <w:right w:val="single" w:color="auto" w:sz="4" w:space="0"/>
            </w:tcBorders>
          </w:tcPr>
          <w:p>
            <w:pPr>
              <w:widowControl/>
              <w:spacing w:after="60"/>
              <w:ind w:firstLine="0" w:firstLineChars="0"/>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（一）评分内容：</w:t>
            </w:r>
          </w:p>
          <w:p>
            <w:pPr>
              <w:widowControl/>
              <w:spacing w:after="60"/>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根据招标文件中“</w:t>
            </w:r>
            <w:r>
              <w:rPr>
                <w:rFonts w:hint="eastAsia"/>
                <w:sz w:val="18"/>
                <w:szCs w:val="18"/>
              </w:rPr>
              <w:t>服务技术指标要求</w:t>
            </w:r>
            <w:r>
              <w:rPr>
                <w:rFonts w:hint="eastAsia" w:ascii="宋体" w:hAnsi="宋体" w:eastAsia="宋体" w:cs="宋体"/>
                <w:color w:val="000000"/>
                <w:kern w:val="0"/>
                <w:sz w:val="18"/>
                <w:szCs w:val="18"/>
              </w:rPr>
              <w:t>”中具体内容，设备技术要求参数的满足程度进行评价；</w:t>
            </w:r>
          </w:p>
          <w:p>
            <w:pPr>
              <w:widowControl/>
              <w:spacing w:after="60"/>
              <w:ind w:firstLine="0" w:firstLineChars="0"/>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（二）评分依据：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color w:val="000000"/>
                <w:kern w:val="0"/>
                <w:sz w:val="18"/>
                <w:szCs w:val="18"/>
              </w:rPr>
              <w:t>评审委员会以投标文件《技术要求偏离表》响应情况进行打分：“▲”号重要技术指标，每有一项负偏离的扣2分；除带“▲”号重要技术指标以外的其它技术指标每有一项负偏离的扣1分,扣完为止。本项最高20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3</w:t>
            </w:r>
          </w:p>
        </w:tc>
        <w:tc>
          <w:tcPr>
            <w:tcW w:w="2819" w:type="dxa"/>
            <w:gridSpan w:val="3"/>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商务部分</w:t>
            </w:r>
          </w:p>
        </w:tc>
        <w:tc>
          <w:tcPr>
            <w:tcW w:w="5529"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1" w:type="dxa"/>
            <w:vMerge w:val="restart"/>
            <w:tcBorders>
              <w:top w:val="single" w:color="auto" w:sz="4" w:space="0"/>
              <w:left w:val="single" w:color="auto" w:sz="4" w:space="0"/>
              <w:right w:val="single" w:color="auto" w:sz="4" w:space="0"/>
            </w:tcBorders>
          </w:tcPr>
          <w:p>
            <w:pPr>
              <w:ind w:firstLine="360"/>
              <w:jc w:val="center"/>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投标人通过相关认证情况</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（一）评分内容：</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1、投标人同时具有GB/T19001-2016 idt ISO9001:2015质量管理体系认证证书、GB/T24001-2016 idt ISO14001:2015环境管理体系认证证书、及GB/T45001-2020 idt ISO45001:2018职业健康安全管理体系认证证书，认证范围覆盖：安全技术防范系统的施工、维修的，得2分；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2、投标人具有ITSS信息技术服务标准符合性证书，得1分；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3、投标人具有安全技术防范系统设计、施工、维修资格肆级证书及以上的，得1分；</w:t>
            </w:r>
          </w:p>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（二）评分依据：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1.要求提供有效的认证证书作为得分依据。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2.以上资料均要求提供扫描件（或官方网站截图）盖章，原件备查。评分中出现未按要求提供证明资料或专家无法凭所提供资料判断是否得分的情况，一律作不得分处理。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拟安排的项目负责人情况（仅限一人）</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（一）评分内容：</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投标人须承诺拟安排的项目负责人为本单位员工，如中标，将派该工作人员担任本项目团队总负责人，以下累计计分：</w:t>
            </w:r>
          </w:p>
          <w:p>
            <w:pPr>
              <w:numPr>
                <w:ilvl w:val="255"/>
                <w:numId w:val="0"/>
              </w:numPr>
              <w:spacing w:line="360" w:lineRule="auto"/>
              <w:rPr>
                <w:rFonts w:ascii="宋体" w:hAnsi="宋体" w:eastAsia="宋体" w:cs="宋体"/>
                <w:sz w:val="18"/>
                <w:szCs w:val="18"/>
              </w:rPr>
            </w:pPr>
            <w:r>
              <w:rPr>
                <w:rFonts w:hint="eastAsia" w:ascii="宋体" w:hAnsi="宋体" w:eastAsia="宋体" w:cs="宋体"/>
                <w:sz w:val="18"/>
                <w:szCs w:val="18"/>
              </w:rPr>
              <w:t>1、具备企业主要负责人安全生产岗位合格证书的，得2分；</w:t>
            </w:r>
          </w:p>
          <w:p>
            <w:pPr>
              <w:numPr>
                <w:ilvl w:val="255"/>
                <w:numId w:val="0"/>
              </w:numPr>
              <w:spacing w:line="360" w:lineRule="auto"/>
              <w:jc w:val="left"/>
              <w:rPr>
                <w:rFonts w:ascii="宋体" w:hAnsi="宋体" w:eastAsia="宋体" w:cs="宋体"/>
                <w:sz w:val="18"/>
                <w:szCs w:val="18"/>
              </w:rPr>
            </w:pPr>
            <w:r>
              <w:rPr>
                <w:rFonts w:hint="eastAsia" w:ascii="宋体" w:hAnsi="宋体" w:eastAsia="宋体" w:cs="宋体"/>
                <w:sz w:val="18"/>
                <w:szCs w:val="18"/>
              </w:rPr>
              <w:t>2、具备电工证书的得1分；</w:t>
            </w:r>
          </w:p>
          <w:p>
            <w:pPr>
              <w:pStyle w:val="2"/>
              <w:numPr>
                <w:ilvl w:val="255"/>
                <w:numId w:val="0"/>
              </w:numPr>
              <w:spacing w:line="360" w:lineRule="auto"/>
              <w:rPr>
                <w:sz w:val="18"/>
                <w:szCs w:val="18"/>
              </w:rPr>
            </w:pPr>
            <w:r>
              <w:rPr>
                <w:rFonts w:hint="eastAsia"/>
                <w:sz w:val="18"/>
                <w:szCs w:val="18"/>
                <w:lang w:val="en-US"/>
              </w:rPr>
              <w:t>3、</w:t>
            </w:r>
            <w:r>
              <w:rPr>
                <w:rFonts w:hint="eastAsia"/>
                <w:sz w:val="18"/>
                <w:szCs w:val="18"/>
              </w:rPr>
              <w:t>具</w:t>
            </w:r>
            <w:r>
              <w:rPr>
                <w:rFonts w:hint="eastAsia"/>
                <w:sz w:val="18"/>
                <w:szCs w:val="18"/>
                <w:lang w:val="en-US"/>
              </w:rPr>
              <w:t>备广东省安防从业人员证</w:t>
            </w:r>
            <w:r>
              <w:rPr>
                <w:rFonts w:hint="eastAsia"/>
                <w:sz w:val="18"/>
                <w:szCs w:val="18"/>
              </w:rPr>
              <w:t>书的得</w:t>
            </w:r>
            <w:r>
              <w:rPr>
                <w:rFonts w:hint="eastAsia"/>
                <w:sz w:val="18"/>
                <w:szCs w:val="18"/>
                <w:lang w:val="en-US"/>
              </w:rPr>
              <w:t>1</w:t>
            </w:r>
            <w:r>
              <w:rPr>
                <w:rFonts w:hint="eastAsia"/>
                <w:sz w:val="18"/>
                <w:szCs w:val="18"/>
              </w:rPr>
              <w:t>分；</w:t>
            </w:r>
          </w:p>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（二）评分依据：</w:t>
            </w:r>
          </w:p>
          <w:p>
            <w:pPr>
              <w:widowControl/>
              <w:spacing w:line="360" w:lineRule="auto"/>
              <w:ind w:firstLine="0" w:firstLineChars="0"/>
              <w:jc w:val="left"/>
              <w:rPr>
                <w:rFonts w:ascii="宋体" w:hAnsi="宋体" w:eastAsia="宋体" w:cs="宋体"/>
                <w:kern w:val="0"/>
                <w:sz w:val="18"/>
                <w:szCs w:val="18"/>
              </w:rPr>
            </w:pPr>
            <w:r>
              <w:rPr>
                <w:rFonts w:hint="eastAsia" w:ascii="宋体" w:hAnsi="宋体" w:eastAsia="宋体" w:cs="宋体"/>
                <w:sz w:val="18"/>
                <w:szCs w:val="18"/>
              </w:rPr>
              <w:t>1.</w:t>
            </w:r>
            <w:r>
              <w:rPr>
                <w:rFonts w:hint="eastAsia" w:ascii="宋体" w:hAnsi="宋体" w:eastAsia="宋体" w:cs="宋体"/>
                <w:kern w:val="0"/>
                <w:sz w:val="18"/>
                <w:szCs w:val="18"/>
              </w:rPr>
              <w:t>提供通过投标人缴纳的近一个月的社保证明作为本单位员工的证明依据。</w:t>
            </w:r>
          </w:p>
          <w:p>
            <w:pPr>
              <w:widowControl/>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 要求提供投标人相关证明资料作为得分依据。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3. 以上资料均要求提供扫描件盖章，原件备查。评分中出现未按要求提供证明资料或专家无法凭所提供资料判断是否得分的情况，一律作不得分处理。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拟安排的项目主要团队成员（主要技术人员）情况（项目负责人除外）</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5529" w:type="dxa"/>
            <w:tcBorders>
              <w:top w:val="single" w:color="auto" w:sz="4" w:space="0"/>
              <w:left w:val="single" w:color="auto" w:sz="4" w:space="0"/>
              <w:bottom w:val="single" w:color="auto" w:sz="4" w:space="0"/>
              <w:right w:val="single" w:color="auto" w:sz="4" w:space="0"/>
            </w:tcBorders>
          </w:tcPr>
          <w:p>
            <w:pPr>
              <w:numPr>
                <w:ilvl w:val="255"/>
                <w:numId w:val="0"/>
              </w:numPr>
              <w:spacing w:line="360" w:lineRule="auto"/>
              <w:jc w:val="left"/>
              <w:rPr>
                <w:rFonts w:ascii="宋体" w:hAnsi="宋体" w:eastAsia="宋体" w:cs="宋体"/>
                <w:b/>
                <w:bCs/>
                <w:sz w:val="18"/>
                <w:szCs w:val="18"/>
              </w:rPr>
            </w:pPr>
            <w:r>
              <w:rPr>
                <w:rFonts w:hint="eastAsia" w:ascii="宋体" w:hAnsi="宋体" w:eastAsia="宋体" w:cs="宋体"/>
                <w:b/>
                <w:bCs/>
                <w:sz w:val="18"/>
                <w:szCs w:val="18"/>
              </w:rPr>
              <w:t>（一）评分内容：</w:t>
            </w:r>
          </w:p>
          <w:p>
            <w:pPr>
              <w:ind w:firstLine="0" w:firstLineChars="0"/>
              <w:jc w:val="left"/>
              <w:rPr>
                <w:rFonts w:ascii="宋体" w:hAnsi="宋体" w:eastAsia="宋体" w:cs="宋体"/>
                <w:sz w:val="18"/>
                <w:szCs w:val="18"/>
              </w:rPr>
            </w:pPr>
            <w:r>
              <w:rPr>
                <w:rFonts w:hint="eastAsia" w:ascii="宋体" w:hAnsi="宋体" w:eastAsia="宋体" w:cs="宋体"/>
                <w:sz w:val="18"/>
                <w:szCs w:val="18"/>
              </w:rPr>
              <w:t>投标人须承诺拟安排服务团队成员须为投标单位员工且不少于14人，如中标，将安排至本项目提供服务，否则此项不予计分（承诺函格式自拟）。在此基础上，以下累计计分，项目主要服务团队成员（项目负责人除外），具备以下条件：</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1、配备技术人员具有中级及以上的网络工程师证书的，每提供1名得1分，最高等1分；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2、配备技术人员具备电工证书的，每提供1名得1分，最高得3分；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3、配备技术人员具有电焊证书的，每提供1名得0.6分，最高等3分；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4、配备技术人员具有广东省安防从业人员证书的，每提供1名得0.6分，最高等3分；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以上人员同一人具备多证只能算一人得分。</w:t>
            </w:r>
          </w:p>
          <w:p>
            <w:pPr>
              <w:widowControl/>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（二）评分依据：</w:t>
            </w:r>
          </w:p>
          <w:p>
            <w:pPr>
              <w:widowControl/>
              <w:spacing w:line="360" w:lineRule="auto"/>
              <w:ind w:firstLine="0" w:firstLineChars="0"/>
              <w:jc w:val="left"/>
              <w:rPr>
                <w:rFonts w:ascii="宋体" w:hAnsi="宋体" w:eastAsia="宋体" w:cs="宋体"/>
                <w:kern w:val="0"/>
                <w:sz w:val="18"/>
                <w:szCs w:val="18"/>
              </w:rPr>
            </w:pPr>
            <w:r>
              <w:rPr>
                <w:rFonts w:hint="eastAsia" w:ascii="宋体" w:hAnsi="宋体" w:eastAsia="宋体" w:cs="宋体"/>
                <w:sz w:val="18"/>
                <w:szCs w:val="18"/>
              </w:rPr>
              <w:t>1.</w:t>
            </w:r>
            <w:r>
              <w:rPr>
                <w:rFonts w:hint="eastAsia" w:ascii="宋体" w:hAnsi="宋体" w:eastAsia="宋体" w:cs="宋体"/>
                <w:kern w:val="0"/>
                <w:sz w:val="18"/>
                <w:szCs w:val="18"/>
              </w:rPr>
              <w:t>提供通过投标人缴纳的近一个月的社保证明作为本单位员工的证明依据。</w:t>
            </w:r>
          </w:p>
          <w:p>
            <w:pPr>
              <w:widowControl/>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 要求提供投标人相关证明资料作为得分依据。</w:t>
            </w:r>
          </w:p>
          <w:p>
            <w:pPr>
              <w:widowControl/>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3. 以上资料均要求提供扫描件盖章，原件备查。评分中出现未按要求提供证明资料或专家无法凭所提供资料判断是否得分的情况，一律作不得分处理。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投标人自主知识产权产品（创新、设计）情况</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（一）评分内容：</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1、投标人具有智能电气火灾预警装置实用新型专利证书，得2.5分；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2、投标人具有可拆卸式安防监控设备实用新型专利证书，得2.5分；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3、投标人具有智能联网报警系统计算机软件著作权证书，得2.5分；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4、投标人具有联网报警中心管理软件，计算机软件著作权证书，得2.5分；</w:t>
            </w:r>
          </w:p>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（二）评分依据: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1.要求提供有效的产权（专利）证书等证明材料作为得分依据。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2.以上资料均要求提供扫描件（或官方网站截图）盖章，原件备查。评分中出现未按要求提供证明资料或专家无法凭所提供资料判断是否得分的情况，一律作不得分处理。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tcBorders>
              <w:left w:val="single" w:color="auto" w:sz="4" w:space="0"/>
              <w:right w:val="single" w:color="auto" w:sz="4" w:space="0"/>
            </w:tcBorders>
            <w:vAlign w:val="center"/>
          </w:tcPr>
          <w:p>
            <w:pPr>
              <w:widowControl/>
              <w:ind w:firstLine="360"/>
              <w:jc w:val="left"/>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项目拟使用的车辆情况</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b/>
                <w:bCs/>
                <w:sz w:val="18"/>
                <w:szCs w:val="18"/>
              </w:rPr>
            </w:pPr>
            <w:r>
              <w:rPr>
                <w:rFonts w:hint="eastAsia" w:ascii="宋体" w:hAnsi="宋体" w:eastAsia="宋体" w:cs="宋体"/>
                <w:b/>
                <w:bCs/>
                <w:sz w:val="18"/>
                <w:szCs w:val="18"/>
              </w:rPr>
              <w:t>（一）评分内容：</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根据服务需要投标人提供应急故障抢修使用车辆情况进行打分：</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投标人拟提供本项目使用的车辆，自有或租赁粤B牌照车辆，提供2辆及以上的得2分，少于2辆或未提供的，均不得分。</w:t>
            </w:r>
            <w:r>
              <w:rPr>
                <w:rFonts w:hint="eastAsia" w:ascii="宋体" w:hAnsi="宋体" w:eastAsia="宋体" w:cs="宋体"/>
                <w:b/>
                <w:bCs/>
                <w:sz w:val="18"/>
                <w:szCs w:val="18"/>
              </w:rPr>
              <w:t>（二）评分依据:</w:t>
            </w:r>
          </w:p>
          <w:p>
            <w:pPr>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提供投标人名下注册的车辆行驶证或租赁合同等证明材料扫描件盖章，原件备查。如未按要求提供证明材料，或所提供的证明材料未能体现上述评分内容的，视为证明材料无效，一律作不得分处理。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4</w:t>
            </w:r>
          </w:p>
        </w:tc>
        <w:tc>
          <w:tcPr>
            <w:tcW w:w="2819" w:type="dxa"/>
            <w:gridSpan w:val="3"/>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诚信情况</w:t>
            </w:r>
          </w:p>
        </w:tc>
        <w:tc>
          <w:tcPr>
            <w:tcW w:w="5529"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91" w:type="dxa"/>
            <w:vMerge w:val="restart"/>
            <w:tcBorders>
              <w:top w:val="single" w:color="auto" w:sz="4" w:space="0"/>
              <w:left w:val="single" w:color="auto" w:sz="4" w:space="0"/>
              <w:right w:val="single" w:color="auto" w:sz="4" w:space="0"/>
            </w:tcBorders>
          </w:tcPr>
          <w:p>
            <w:pPr>
              <w:ind w:firstLine="360"/>
              <w:jc w:val="center"/>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评分因素</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1" w:type="dxa"/>
            <w:vMerge w:val="continue"/>
            <w:tcBorders>
              <w:left w:val="single" w:color="auto" w:sz="4" w:space="0"/>
              <w:right w:val="single" w:color="auto" w:sz="4" w:space="0"/>
            </w:tcBorders>
          </w:tcPr>
          <w:p>
            <w:pPr>
              <w:ind w:firstLine="360"/>
              <w:jc w:val="center"/>
              <w:rPr>
                <w:rFonts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3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color w:val="000000"/>
                <w:kern w:val="0"/>
                <w:sz w:val="18"/>
                <w:szCs w:val="18"/>
              </w:rPr>
              <w:t>诚信情况</w:t>
            </w:r>
          </w:p>
        </w:tc>
        <w:tc>
          <w:tcPr>
            <w:tcW w:w="7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552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宋体" w:hAnsi="宋体" w:eastAsia="宋体" w:cs="宋体"/>
                <w:sz w:val="18"/>
                <w:szCs w:val="18"/>
              </w:rPr>
            </w:pPr>
            <w:r>
              <w:rPr>
                <w:rFonts w:hint="eastAsia" w:ascii="宋体" w:hAnsi="宋体" w:eastAsia="宋体" w:cs="宋体"/>
                <w:b/>
                <w:bCs/>
                <w:color w:val="000000"/>
                <w:kern w:val="0"/>
                <w:sz w:val="18"/>
                <w:szCs w:val="18"/>
              </w:rPr>
              <w:t>（一）评分内容：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投标人在参与政府采购活动中存在诚信相关问题且在主管部门相关处理措施实施期限内的，本项不得分，否则得满分5分。</w:t>
            </w:r>
            <w:r>
              <w:rPr>
                <w:rFonts w:hint="eastAsia" w:ascii="宋体" w:hAnsi="宋体" w:eastAsia="宋体" w:cs="宋体"/>
                <w:color w:val="000000"/>
                <w:kern w:val="0"/>
                <w:sz w:val="18"/>
                <w:szCs w:val="18"/>
              </w:rPr>
              <w:br w:type="textWrapping"/>
            </w:r>
            <w:r>
              <w:rPr>
                <w:rFonts w:hint="eastAsia" w:ascii="宋体" w:hAnsi="宋体" w:eastAsia="宋体" w:cs="宋体"/>
                <w:b/>
                <w:bCs/>
                <w:color w:val="000000"/>
                <w:kern w:val="0"/>
                <w:sz w:val="18"/>
                <w:szCs w:val="18"/>
              </w:rPr>
              <w:t>（二）评分依据：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投标人无需提供任何证明材料，由评审委员会通过采购系统自行查询相关信息。</w:t>
            </w:r>
          </w:p>
        </w:tc>
      </w:tr>
    </w:tbl>
    <w:p>
      <w:pPr>
        <w:spacing w:line="320" w:lineRule="exact"/>
        <w:ind w:firstLine="0" w:firstLineChars="0"/>
        <w:rPr>
          <w:rFonts w:hAnsi="仿宋_GB2312" w:cs="仿宋_GB2312"/>
          <w:color w:val="000000"/>
          <w:sz w:val="28"/>
          <w:szCs w:val="28"/>
        </w:rPr>
      </w:pPr>
    </w:p>
    <w:p>
      <w:pPr>
        <w:spacing w:line="320" w:lineRule="exact"/>
        <w:ind w:firstLine="0" w:firstLineChars="0"/>
        <w:rPr>
          <w:rFonts w:hAnsi="仿宋_GB2312" w:cs="仿宋_GB2312"/>
          <w:color w:val="000000"/>
          <w:sz w:val="28"/>
          <w:szCs w:val="28"/>
        </w:rPr>
      </w:pPr>
      <w:r>
        <w:rPr>
          <w:rFonts w:hint="eastAsia" w:hAnsi="仿宋_GB2312" w:cs="仿宋_GB2312"/>
          <w:color w:val="000000"/>
          <w:sz w:val="28"/>
          <w:szCs w:val="28"/>
        </w:rPr>
        <w:t>注：1. 每一项的得分均不能超过该项最高分值。</w:t>
      </w:r>
    </w:p>
    <w:p>
      <w:pPr>
        <w:spacing w:line="320" w:lineRule="exact"/>
        <w:ind w:firstLine="560"/>
        <w:rPr>
          <w:rFonts w:hAnsi="仿宋_GB2312" w:cs="仿宋_GB2312"/>
          <w:color w:val="000000"/>
          <w:sz w:val="28"/>
          <w:szCs w:val="28"/>
        </w:rPr>
      </w:pPr>
      <w:r>
        <w:rPr>
          <w:rFonts w:hint="eastAsia" w:hAnsi="仿宋_GB2312" w:cs="仿宋_GB2312"/>
          <w:color w:val="000000"/>
          <w:sz w:val="28"/>
          <w:szCs w:val="28"/>
        </w:rPr>
        <w:t>2. 缺项则该项为0分或不合格为0分。</w:t>
      </w:r>
    </w:p>
    <w:p>
      <w:pPr>
        <w:spacing w:line="320" w:lineRule="exact"/>
        <w:ind w:firstLine="560"/>
        <w:rPr>
          <w:rFonts w:hAnsi="仿宋_GB2312" w:cs="仿宋_GB2312"/>
          <w:color w:val="000000"/>
          <w:sz w:val="28"/>
          <w:szCs w:val="28"/>
        </w:rPr>
      </w:pPr>
      <w:r>
        <w:rPr>
          <w:rFonts w:hint="eastAsia" w:hAnsi="仿宋_GB2312" w:cs="仿宋_GB2312"/>
          <w:color w:val="000000"/>
          <w:sz w:val="28"/>
          <w:szCs w:val="28"/>
        </w:rPr>
        <w:t>3. 价格、商务、技术部分为针对项目具体情况设置项目，累加满分为100分。</w:t>
      </w:r>
    </w:p>
    <w:p>
      <w:pPr>
        <w:spacing w:line="320" w:lineRule="exact"/>
        <w:ind w:firstLine="560"/>
      </w:pPr>
      <w:r>
        <w:rPr>
          <w:rFonts w:hint="eastAsia" w:hAnsi="仿宋_GB2312" w:cs="仿宋_GB2312"/>
          <w:color w:val="000000"/>
          <w:sz w:val="28"/>
          <w:szCs w:val="28"/>
        </w:rPr>
        <w:t>4. 综合以上分析比较，评委会将对各响应文件进行书面的量化评定，得分精确到小数点后两位。</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737" w:gutter="0"/>
      <w:pgNumType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ind w:firstLine="360"/>
                            <w:jc w:val="right"/>
                          </w:pPr>
                        </w:p>
                        <w:p>
                          <w:pPr>
                            <w:pStyle w:val="3"/>
                            <w:ind w:firstLine="640"/>
                          </w:pP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bwdDEAQAAjwMAAA4AAABkcnMvZTJvRG9jLnhtbK1TzY7TMBC+I/EO&#10;lu80aQ+rEj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vU3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ybwdDEAQAAjwMAAA4AAAAAAAAAAQAgAAAAHwEAAGRycy9lMm9Eb2MueG1s&#10;UEsFBgAAAAAGAAYAWQEAAFUFAAAAAA==&#10;">
              <v:fill on="f" focussize="0,0"/>
              <v:stroke on="f"/>
              <v:imagedata o:title=""/>
              <o:lock v:ext="edit" aspectratio="f"/>
              <v:textbox inset="0mm,0mm,0mm,0mm" style="mso-fit-shape-to-text:t;">
                <w:txbxContent>
                  <w:p>
                    <w:pPr>
                      <w:pStyle w:val="5"/>
                      <w:ind w:firstLine="360"/>
                      <w:jc w:val="right"/>
                    </w:pPr>
                  </w:p>
                  <w:p>
                    <w:pPr>
                      <w:pStyle w:val="3"/>
                      <w:ind w:firstLine="64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6 -</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66309"/>
    <w:multiLevelType w:val="singleLevel"/>
    <w:tmpl w:val="ABC66309"/>
    <w:lvl w:ilvl="0" w:tentative="0">
      <w:start w:val="3"/>
      <w:numFmt w:val="chineseCounting"/>
      <w:suff w:val="nothing"/>
      <w:lvlText w:val="%1、"/>
      <w:lvlJc w:val="left"/>
      <w:rPr>
        <w:rFonts w:hint="eastAsia"/>
      </w:rPr>
    </w:lvl>
  </w:abstractNum>
  <w:abstractNum w:abstractNumId="1">
    <w:nsid w:val="D2069012"/>
    <w:multiLevelType w:val="singleLevel"/>
    <w:tmpl w:val="D2069012"/>
    <w:lvl w:ilvl="0" w:tentative="0">
      <w:start w:val="10"/>
      <w:numFmt w:val="decimal"/>
      <w:lvlText w:val="%1."/>
      <w:lvlJc w:val="left"/>
      <w:pPr>
        <w:tabs>
          <w:tab w:val="left" w:pos="312"/>
        </w:tabs>
      </w:pPr>
    </w:lvl>
  </w:abstractNum>
  <w:abstractNum w:abstractNumId="2">
    <w:nsid w:val="FEBEC42C"/>
    <w:multiLevelType w:val="singleLevel"/>
    <w:tmpl w:val="FEBEC42C"/>
    <w:lvl w:ilvl="0" w:tentative="0">
      <w:start w:val="1"/>
      <w:numFmt w:val="chineseCounting"/>
      <w:suff w:val="nothing"/>
      <w:lvlText w:val="（%1）"/>
      <w:lvlJc w:val="left"/>
      <w:rPr>
        <w:rFonts w:hint="eastAsia"/>
      </w:rPr>
    </w:lvl>
  </w:abstractNum>
  <w:abstractNum w:abstractNumId="3">
    <w:nsid w:val="5A1110FA"/>
    <w:multiLevelType w:val="singleLevel"/>
    <w:tmpl w:val="5A1110FA"/>
    <w:lvl w:ilvl="0" w:tentative="0">
      <w:start w:val="2"/>
      <w:numFmt w:val="chineseCounting"/>
      <w:suff w:val="nothing"/>
      <w:lvlText w:val="%1、"/>
      <w:lvlJc w:val="left"/>
      <w:rPr>
        <w:rFonts w:hint="eastAsia"/>
      </w:rPr>
    </w:lvl>
  </w:abstractNum>
  <w:abstractNum w:abstractNumId="4">
    <w:nsid w:val="5A965069"/>
    <w:multiLevelType w:val="singleLevel"/>
    <w:tmpl w:val="5A965069"/>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64FCB"/>
    <w:rsid w:val="000C02CF"/>
    <w:rsid w:val="00443EB7"/>
    <w:rsid w:val="00714B59"/>
    <w:rsid w:val="007D4E4D"/>
    <w:rsid w:val="008B274B"/>
    <w:rsid w:val="1AFB20BA"/>
    <w:rsid w:val="1C052A15"/>
    <w:rsid w:val="27CE1485"/>
    <w:rsid w:val="3A562E3F"/>
    <w:rsid w:val="3A564FCB"/>
    <w:rsid w:val="54C81AB0"/>
    <w:rsid w:val="56877AB8"/>
    <w:rsid w:val="597A2801"/>
    <w:rsid w:val="62DA141A"/>
    <w:rsid w:val="66502831"/>
    <w:rsid w:val="6E7308E7"/>
    <w:rsid w:val="6FB0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Calibri"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lang w:val="zh-CN" w:bidi="zh-CN"/>
    </w:rPr>
  </w:style>
  <w:style w:type="paragraph" w:styleId="3">
    <w:name w:val="Normal Indent"/>
    <w:basedOn w:val="1"/>
    <w:unhideWhenUsed/>
    <w:qFormat/>
    <w:uiPriority w:val="99"/>
    <w:pPr>
      <w:ind w:firstLine="420"/>
    </w:pPr>
    <w:rPr>
      <w:rFonts w:ascii="Times New Roman" w:hAnsi="Times New Roman"/>
    </w:rPr>
  </w:style>
  <w:style w:type="paragraph" w:styleId="4">
    <w:name w:val="Body Text Indent"/>
    <w:basedOn w:val="1"/>
    <w:link w:val="10"/>
    <w:qFormat/>
    <w:uiPriority w:val="0"/>
    <w:pPr>
      <w:spacing w:line="360" w:lineRule="auto"/>
      <w:ind w:firstLine="420"/>
    </w:p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字符"/>
    <w:link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7285</Words>
  <Characters>767</Characters>
  <Lines>6</Lines>
  <Paragraphs>16</Paragraphs>
  <TotalTime>30</TotalTime>
  <ScaleCrop>false</ScaleCrop>
  <LinksUpToDate>false</LinksUpToDate>
  <CharactersWithSpaces>8036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2024-04-01T02:42:00Z</dcterms:created>
  <dc:creator>yua</dc:creator>
  <cp:lastModifiedBy>yua</cp:lastModifiedBy>
  <dcterms:modified xsi:type="dcterms:W3CDTF">2024-04-07T03:00:08Z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A8659DA4619042D68BB8B634112B5568</vt:lpwstr>
  </property>
</Properties>
</file>