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408"/>
        <w:gridCol w:w="2160"/>
        <w:gridCol w:w="1950"/>
        <w:gridCol w:w="1834"/>
        <w:gridCol w:w="2048"/>
      </w:tblGrid>
      <w:tr>
        <w:tblPrEx>
          <w:tblCellMar>
            <w:top w:w="0" w:type="dxa"/>
            <w:left w:w="108" w:type="dxa"/>
            <w:bottom w:w="0" w:type="dxa"/>
            <w:right w:w="108" w:type="dxa"/>
          </w:tblCellMar>
        </w:tblPrEx>
        <w:trPr>
          <w:trHeight w:val="762" w:hRule="exact"/>
        </w:trPr>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福保街道河套福保园区党群服务中心社会工作服务项目</w:t>
            </w:r>
            <w:r>
              <w:rPr>
                <w:rFonts w:hint="eastAsia" w:ascii="仿宋_GB2312" w:hAnsi="仿宋_GB2312" w:eastAsia="仿宋_GB2312" w:cs="仿宋_GB2312"/>
                <w:kern w:val="0"/>
                <w:sz w:val="24"/>
              </w:rPr>
              <w:t>　</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478000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河套福保园区</w:t>
            </w:r>
            <w:r>
              <w:rPr>
                <w:rFonts w:hint="eastAsia" w:ascii="仿宋_GB2312" w:hAnsi="仿宋_GB2312" w:eastAsia="仿宋_GB2312" w:cs="仿宋_GB2312"/>
                <w:kern w:val="0"/>
                <w:sz w:val="24"/>
              </w:rPr>
              <w:t>　</w:t>
            </w:r>
          </w:p>
        </w:tc>
        <w:tc>
          <w:tcPr>
            <w:tcW w:w="9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陈耀鹏</w:t>
            </w:r>
          </w:p>
        </w:tc>
      </w:tr>
      <w:tr>
        <w:tblPrEx>
          <w:tblCellMar>
            <w:top w:w="0" w:type="dxa"/>
            <w:left w:w="108" w:type="dxa"/>
            <w:bottom w:w="0" w:type="dxa"/>
            <w:right w:w="108" w:type="dxa"/>
          </w:tblCellMar>
        </w:tblPrEx>
        <w:trPr>
          <w:trHeight w:val="24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3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根据《深圳市关于提升社会工作服务水平若干措施》（深府办规〔2020〕11 号）、《深圳市社区党群服务中心社会工作服务项目工作指引》，结合《河套深港科技创新合作区深圳园区发展规划》，高质量、高标准、高水平推进河套合作区深圳园区建设要求，为进一步发挥河套福保园区党群服务中心服务职工作用，深化深港人才交流与合作、塑造国际化高品质社群文化</w:t>
            </w:r>
            <w:r>
              <w:rPr>
                <w:rFonts w:hint="eastAsia" w:ascii="仿宋_GB2312" w:hAnsi="仿宋_GB2312" w:eastAsia="仿宋_GB2312" w:cs="仿宋_GB2312"/>
                <w:kern w:val="0"/>
                <w:sz w:val="24"/>
                <w:lang w:eastAsia="zh-CN"/>
              </w:rPr>
              <w:t>。</w:t>
            </w:r>
          </w:p>
        </w:tc>
      </w:tr>
      <w:tr>
        <w:tblPrEx>
          <w:tblCellMar>
            <w:top w:w="0" w:type="dxa"/>
            <w:left w:w="108" w:type="dxa"/>
            <w:bottom w:w="0" w:type="dxa"/>
            <w:right w:w="108" w:type="dxa"/>
          </w:tblCellMar>
        </w:tblPrEx>
        <w:trPr>
          <w:trHeight w:val="712" w:hRule="atLeast"/>
        </w:trPr>
        <w:tc>
          <w:tcPr>
            <w:tcW w:w="7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服务内容：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充分发挥社会工作在开展社区服务、充分利用“五社联动”，满足社区建设需求等方面的专业引领，促进政府职能转移，增强社区治理能力，预防和化解社会矛盾，提供专业多元服务，补齐公共服务短板，推进社会协同，打造共建共治共享社会治理新格局。</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2.服务目标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1）解决问题：通过购买社会工作服务，运用社会工作专业方法和技巧，为园区企业及从业人员解决公共服务、企业服务、资源链接、社会活动等现实需求与管理问题。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2）产生的良好效果：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为园区企业及从业人员提供切实到位的综合性服务。注重社区发展服务、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党建工作推进、社区公益组织发展建设、社区特色品牌打造等工作重点。从而进一步提升个人功能，扩充和完善社群支持网络，促进人际互助与支持，打造链接国际化需求、融合互动的园区服务体验，最终实现“构建国际一流智慧园区典范”的总体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3.服务方式：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驻点提供现场服务。提供个案、小组、社区活动等方面的服务。</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4.服务团队成员：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所配备的社会工作服务人员应具备以下基本条件：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1）采用“2+2”模式进行人员配置，其中2名工作人员须有社会工作经验及大专或以上学历证书且持有国家认定的社会工作者职业水平证书，其余2名工作人员为辅助人员。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2）尊重服务对象的自决权、隐私权、知情权，保护其利益，接纳服务对象，服务机构应切实加强管理，在项目督导、顾问等资源配置方面予以持续支持和充分保障。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3）应有发展壮大社区志愿者（义工）队伍的能力，形成“社工引领义工，义工协助社工”的社区服务模式，建成本社区的志愿者（义工）队伍管理体系。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_GB2312" w:hAnsi="仿宋_GB2312" w:eastAsia="仿宋_GB2312" w:cs="仿宋_GB2312"/>
                <w:kern w:val="0"/>
                <w:sz w:val="24"/>
                <w:lang w:val="en-US" w:eastAsia="zh-CN"/>
              </w:rPr>
              <w:t>4）热爱社会工作，具有社会责任感和敬业精神，遵守职业操守及相关的管理制度，保守社工使用单位工作机密。</w:t>
            </w:r>
          </w:p>
        </w:tc>
      </w:tr>
      <w:tr>
        <w:tblPrEx>
          <w:tblCellMar>
            <w:top w:w="0" w:type="dxa"/>
            <w:left w:w="108" w:type="dxa"/>
            <w:bottom w:w="0" w:type="dxa"/>
            <w:right w:w="108" w:type="dxa"/>
          </w:tblCellMar>
        </w:tblPrEx>
        <w:trPr>
          <w:trHeight w:val="1060" w:hRule="atLeast"/>
        </w:trPr>
        <w:tc>
          <w:tcPr>
            <w:tcW w:w="7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kern w:val="0"/>
                <w:sz w:val="24"/>
                <w:lang w:val="en-US"/>
              </w:rPr>
            </w:pPr>
            <w:r>
              <w:rPr>
                <w:rFonts w:hint="eastAsia" w:ascii="仿宋_GB2312" w:hAnsi="仿宋_GB2312" w:eastAsia="仿宋_GB2312" w:cs="仿宋_GB2312"/>
                <w:kern w:val="0"/>
                <w:sz w:val="24"/>
                <w:lang w:val="en-US" w:eastAsia="zh-CN"/>
              </w:rPr>
              <w:t>自合同签订之日起12个月，合同期满后，采购人将视考核情况和双方合作情况，决定是否续约，合同总期限最长不超过3年。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报价要求：</w:t>
            </w:r>
            <w:r>
              <w:rPr>
                <w:rFonts w:hint="eastAsia" w:ascii="仿宋_GB2312" w:hAnsi="仿宋_GB2312" w:eastAsia="仿宋_GB2312" w:cs="仿宋_GB2312"/>
                <w:kern w:val="0"/>
                <w:sz w:val="24"/>
                <w:lang w:eastAsia="zh-CN"/>
              </w:rPr>
              <w:t>在预算价格内</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4.违约责任</w:t>
            </w:r>
            <w:r>
              <w:rPr>
                <w:rFonts w:hint="eastAsia" w:ascii="仿宋_GB2312" w:hAnsi="仿宋_GB2312" w:eastAsia="仿宋_GB2312" w:cs="仿宋_GB2312"/>
                <w:kern w:val="0"/>
                <w:sz w:val="24"/>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）委托管理期间，所有委托管理项目如因未执行国家相关政策法规、或因管理不善、服务不规范等原因引发事故、纠纷，或受到主管部门的处罚，由中标单位承担责任。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）在合同执行期间，中标单位须接受市、区行业主管部门的监管。合同终止时，中标单位应将各项目条款的工作记录、设施管理使用及检测记录等移交给采购人。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）如因中标单位原因，造成不能完成规定管理目标或直接造成采购人经济损失的，中标单位应给予采购人相应补偿。采购人有权要求中标单位限期整改，并有权终止合同。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）因中标单位管理不善或操作不当等原因对房屋建筑或设施设备等造成重大损害或发生重大事故的，由中标单位承担责任并负责善后处理（产生事故的直接原因，以政府有关部门的鉴定结论为准）。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人员必须按标书方案配置人员到位并符合招标文件要求；设备按标书配置的设备清单入场使用并符合招标文件要求。采购人检查发现人员、设备到位不一致的，按违规处理。采购人可责令中标方限期整改，如中标方一个月内仍未达到要求，则采购人有权解除合同。</w:t>
            </w:r>
          </w:p>
        </w:tc>
      </w:tr>
      <w:tr>
        <w:tblPrEx>
          <w:tblCellMar>
            <w:top w:w="0" w:type="dxa"/>
            <w:left w:w="108" w:type="dxa"/>
            <w:bottom w:w="0" w:type="dxa"/>
            <w:right w:w="108" w:type="dxa"/>
          </w:tblCellMar>
        </w:tblPrEx>
        <w:trPr>
          <w:trHeight w:val="1430" w:hRule="atLeast"/>
        </w:trPr>
        <w:tc>
          <w:tcPr>
            <w:tcW w:w="7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7060EE6"/>
    <w:rsid w:val="3F1434CE"/>
    <w:rsid w:val="416451E2"/>
    <w:rsid w:val="447E6A90"/>
    <w:rsid w:val="4E144BA8"/>
    <w:rsid w:val="587C663C"/>
    <w:rsid w:val="5A771A36"/>
    <w:rsid w:val="5C8F69B7"/>
    <w:rsid w:val="5EBA216A"/>
    <w:rsid w:val="60C624B7"/>
    <w:rsid w:val="66AD6A92"/>
    <w:rsid w:val="66C374B6"/>
    <w:rsid w:val="6A1555D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 w:type="character" w:customStyle="1" w:styleId="10">
    <w:name w:val="font11"/>
    <w:basedOn w:val="8"/>
    <w:autoRedefine/>
    <w:qFormat/>
    <w:uiPriority w:val="0"/>
    <w:rPr>
      <w:rFonts w:hint="eastAsia" w:ascii="仿宋_GB2312" w:eastAsia="仿宋_GB2312" w:cs="仿宋_GB2312"/>
      <w:color w:val="000000"/>
      <w:sz w:val="28"/>
      <w:szCs w:val="28"/>
      <w:u w:val="none"/>
    </w:rPr>
  </w:style>
  <w:style w:type="paragraph" w:customStyle="1" w:styleId="11">
    <w:name w:val="列出段落3"/>
    <w:basedOn w:val="1"/>
    <w:unhideWhenUsed/>
    <w:qFormat/>
    <w:uiPriority w:val="99"/>
    <w:pPr>
      <w:ind w:firstLine="420" w:firstLineChars="200"/>
    </w:pPr>
  </w:style>
  <w:style w:type="paragraph" w:customStyle="1" w:styleId="12">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qFormat/>
    <w:uiPriority w:val="0"/>
    <w:rPr>
      <w:rFonts w:ascii="宋体" w:hAnsi="宋体" w:eastAsia="宋体" w:cs="宋体"/>
      <w:sz w:val="20"/>
      <w:szCs w:val="20"/>
      <w:lang w:val="zh-TW" w:eastAsia="zh-TW" w:bidi="zh-TW"/>
    </w:rPr>
  </w:style>
  <w:style w:type="paragraph" w:customStyle="1" w:styleId="14">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dcterms:modified xsi:type="dcterms:W3CDTF">2024-04-11T01:54:32Z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F1923E512F604191B1A958793AF88E9D_13</vt:lpwstr>
  </property>
</Properties>
</file>