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408"/>
        <w:gridCol w:w="2160"/>
        <w:gridCol w:w="1950"/>
        <w:gridCol w:w="1834"/>
        <w:gridCol w:w="2048"/>
      </w:tblGrid>
      <w:tr>
        <w:tblPrEx>
          <w:tblCellMar>
            <w:top w:w="0" w:type="dxa"/>
            <w:left w:w="108" w:type="dxa"/>
            <w:bottom w:w="0" w:type="dxa"/>
            <w:right w:w="108" w:type="dxa"/>
          </w:tblCellMar>
        </w:tblPrEx>
        <w:trPr>
          <w:trHeight w:val="762" w:hRule="exact"/>
        </w:trPr>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福保街道2024“福阅书香万家行”全民阅读活动项目</w:t>
            </w:r>
            <w:r>
              <w:rPr>
                <w:rFonts w:hint="eastAsia" w:ascii="仿宋_GB2312" w:hAnsi="仿宋_GB2312" w:eastAsia="仿宋_GB2312" w:cs="仿宋_GB2312"/>
                <w:kern w:val="0"/>
                <w:sz w:val="24"/>
              </w:rPr>
              <w:t>　</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妇联</w:t>
            </w:r>
          </w:p>
        </w:tc>
        <w:tc>
          <w:tcPr>
            <w:tcW w:w="9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谢佳佳</w:t>
            </w:r>
          </w:p>
        </w:tc>
      </w:tr>
      <w:tr>
        <w:tblPrEx>
          <w:tblCellMar>
            <w:top w:w="0" w:type="dxa"/>
            <w:left w:w="108" w:type="dxa"/>
            <w:bottom w:w="0" w:type="dxa"/>
            <w:right w:w="108" w:type="dxa"/>
          </w:tblCellMar>
        </w:tblPrEx>
        <w:trPr>
          <w:trHeight w:val="24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3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深圳这座年轻的城市，在2013年10月被联合国教科文组织特别授予“全球全民阅读典范城市”光荣称号，以表彰深圳坚持不懈推动国际化建设和全球文化交流合作，尤其在推广书籍和阅读方面为全球树立了典范。为持续发扬深圳“全球全民阅读典范城市”的光荣称号，引导和鼓励辖区居民及子女养成多读书、读好书、亲子共读的好习惯，共创好的阅读氛围和美好时光，福保街道民生微实事项目，全力推出——2024福保街道“福阅书香万家行”全民阅读活动，让阅读之光，点亮福保。</w:t>
            </w:r>
          </w:p>
        </w:tc>
      </w:tr>
      <w:tr>
        <w:tblPrEx>
          <w:tblCellMar>
            <w:top w:w="0" w:type="dxa"/>
            <w:left w:w="108" w:type="dxa"/>
            <w:bottom w:w="0" w:type="dxa"/>
            <w:right w:w="108" w:type="dxa"/>
          </w:tblCellMar>
        </w:tblPrEx>
        <w:trPr>
          <w:trHeight w:val="712" w:hRule="atLeast"/>
        </w:trPr>
        <w:tc>
          <w:tcPr>
            <w:tcW w:w="7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项目技术要求：</w:t>
            </w:r>
          </w:p>
          <w:p>
            <w:pPr>
              <w:widowControl/>
              <w:spacing w:line="240"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（一）活动要求：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1.每周五晚7：00-8：30举办阅读活动。每周五执行线下活动，要求标准化的流程，确保场次数量和节奏，保证品牌的持续影响力。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2.i福田阅读专栏。I福田小程序-福宝宝名片-阅读专栏，好书推荐线上共读、讲书；参与共读家庭，互动留言、分享主题活动的三点共读收获。</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3.建立各社区福阅书香小站：福保站、新港站、石厦站、明月站 。集合“福阅书香万家行”30场活动、线上好书推荐书籍资源，定点摆放相关书籍供福保街道居民家庭自主阅读，拉长共读时长，影响更多家庭共读好书。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（二）活动宣传：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1.线下海报宣传：在福保街道各社区宣传活跃气氛，扩大影响力；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2.线下横幅合影留念：增强参与居民体验度，方便分享朋友圈；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3.网络推广：新闻通稿推送福田区政府相关公众号、i福田小程序；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4.媒体报道：深圳电视台《壹深圳》、深圳特区报、深圳新闻网等。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（三）活动协调：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协调和联络原创绘本、儿童文学、童书、文学、育儿、励志作家的资源。可以让作家现场与福保街道读者面对面，分享创作的书籍和幕后的花絮趣事，借力大咖阅读写作的心得技巧，提升阅读理解力等。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（四）档案整理：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能够配合完成全年活动所需要所有档案。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（五）合同履行期限：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本项目为今年内项目，服务合同按本年度签订（在履约评价、服务验收优良情况下，方可续签）本项目不接受联合体。</w:t>
            </w:r>
          </w:p>
        </w:tc>
      </w:tr>
      <w:tr>
        <w:tblPrEx>
          <w:tblCellMar>
            <w:top w:w="0" w:type="dxa"/>
            <w:left w:w="108" w:type="dxa"/>
            <w:bottom w:w="0" w:type="dxa"/>
            <w:right w:w="108" w:type="dxa"/>
          </w:tblCellMar>
        </w:tblPrEx>
        <w:trPr>
          <w:trHeight w:val="1060" w:hRule="atLeast"/>
        </w:trPr>
        <w:tc>
          <w:tcPr>
            <w:tcW w:w="7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今年内服务项目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分期付款：</w:t>
            </w:r>
            <w:r>
              <w:rPr>
                <w:rFonts w:hint="eastAsia" w:ascii="仿宋_GB2312" w:hAnsi="仿宋_GB2312" w:eastAsia="仿宋_GB2312" w:cs="仿宋_GB2312"/>
                <w:kern w:val="0"/>
                <w:sz w:val="24"/>
                <w:lang w:val="en-US" w:eastAsia="zh-CN"/>
              </w:rPr>
              <w:t>2024年12月31日前分批次</w:t>
            </w:r>
            <w:r>
              <w:rPr>
                <w:rFonts w:hint="eastAsia" w:ascii="仿宋_GB2312" w:hAnsi="仿宋_GB2312" w:eastAsia="仿宋_GB2312" w:cs="仿宋_GB2312"/>
                <w:kern w:val="0"/>
                <w:sz w:val="24"/>
                <w:lang w:eastAsia="zh-CN"/>
              </w:rPr>
              <w:t>付清项目款项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报价要求：</w:t>
            </w:r>
            <w:r>
              <w:rPr>
                <w:rFonts w:hint="eastAsia" w:ascii="仿宋_GB2312" w:hAnsi="仿宋_GB2312" w:eastAsia="仿宋_GB2312" w:cs="仿宋_GB2312"/>
                <w:kern w:val="0"/>
                <w:sz w:val="24"/>
                <w:lang w:eastAsia="zh-CN"/>
              </w:rPr>
              <w:t>在预算价格内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）委托管理期间，所有委托管理项目如因未执行国家相关政策法规、或因管理不善、服务不规范等原因引发事故、纠纷，或受到主管部门的处罚，由中标单位承担责任。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）在合同执行期间，中标单位须接受市、区行业主管部门的监管。合同终止时，中标单位应将各项目条款的工作记录、设施管理使用及检测记录等移交给采购人。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）如因中标单位原因，造成不能完成规定管理目标或直接造成采购人经济损失的，中标单位应给予采购人相应补偿。采购人有权要求中标单位限期整改，并有权终止合同。</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）因中标单位管理不善或操作不当等原因对房屋建筑或设施设备等造成重大损害或发生重大事故的，由中标单位承担责任并负责善后处理（产生事故的直接原因，以政府有关部门的鉴定结论为准）。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人员必须按标书方案配置人员到位并符合招标文件要求；设备按标书配置的设备清单入场使用并符合招标文件要求。采购人检查发现人员、设备到位不一致的，按违规处理。采购人可责令中标方限期整改，如中标方一个月内仍未达到要求，则采购人有权解除合同。</w:t>
            </w:r>
          </w:p>
        </w:tc>
      </w:tr>
      <w:tr>
        <w:tblPrEx>
          <w:tblCellMar>
            <w:top w:w="0" w:type="dxa"/>
            <w:left w:w="108" w:type="dxa"/>
            <w:bottom w:w="0" w:type="dxa"/>
            <w:right w:w="108" w:type="dxa"/>
          </w:tblCellMar>
        </w:tblPrEx>
        <w:trPr>
          <w:trHeight w:val="1430" w:hRule="atLeast"/>
        </w:trPr>
        <w:tc>
          <w:tcPr>
            <w:tcW w:w="7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7060EE6"/>
    <w:rsid w:val="3F1434CE"/>
    <w:rsid w:val="3FAB8FAF"/>
    <w:rsid w:val="416451E2"/>
    <w:rsid w:val="447E6A90"/>
    <w:rsid w:val="4E144BA8"/>
    <w:rsid w:val="57FFEFC4"/>
    <w:rsid w:val="587C663C"/>
    <w:rsid w:val="5A771A36"/>
    <w:rsid w:val="5C8F69B7"/>
    <w:rsid w:val="5EBA216A"/>
    <w:rsid w:val="60C624B7"/>
    <w:rsid w:val="66AD6A92"/>
    <w:rsid w:val="66C374B6"/>
    <w:rsid w:val="6A1555D3"/>
    <w:rsid w:val="7DF978C0"/>
    <w:rsid w:val="7E97605D"/>
    <w:rsid w:val="7F34677C"/>
    <w:rsid w:val="8DFB255C"/>
    <w:rsid w:val="DD7F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2023-11-02T17:41:00Z</dcterms:created>
  <dc:creator>lulu</dc:creator>
  <cp:lastModifiedBy>xiejiajia</cp:lastModifiedBy>
  <cp:lastPrinted>2024-05-08T12:03:42Z</cp:lastPrinted>
  <dcterms:modified xsi:type="dcterms:W3CDTF">2024-05-08T12:04:46Z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D9BC5A6D050EE1BCC0F83A6681B102D1</vt:lpwstr>
  </property>
</Properties>
</file>