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8"/>
        <w:tblW w:w="5000" w:type="pct"/>
        <w:tblInd w:w="0" w:type="dxa"/>
        <w:tblLayout w:type="autofit"/>
        <w:tblCellMar>
          <w:top w:w="0" w:type="dxa"/>
          <w:left w:w="108" w:type="dxa"/>
          <w:bottom w:w="0" w:type="dxa"/>
          <w:right w:w="108" w:type="dxa"/>
        </w:tblCellMar>
      </w:tblPr>
      <w:tblGrid>
        <w:gridCol w:w="1180"/>
        <w:gridCol w:w="2069"/>
        <w:gridCol w:w="1503"/>
        <w:gridCol w:w="2082"/>
        <w:gridCol w:w="2566"/>
      </w:tblGrid>
      <w:tr>
        <w:tblPrEx>
          <w:tblCellMar>
            <w:top w:w="0" w:type="dxa"/>
            <w:left w:w="108" w:type="dxa"/>
            <w:bottom w:w="0" w:type="dxa"/>
            <w:right w:w="108" w:type="dxa"/>
          </w:tblCellMar>
        </w:tblPrEx>
        <w:trPr>
          <w:trHeight w:val="1032"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访前法律工作室法律服务项目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lang w:val="en-US" w:eastAsia="zh-CN"/>
              </w:rPr>
            </w:pPr>
            <w:r>
              <w:rPr>
                <w:rFonts w:hint="eastAsia" w:ascii="仿宋_GB2312" w:hAnsi="仿宋_GB2312" w:eastAsia="仿宋_GB2312" w:cs="仿宋_GB2312"/>
                <w:kern w:val="0"/>
                <w:sz w:val="24"/>
                <w:lang w:val="en-US" w:eastAsia="zh-CN"/>
              </w:rPr>
              <w:t>30万元</w:t>
            </w:r>
          </w:p>
        </w:tc>
      </w:tr>
      <w:tr>
        <w:tblPrEx>
          <w:tblCellMar>
            <w:top w:w="0" w:type="dxa"/>
            <w:left w:w="108" w:type="dxa"/>
            <w:bottom w:w="0" w:type="dxa"/>
            <w:right w:w="108" w:type="dxa"/>
          </w:tblCellMar>
        </w:tblPrEx>
        <w:trPr>
          <w:trHeight w:val="722"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平安法治办公室（司法所）</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480" w:firstLineChars="20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江明岳、李志勇</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助力福保街道继续推进信访法治化改革，及时解决社会矛盾，为辖区群众提供便捷、优质的法律服务，促进社会的和谐稳定</w:t>
            </w:r>
            <w:r>
              <w:rPr>
                <w:rFonts w:hint="eastAsia" w:ascii="仿宋_GB2312" w:hAnsi="仿宋_GB2312" w:eastAsia="仿宋_GB2312" w:cs="仿宋_GB2312"/>
                <w:kern w:val="0"/>
                <w:sz w:val="24"/>
                <w:lang w:val="en-US" w:eastAsia="zh-CN"/>
              </w:rPr>
              <w:t>。</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服务要求如下：</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1.为街道办信访工作的重大决策、行政行为、合同行为及其他法律事务提供法律意见；</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2.指派2名专业人员在甲方指定的工作地点提供法律服务，负责“访前法律工作室”的日常工作；</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3.负责来访人员的访前接谈，了解来访事项具体情况；</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4.根据诉访分离的原则，对来访事项进行甄别和判断，根据来访事项的性质，对非信访事务依法引导来访人员通过诉讼、仲裁、行政复议等合法途径寻求法律救济；</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5.对来访人员进行政策解释，就如何循信访之外法定途径解决问题提供详细的引导服务，同时给予必要的法律咨询和法律帮助；</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6.对来访人员提出需要调解的纠纷类事项，引导来访人员申请人民调解，由属地街道司法所人民调解室组织开展调解，访前法律工作室律师参与调解工作；</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7.对通过人民调解达成调解协议的，积极引导、帮助当事人自愿向人民法院申请司法确认；</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8.对行为过激或情绪激动的来访人员，协助心理咨询专业人员介入给予其必要的心理疏导，引导来访人员依法、理性、平和地表达诉求；</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9.组织开展法律评估，对因职能部门处置不力导致信访问题恶化的情况展开调查，提出法律意见，为信访追责提供依据；对无理缠访闹访信访人的行为和信访事项进行法律评估，为公安机关依法处置提供参考依据；</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10.根据接访工作的具体情况，按月向街道办领导和区信访局呈报《信访法治化工作报告》；</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11.专项服务内容：参与街道“一社区一法律顾问”工作。</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12.街道需要的其他法律服务工作。</w:t>
            </w:r>
          </w:p>
        </w:tc>
      </w:tr>
      <w:tr>
        <w:tblPrEx>
          <w:tblCellMar>
            <w:top w:w="0" w:type="dxa"/>
            <w:left w:w="108" w:type="dxa"/>
            <w:bottom w:w="0" w:type="dxa"/>
            <w:right w:w="108" w:type="dxa"/>
          </w:tblCellMar>
        </w:tblPrEx>
        <w:trPr>
          <w:trHeight w:val="2601"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自合同签订之日起</w:t>
            </w:r>
            <w:r>
              <w:rPr>
                <w:rFonts w:hint="eastAsia"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3日前</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本项目采用</w:t>
            </w:r>
            <w:r>
              <w:rPr>
                <w:rFonts w:hint="eastAsia" w:ascii="仿宋_GB2312" w:hAnsi="仿宋_GB2312" w:eastAsia="仿宋_GB2312" w:cs="仿宋_GB2312"/>
                <w:kern w:val="0"/>
                <w:sz w:val="24"/>
              </w:rPr>
              <w:t>分期付款：合同签订后，中标供应商提供符合规定的发票，</w:t>
            </w:r>
            <w:r>
              <w:rPr>
                <w:rFonts w:hint="eastAsia" w:ascii="仿宋_GB2312" w:hAnsi="仿宋_GB2312" w:eastAsia="仿宋_GB2312" w:cs="仿宋_GB2312"/>
                <w:kern w:val="0"/>
                <w:sz w:val="24"/>
                <w:lang w:eastAsia="zh-CN"/>
              </w:rPr>
              <w:t>街道办</w:t>
            </w:r>
            <w:r>
              <w:rPr>
                <w:rFonts w:hint="eastAsia" w:ascii="仿宋_GB2312" w:hAnsi="仿宋_GB2312" w:eastAsia="仿宋_GB2312" w:cs="仿宋_GB2312"/>
                <w:kern w:val="0"/>
                <w:sz w:val="24"/>
              </w:rPr>
              <w:t>支付合同总额的</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color w:val="auto"/>
                <w:kern w:val="0"/>
                <w:sz w:val="24"/>
                <w:lang w:eastAsia="zh-CN"/>
              </w:rPr>
              <w:t>在预算价格以内</w:t>
            </w:r>
            <w:r>
              <w:rPr>
                <w:rFonts w:hint="eastAsia" w:ascii="仿宋_GB2312" w:hAnsi="仿宋_GB2312" w:eastAsia="仿宋_GB2312" w:cs="仿宋_GB2312"/>
                <w:kern w:val="0"/>
                <w:sz w:val="24"/>
                <w:lang w:eastAsia="zh-CN"/>
              </w:rPr>
              <w:t>。</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可体现投标人综合实力及运营管理能力的其他资料</w:t>
            </w:r>
          </w:p>
          <w:p>
            <w:pPr>
              <w:widowControl/>
              <w:spacing w:line="240" w:lineRule="auto"/>
              <w:ind w:firstLine="0" w:firstLineChars="0"/>
              <w:jc w:val="left"/>
              <w:rPr>
                <w:rFonts w:hint="default"/>
                <w:lang w:val="en-US" w:eastAsia="zh-CN"/>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TA1NmRlMDdiYzE2ZTNmODFhZGM5ZDc4ZDExZDYifQ=="/>
  </w:docVars>
  <w:rsids>
    <w:rsidRoot w:val="194B399D"/>
    <w:rsid w:val="03EDC5FF"/>
    <w:rsid w:val="091C13C7"/>
    <w:rsid w:val="0A4669B5"/>
    <w:rsid w:val="11312983"/>
    <w:rsid w:val="14C24AD9"/>
    <w:rsid w:val="172C00A3"/>
    <w:rsid w:val="18B761FE"/>
    <w:rsid w:val="194B399D"/>
    <w:rsid w:val="1AF3636A"/>
    <w:rsid w:val="1CD203FA"/>
    <w:rsid w:val="1D1041D7"/>
    <w:rsid w:val="251026CF"/>
    <w:rsid w:val="256B0D97"/>
    <w:rsid w:val="2E544988"/>
    <w:rsid w:val="2FBB6ACC"/>
    <w:rsid w:val="304A7E50"/>
    <w:rsid w:val="334D7C7F"/>
    <w:rsid w:val="340E45C5"/>
    <w:rsid w:val="3F1434CE"/>
    <w:rsid w:val="3FD75F19"/>
    <w:rsid w:val="416451E2"/>
    <w:rsid w:val="447E6A90"/>
    <w:rsid w:val="4E144BA8"/>
    <w:rsid w:val="4E1E0521"/>
    <w:rsid w:val="4E5DED3C"/>
    <w:rsid w:val="56057FF3"/>
    <w:rsid w:val="587C663C"/>
    <w:rsid w:val="5A771A36"/>
    <w:rsid w:val="5C8F69B7"/>
    <w:rsid w:val="5EBA216A"/>
    <w:rsid w:val="5F5F44FD"/>
    <w:rsid w:val="66AD6A92"/>
    <w:rsid w:val="66C374B6"/>
    <w:rsid w:val="6A1555D3"/>
    <w:rsid w:val="6FB68F5D"/>
    <w:rsid w:val="77FFE9D7"/>
    <w:rsid w:val="7BF6537B"/>
    <w:rsid w:val="7E97605D"/>
    <w:rsid w:val="7F34677C"/>
    <w:rsid w:val="7F9FAEDC"/>
    <w:rsid w:val="7FF72567"/>
    <w:rsid w:val="9FD5F7F1"/>
    <w:rsid w:val="9FFF36C9"/>
    <w:rsid w:val="B4FB8A61"/>
    <w:rsid w:val="BFF01D42"/>
    <w:rsid w:val="D1CAAA8A"/>
    <w:rsid w:val="EB9A6BFB"/>
    <w:rsid w:val="ECEA50B3"/>
    <w:rsid w:val="F3F93FD9"/>
    <w:rsid w:val="FDB5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4">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qFormat/>
    <w:uiPriority w:val="0"/>
    <w:rPr>
      <w:vertAlign w:val="superscript"/>
    </w:rPr>
  </w:style>
  <w:style w:type="character" w:customStyle="1" w:styleId="12">
    <w:name w:val="font11"/>
    <w:basedOn w:val="10"/>
    <w:qFormat/>
    <w:uiPriority w:val="0"/>
    <w:rPr>
      <w:rFonts w:hint="eastAsia" w:ascii="仿宋_GB2312" w:eastAsia="仿宋_GB2312" w:cs="仿宋_GB2312"/>
      <w:color w:val="000000"/>
      <w:sz w:val="28"/>
      <w:szCs w:val="28"/>
      <w:u w:val="none"/>
    </w:rPr>
  </w:style>
  <w:style w:type="paragraph" w:customStyle="1" w:styleId="13">
    <w:name w:val="列出段落3"/>
    <w:basedOn w:val="1"/>
    <w:unhideWhenUsed/>
    <w:qFormat/>
    <w:uiPriority w:val="99"/>
    <w:pPr>
      <w:ind w:firstLine="420" w:firstLineChars="200"/>
    </w:pPr>
  </w:style>
  <w:style w:type="paragraph" w:customStyle="1" w:styleId="14">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5">
    <w:name w:val="Other|1"/>
    <w:basedOn w:val="1"/>
    <w:qFormat/>
    <w:uiPriority w:val="0"/>
    <w:rPr>
      <w:rFonts w:ascii="宋体" w:hAnsi="宋体" w:eastAsia="宋体" w:cs="宋体"/>
      <w:sz w:val="20"/>
      <w:szCs w:val="20"/>
      <w:lang w:val="zh-TW" w:eastAsia="zh-TW" w:bidi="zh-TW"/>
    </w:rPr>
  </w:style>
  <w:style w:type="paragraph" w:customStyle="1" w:styleId="16">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1086</Words>
  <Characters>1142</Characters>
  <Lines>0</Lines>
  <Paragraphs>0</Paragraphs>
  <TotalTime>2</TotalTime>
  <ScaleCrop>false</ScaleCrop>
  <LinksUpToDate>false</LinksUpToDate>
  <CharactersWithSpaces>1147</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2023-11-05T09:41:00Z</dcterms:created>
  <dc:creator>lulu</dc:creator>
  <cp:lastModifiedBy>戴钦敏</cp:lastModifiedBy>
  <cp:lastPrinted>2024-05-08T23:22:00Z</cp:lastPrinted>
  <dcterms:modified xsi:type="dcterms:W3CDTF">2024-06-19T15:34:06Z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C097C056E3E316ADEE8972668330E773</vt:lpwstr>
  </property>
</Properties>
</file>