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rect id="Quad Arrow 3" o:spid="_x0000_s1026" o:spt="1" style="position:absolute;left:0pt;margin-left:-19.2pt;margin-top:-5.15pt;height:56.05pt;width:485.3pt;z-index:251659264;mso-width-relative:page;mso-height-relative:page;" filled="f" o:preferrelative="t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900" w:lineRule="exact"/>
                    <w:ind w:left="-42" w:leftChars="-20"/>
                    <w:jc w:val="center"/>
                    <w:rPr>
                      <w:rFonts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</w:pPr>
                  <w:r>
                    <w:rPr>
                      <w:rFonts w:hint="eastAsia" w:ascii="新宋体" w:hAnsi="新宋体" w:eastAsia="新宋体" w:cs="新宋体"/>
                      <w:b/>
                      <w:bCs/>
                      <w:color w:val="FF0000"/>
                      <w:kern w:val="40"/>
                      <w:sz w:val="58"/>
                      <w:szCs w:val="58"/>
                    </w:rPr>
                    <w:t>深圳市福田区文化广电旅游体育局</w:t>
                  </w:r>
                </w:p>
                <w:p>
                  <w:pPr>
                    <w:pStyle w:val="6"/>
                    <w:spacing w:beforeLines="150" w:line="640" w:lineRule="exact"/>
                    <w:jc w:val="distribute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52"/>
                      <w:szCs w:val="52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4"/>
                      <w:kern w:val="0"/>
                      <w:sz w:val="52"/>
                      <w:szCs w:val="52"/>
                    </w:rPr>
                    <w:t xml:space="preserve">jujuzhng 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color w:val="EB0000"/>
                      <w:spacing w:val="-3"/>
                      <w:kern w:val="0"/>
                      <w:sz w:val="52"/>
                      <w:szCs w:val="52"/>
                    </w:rPr>
                    <w:t>局</w:t>
                  </w:r>
                </w:p>
                <w:p>
                  <w:pPr>
                    <w:pStyle w:val="6"/>
                    <w:spacing w:beforeLines="150" w:line="500" w:lineRule="exact"/>
                    <w:rPr>
                      <w:rFonts w:ascii="方正大标宋简体" w:eastAsia="方正大标宋简体"/>
                      <w:color w:val="EB0000"/>
                      <w:spacing w:val="-19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pStyle w:val="6"/>
                    <w:spacing w:beforeLines="150" w:line="640" w:lineRule="exact"/>
                    <w:rPr>
                      <w:rFonts w:ascii="方正大标宋简体" w:eastAsia="方正大标宋简体"/>
                      <w:color w:val="EB0000"/>
                      <w:kern w:val="0"/>
                      <w:sz w:val="56"/>
                      <w:szCs w:val="56"/>
                    </w:rPr>
                  </w:pPr>
                </w:p>
                <w:p>
                  <w:pPr>
                    <w:rPr>
                      <w:color w:val="EB0000"/>
                    </w:rPr>
                  </w:pPr>
                </w:p>
              </w:txbxContent>
            </v:textbox>
          </v:rect>
        </w:pict>
      </w: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pict>
          <v:line id="直接连接符 2" o:spid="_x0000_s1027" o:spt="20" style="position:absolute;left:0pt;margin-left:-8.65pt;margin-top:13.7pt;height:0.05pt;width:466.95pt;z-index:251660288;mso-width-relative:page;mso-height-relative:page;" o:preferrelative="t" stroked="t" coordsize="21600,21600">
            <v:path arrowok="t"/>
            <v:fill focussize="0,0"/>
            <v:stroke weight="4.5pt" color="#EB0000" linestyle="thickThin" miterlimit="2"/>
            <v:imagedata o:title=""/>
            <o:lock v:ext="edit"/>
          </v:line>
        </w:pict>
      </w:r>
    </w:p>
    <w:p>
      <w:pPr>
        <w:spacing w:line="560" w:lineRule="exact"/>
        <w:ind w:right="31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《关于原住民（围村）文化保护的建议》（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第20220134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号）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回复意见</w:t>
      </w:r>
    </w:p>
    <w:p>
      <w:pPr>
        <w:spacing w:line="560" w:lineRule="atLeast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560" w:lineRule="atLeast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尊敬的简红卫代表：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您提出的《关于原住民（围村）文化保护的建议》第20220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val="en-US" w:eastAsia="zh-CN"/>
        </w:rPr>
        <w:t>134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号建议收悉，感谢您对深圳市福田区文化事业关心与厚爱！经认真研究，现将有关情况回复如下：</w:t>
      </w:r>
    </w:p>
    <w:p>
      <w:pPr>
        <w:spacing w:line="560" w:lineRule="atLeast"/>
        <w:ind w:firstLine="642" w:firstLineChars="200"/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  <w:t>梳理完善相关史料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，为围村文化保护工作筑基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近年来，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福田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区委、区政府始终坚持治理与传承相结合，深入挖掘各村历史文化特色，加强城中村文化建设，紧扣各村城市定位，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尤其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重视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各村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文化和历史材料的收集整理工作，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让我区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15个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蝶变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中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的城中村找到历史长河中的坐标。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根据您的建议，我局下一步将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继续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加强统筹规划，组织力量深入挖掘、系统整理、统筹编辑15个城中村的史料，全面系统展示其文化传承、文化特色、发展历史和宗族渊源等，为打造一村一特色的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  <w:lang w:eastAsia="zh-CN"/>
        </w:rPr>
        <w:t>围村</w:t>
      </w: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文化收集背景元素。</w:t>
      </w:r>
    </w:p>
    <w:p>
      <w:pPr>
        <w:spacing w:line="560" w:lineRule="atLeast"/>
        <w:ind w:firstLine="642" w:firstLineChars="200"/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二、举办品牌活动，积极给予支持和引导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福田区高度重视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非物质文化遗产的保护和传承工作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，一直大力支持股份合作公司举办特色文化节、恳亲会、盆菜宴、美食节等文化活动。在区主要领导的指示下，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积极开展“非遗在社区”试点工作，充分发挥优秀传统文化的示范引领作用，扩大我区在全市的非遗文化知名度、影响力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2021年我区全年开展非遗相关活动上千场，其中，在辖区8个社区共开展“非遗在社区”培训活动768课时；在辖区商圈开展“非遗在商圈”手工培训活动70课时；在辖区学校开展“非遗进校园”活动80课时；定期开展演出、培训、讲座等相关非遗活动上百场，受惠群众上万人。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下一步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我局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将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继续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举办以“福田围村风情季”为代表的高品质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文化艺术活动</w:t>
      </w:r>
      <w:bookmarkStart w:id="0" w:name="_GoBack"/>
      <w:bookmarkEnd w:id="0"/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围绕深港民间文化等特色主题，挖掘福田辖区建筑设施、风土民情、民俗民风等文化旅游消费潜力，宣传福田本土文化，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重塑城中村人文气息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打造具有区域影响力的福田特色非遗文化品牌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引导市民理解城中村、热爱城中村，建设城中村。“福田区围村风情季”自2018年每年开展以来，每届覆盖人群超10万人次，有力营造城中村人文气息，弘扬中华优秀传统文化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打造一村一历史，一村一特色的精品城中村文化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。尤其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2020年12月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新洲村简氏宗祠广场启幕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福田围村风情季活动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，更是有力凸显了福田区围村基因、记忆、文脉，弘扬传承了福田民间传统文化。</w:t>
      </w:r>
    </w:p>
    <w:p>
      <w:pPr>
        <w:spacing w:line="560" w:lineRule="atLeast"/>
        <w:ind w:firstLine="642" w:firstLineChars="200"/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三、加强对围村特色文化建筑的修缮和维护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打造城中村品牌场景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近年来，福田区积极鼓励历史文化遗迹活化利用。在推动有条件的文物建筑对外开放的同时，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利用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围村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特色，既吸取村外先进文化流入本村，提高原住民的自身文化自觉，又在保护本村文物、挖掘本村村史的同时向外界展示本村历史文化风貌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。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针对您的建议，我局将进一步加强对15个城中村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传统建筑保护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的指导工作。一是组织专家实地调研、走访，梳理挖掘各村最鲜明的文化元素，为各村文化墙、文化连廊、文化活动室等建设提供政策、理论和专业支持；二是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联合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区城市更新和土地整备局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对我区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城市更新中文物历史建筑或历史风貌区通过规划指导、容积率激励、政府扶持等方式进行保护、修缮、整治和活化利用。通过容积率转移或奖励等方式予以激励，对于涉及文物保护的项目给予一定的补助，在政策和资金方面全方位得到保障。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三是建立城中村文化硬件设施评价体系，从制度上保障一村一特色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  <w:t>品牌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文化元素的打造。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四、多角度发力，加强对围村非物质文化遗产的保护传承及推广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（一）动态保护：1.本土保护：对巴登茶果等本土传统技艺进行抢救性保护，挖掘整理上步本土文化内涵，目前正在跟广东省非遗保护协会合作，积极申报巴登社区围村传统美食茶果技艺项目；2.引进保护：目前正在积极引进异地非遗，对潮俗皮影戏等市级非遗保护项目采用引进保护方式，通过培育和创新，打造成南园皮影新民俗。3.移植守护。经过街道积极主动搭建工作平台，今年8月份国家级非遗保护项目平乐骨科在南园落地。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（二）活态传承：1.队伍建设。搭建“一十百千”梯队，成立南园非遗艺术团。重点培养10位社区非遗传承人，全面培训百名社区非遗志愿者，广泛培养千名社区非遗爱好者。2.场地服务。采用“1+1”的模式，每个社区设立一个非遗名家工作室和一个传习坊，利用社区图书馆提供不少于100平米的传习展示场地。3.资金支持。每个社区每年安排不少于10万元的民生微实事资金用于中华传统文化和非遗保护项目的展演、展示、讲座培训、交流活动。</w:t>
      </w:r>
    </w:p>
    <w:p>
      <w:pPr>
        <w:spacing w:line="560" w:lineRule="atLeast"/>
        <w:ind w:firstLine="642" w:firstLineChars="200"/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b/>
          <w:sz w:val="32"/>
          <w:szCs w:val="32"/>
          <w:shd w:val="clear" w:color="auto" w:fill="FFFFFF"/>
          <w:lang w:eastAsia="zh-CN"/>
        </w:rPr>
        <w:t>五、鼓励多平台传播推广，数字化保护传承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长期以来，我区十分重视非遗资源的挖掘，大力推动非遗文化产业的发展，鼓励多平台传播推广，数字化保护传承。华强北博物馆是我区乃至全国走在前列的集“声、光、电”一体的现代化新型博物馆。华强北博物馆将全息科技、VR/AR体验、数字技术成功和非遗进行整合，实现了传统非遗和现代博物馆的融合发展，为福田非遗的科技创新树立了新的标杆。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针对您的建议，我局将引导我区非物质文化遗产新态发展，一是形式求变。鼓励传承人对自身非遗项目开展标准化技艺设计和材料研发，既保证非遗内核完整，又使形式可流变创新。二是内容求新。倡导非遗传承人在做好传统项目保护传承的基础上，主动适应形势发展，创编弘扬时代主旋律、激发社会正能量的艺术作品。三是传播求广。鼓励传承人、志愿者，使用当下话语体系，利用现代信息工具，应用抖音、快手短视频等新媒体，提高非遗保护传承、传播发展的社会效果和文化影响力，丰富非遗传承传播形式。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                              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        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                深圳市福田区文化广电旅游体育局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 xml:space="preserve">                         202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  <w:t>日</w:t>
      </w:r>
    </w:p>
    <w:p>
      <w:pPr>
        <w:spacing w:line="560" w:lineRule="atLeast"/>
        <w:ind w:firstLine="640" w:firstLineChars="200"/>
        <w:rPr>
          <w:rFonts w:hint="eastAsia" w:ascii="仿宋_GB2312" w:hAnsi="仿宋" w:eastAsia="仿宋_GB2312" w:cs="宋体"/>
          <w:sz w:val="32"/>
          <w:szCs w:val="32"/>
          <w:shd w:val="clear" w:color="auto" w:fill="FFFFFF"/>
        </w:rPr>
      </w:pPr>
    </w:p>
    <w:p>
      <w:pPr>
        <w:spacing w:line="560" w:lineRule="atLeas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545E1"/>
    <w:rsid w:val="0008420A"/>
    <w:rsid w:val="00117A10"/>
    <w:rsid w:val="001B3F82"/>
    <w:rsid w:val="00304DDA"/>
    <w:rsid w:val="003823E5"/>
    <w:rsid w:val="00437E79"/>
    <w:rsid w:val="00442FAB"/>
    <w:rsid w:val="004B23CE"/>
    <w:rsid w:val="00564805"/>
    <w:rsid w:val="00572214"/>
    <w:rsid w:val="005962CA"/>
    <w:rsid w:val="005A07AF"/>
    <w:rsid w:val="00676A0F"/>
    <w:rsid w:val="00981424"/>
    <w:rsid w:val="0098674B"/>
    <w:rsid w:val="00AA4D75"/>
    <w:rsid w:val="00B16D29"/>
    <w:rsid w:val="00B545E1"/>
    <w:rsid w:val="00B85289"/>
    <w:rsid w:val="00D53973"/>
    <w:rsid w:val="00EF5C58"/>
    <w:rsid w:val="15F54E4C"/>
    <w:rsid w:val="22EF334D"/>
    <w:rsid w:val="27DB952B"/>
    <w:rsid w:val="2FFF6854"/>
    <w:rsid w:val="32A9DB51"/>
    <w:rsid w:val="38287E2A"/>
    <w:rsid w:val="3AAFC0F7"/>
    <w:rsid w:val="3B5AB46E"/>
    <w:rsid w:val="3F6FEB33"/>
    <w:rsid w:val="4DBF92D8"/>
    <w:rsid w:val="5CEF8EC6"/>
    <w:rsid w:val="69BF2DD5"/>
    <w:rsid w:val="7DBFD93E"/>
    <w:rsid w:val="7F3BB9C0"/>
    <w:rsid w:val="7FEEEBD5"/>
    <w:rsid w:val="7FFC6E07"/>
    <w:rsid w:val="7FFFD2FB"/>
    <w:rsid w:val="A7FF302D"/>
    <w:rsid w:val="BE6FFBE2"/>
    <w:rsid w:val="BF7F17B7"/>
    <w:rsid w:val="C3FF4F8E"/>
    <w:rsid w:val="C64F40AF"/>
    <w:rsid w:val="CB1F5A52"/>
    <w:rsid w:val="CEEECAAB"/>
    <w:rsid w:val="CFCBD472"/>
    <w:rsid w:val="D81D23D6"/>
    <w:rsid w:val="DFEDB634"/>
    <w:rsid w:val="DFFD973B"/>
    <w:rsid w:val="ECFF0F2B"/>
    <w:rsid w:val="EFF71B18"/>
    <w:rsid w:val="F116718A"/>
    <w:rsid w:val="F6AE90A9"/>
    <w:rsid w:val="F6DDCAD1"/>
    <w:rsid w:val="FBFA7A61"/>
    <w:rsid w:val="FD7B5541"/>
    <w:rsid w:val="FF97F040"/>
    <w:rsid w:val="FFDF820C"/>
    <w:rsid w:val="FFFB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937</Characters>
  <Lines>7</Lines>
  <Paragraphs>2</Paragraphs>
  <TotalTime>0</TotalTime>
  <ScaleCrop>false</ScaleCrop>
  <LinksUpToDate>false</LinksUpToDate>
  <CharactersWithSpaces>1099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2020-06-07T18:21:00Z</dcterms:created>
  <dc:creator>admin</dc:creator>
  <cp:lastModifiedBy>zengxin1</cp:lastModifiedBy>
  <dcterms:modified xsi:type="dcterms:W3CDTF">2024-06-25T11:20:42Z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496B7B8B0F5359208A377A6634521094</vt:lpwstr>
  </property>
</Properties>
</file>