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关于对深圳市福田区第八届人民代表大会第二次会议第20220170号</w:t>
      </w:r>
      <w:r>
        <w:rPr>
          <w:rFonts w:hint="eastAsia" w:ascii="方正小标宋_GBK" w:hAnsi="方正小标宋_GBK" w:eastAsia="方正小标宋_GBK" w:cs="方正小标宋_GBK"/>
          <w:sz w:val="44"/>
          <w:szCs w:val="44"/>
          <w:lang w:eastAsia="zh-CN"/>
        </w:rPr>
        <w:t>建议《关于打造国家级文化艺术品拍卖中心产业带，赋能首善之区时尚之区建设的建议》</w:t>
      </w:r>
      <w:r>
        <w:rPr>
          <w:rFonts w:hint="eastAsia" w:ascii="方正小标宋_GBK" w:hAnsi="方正小标宋_GBK" w:eastAsia="方正小标宋_GBK" w:cs="方正小标宋_GBK"/>
          <w:sz w:val="44"/>
          <w:szCs w:val="44"/>
        </w:rPr>
        <w:t>的回复</w:t>
      </w:r>
    </w:p>
    <w:p>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尊敬的塞夫等代表：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你们好！你们在区第八届人民代表大会第二次会议上的提案《关于打造国家级文化艺术品拍卖中心产业带，赋能首善之区时尚之区建设的建议》（JY20220170）已收悉。首先感谢</w:t>
      </w:r>
      <w:bookmarkStart w:id="15" w:name="_GoBack"/>
      <w:bookmarkEnd w:id="15"/>
      <w:r>
        <w:rPr>
          <w:rFonts w:hint="eastAsia" w:ascii="仿宋_GB2312" w:hAnsi="仿宋_GB2312" w:eastAsia="仿宋_GB2312" w:cs="仿宋_GB2312"/>
          <w:kern w:val="2"/>
          <w:sz w:val="32"/>
          <w:szCs w:val="32"/>
          <w:lang w:val="en-US" w:eastAsia="zh-CN" w:bidi="ar-SA"/>
        </w:rPr>
        <w:t>您对福田区文化与艺术工作的关心和重视，所提建议对我单位具有重要的参考价值和指导意义，现将办理情况答复如下：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近年，随着艺术品金融化呈现多样化的形势，不少金融机构开始深入涉足文化艺术品拍卖市场，并与文化创意产业融合。为鼓励金融产业与文化创意产业的融合发展，我区创新打造文创指数、文创投资联盟、文创专项投资基金、“文化+金融”专项支持政策和国家文化与金融合作示范区等，从文化产业端、金融资本端双向发力，全方位加强资金保障、平台建设、政策扶持力度，不断提升文化产业端和金融资本端“硬实力”。</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一、工作开展情况</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楷体_GB2312" w:hAnsi="楷体_GB2312" w:eastAsia="楷体_GB2312" w:cs="楷体_GB2312"/>
          <w:b/>
          <w:bCs/>
          <w:color w:val="auto"/>
          <w:sz w:val="32"/>
          <w:szCs w:val="32"/>
          <w:lang w:val="en-US" w:eastAsia="zh-CN"/>
        </w:rPr>
      </w:pPr>
      <w:r>
        <w:rPr>
          <w:rFonts w:hint="eastAsia" w:ascii="楷体_GB2312" w:hAnsi="楷体_GB2312" w:eastAsia="楷体_GB2312" w:cs="楷体_GB2312"/>
          <w:b/>
          <w:bCs/>
          <w:color w:val="auto"/>
          <w:sz w:val="32"/>
          <w:szCs w:val="32"/>
          <w:lang w:val="en-US" w:eastAsia="zh-CN"/>
        </w:rPr>
        <w:t>（一）构筑文化与金融产业发展政策支撑体系。</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一是</w:t>
      </w:r>
      <w:r>
        <w:rPr>
          <w:rFonts w:hint="eastAsia" w:ascii="仿宋_GB2312" w:hAnsi="仿宋_GB2312" w:eastAsia="仿宋_GB2312" w:cs="仿宋_GB2312"/>
          <w:kern w:val="2"/>
          <w:sz w:val="32"/>
          <w:szCs w:val="32"/>
          <w:lang w:val="en-US" w:eastAsia="zh-CN" w:bidi="ar-SA"/>
        </w:rPr>
        <w:t>我区立足金融产业及文化产业地位优势，</w:t>
      </w:r>
      <w:r>
        <w:rPr>
          <w:rFonts w:hint="eastAsia" w:ascii="仿宋_GB2312" w:hAnsi="仿宋_GB2312" w:eastAsia="仿宋_GB2312" w:cs="仿宋_GB2312"/>
          <w:sz w:val="32"/>
          <w:szCs w:val="32"/>
          <w:highlight w:val="none"/>
          <w:lang w:val="en-US" w:eastAsia="zh-CN"/>
        </w:rPr>
        <w:t>在文创类产业资金支持政策中，</w:t>
      </w:r>
      <w:r>
        <w:rPr>
          <w:rFonts w:hint="eastAsia" w:ascii="仿宋_GB2312" w:hAnsi="仿宋_GB2312" w:eastAsia="仿宋_GB2312" w:cs="仿宋_GB2312"/>
          <w:kern w:val="2"/>
          <w:sz w:val="32"/>
          <w:szCs w:val="32"/>
          <w:lang w:val="en-US" w:eastAsia="zh-CN" w:bidi="ar-SA"/>
        </w:rPr>
        <w:t>创新制定“文化+金融”系列支持条款，通过设置“贷款贴息支持”“知识产权质押支持”“企业融资支持”支持项目，降低企业融资成本，鼓励文创企业通过多种渠道加强融资、扩大经营规模；设置“文化产业专项基金支持”“文化投资基金项目落户支持”，推动金融资本、社会资本与文化资源相结合，实现文化金融优势互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sz w:val="32"/>
          <w:szCs w:val="32"/>
          <w:lang w:val="en-US" w:eastAsia="zh-CN"/>
        </w:rPr>
        <w:t>设立针对文化金融的融资风险补偿政策，对文化金融信贷项目进行有限风险补偿，提升金融机构的风险容忍度，撬动更多社会资本投向文化金融产业，刺激金融机构扩大文化产业的信贷供给总量，支持文化企业扩大融资规模。</w:t>
      </w:r>
      <w:r>
        <w:rPr>
          <w:rFonts w:hint="eastAsia" w:ascii="仿宋_GB2312" w:hAnsi="仿宋_GB2312" w:eastAsia="仿宋_GB2312" w:cs="仿宋_GB2312"/>
          <w:kern w:val="2"/>
          <w:sz w:val="32"/>
          <w:szCs w:val="32"/>
          <w:lang w:val="en-US" w:eastAsia="zh-CN" w:bidi="ar-SA"/>
        </w:rPr>
        <w:t>设置“担保费用支持”“风险补偿支持”，建立风险补偿机制，高效利用金融资本降低投资风险，充分运用</w:t>
      </w:r>
      <w:r>
        <w:rPr>
          <w:rFonts w:hint="eastAsia" w:ascii="仿宋_GB2312" w:hAnsi="仿宋_GB2312" w:eastAsia="仿宋_GB2312" w:cs="仿宋_GB2312"/>
          <w:sz w:val="32"/>
          <w:szCs w:val="32"/>
          <w:highlight w:val="none"/>
          <w:lang w:val="en-US" w:eastAsia="zh-CN"/>
        </w:rPr>
        <w:t>金融的手段、方法、服务撬动文化产业持续发展，</w:t>
      </w:r>
      <w:r>
        <w:rPr>
          <w:rFonts w:hint="eastAsia" w:ascii="仿宋_GB2312" w:hAnsi="仿宋_GB2312" w:eastAsia="仿宋_GB2312" w:cs="仿宋_GB2312"/>
          <w:kern w:val="2"/>
          <w:sz w:val="32"/>
          <w:szCs w:val="32"/>
          <w:lang w:val="en-US" w:eastAsia="zh-CN" w:bidi="ar-SA"/>
        </w:rPr>
        <w:t>打造香蜜湖文化金融品牌，推动国家文化与金融合作示范区建设。</w:t>
      </w:r>
    </w:p>
    <w:p>
      <w:pPr>
        <w:pStyle w:val="2"/>
        <w:keepNext w:val="0"/>
        <w:keepLines w:val="0"/>
        <w:pageBreakBefore w:val="0"/>
        <w:widowControl w:val="0"/>
        <w:kinsoku/>
        <w:wordWrap/>
        <w:overflowPunct/>
        <w:topLinePunct w:val="0"/>
        <w:autoSpaceDE/>
        <w:autoSpaceDN/>
        <w:bidi w:val="0"/>
        <w:adjustRightInd/>
        <w:snapToGrid/>
        <w:spacing w:line="560" w:lineRule="exact"/>
        <w:ind w:firstLine="642" w:firstLineChars="200"/>
        <w:jc w:val="lef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b/>
          <w:bCs/>
          <w:kern w:val="2"/>
          <w:sz w:val="32"/>
          <w:szCs w:val="32"/>
          <w:lang w:val="en-US" w:eastAsia="zh-CN" w:bidi="ar-SA"/>
        </w:rPr>
        <w:t>三是</w:t>
      </w:r>
      <w:r>
        <w:rPr>
          <w:rFonts w:hint="eastAsia" w:ascii="仿宋_GB2312" w:hAnsi="仿宋_GB2312" w:eastAsia="仿宋_GB2312" w:cs="仿宋_GB2312"/>
          <w:kern w:val="2"/>
          <w:sz w:val="32"/>
          <w:szCs w:val="32"/>
          <w:lang w:val="en-US" w:eastAsia="zh-CN" w:bidi="ar-SA"/>
        </w:rPr>
        <w:t>制定《深圳市福田区关于引导创业投资聚集促进科创金融融合发展若干措施》，围绕风投创投机构“募投管退服”等方面建立生命全周期政策体系，制定引导基金、产业投资、外商投资、专业楼宇、经营贡献、投资退出等20余条支持政策，优化文化金融私募股权投资市场等的投融资环境。</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2" w:firstLineChars="200"/>
        <w:textAlignment w:val="auto"/>
        <w:rPr>
          <w:rFonts w:hint="eastAsia" w:ascii="楷体_GB2312" w:hAnsi="楷体_GB2312" w:eastAsia="楷体_GB2312" w:cs="楷体_GB2312"/>
          <w:b/>
          <w:bCs/>
          <w:kern w:val="2"/>
          <w:sz w:val="32"/>
          <w:szCs w:val="32"/>
          <w:lang w:val="en-US" w:eastAsia="zh-CN" w:bidi="ar-SA"/>
        </w:rPr>
      </w:pPr>
      <w:r>
        <w:rPr>
          <w:rFonts w:hint="eastAsia" w:ascii="楷体_GB2312" w:hAnsi="楷体_GB2312" w:eastAsia="楷体_GB2312" w:cs="楷体_GB2312"/>
          <w:b/>
          <w:bCs/>
          <w:color w:val="auto"/>
          <w:sz w:val="32"/>
          <w:szCs w:val="32"/>
          <w:lang w:val="en-US" w:eastAsia="zh-CN"/>
        </w:rPr>
        <w:t>创新制定促进艺术品交易的配套政策</w:t>
      </w:r>
      <w:r>
        <w:rPr>
          <w:rFonts w:hint="eastAsia" w:ascii="楷体_GB2312" w:hAnsi="楷体_GB2312" w:eastAsia="楷体_GB2312" w:cs="楷体_GB2312"/>
          <w:b/>
          <w:bCs/>
          <w:kern w:val="2"/>
          <w:sz w:val="32"/>
          <w:szCs w:val="32"/>
          <w:lang w:val="en-US" w:eastAsia="zh-CN" w:bidi="ar-SA"/>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b/>
          <w:bCs/>
          <w:sz w:val="32"/>
          <w:szCs w:val="32"/>
          <w:highlight w:val="none"/>
          <w:lang w:val="en-US" w:eastAsia="zh-CN"/>
        </w:rPr>
        <w:t>一是</w:t>
      </w:r>
      <w:r>
        <w:rPr>
          <w:rFonts w:ascii="仿宋_GB2312" w:hAnsi="仿宋_GB2312" w:eastAsia="仿宋_GB2312" w:cs="仿宋_GB2312"/>
          <w:sz w:val="32"/>
          <w:szCs w:val="32"/>
          <w:highlight w:val="none"/>
        </w:rPr>
        <w:t>修订</w:t>
      </w:r>
      <w:r>
        <w:rPr>
          <w:rFonts w:hint="eastAsia" w:ascii="仿宋_GB2312" w:hAnsi="仿宋_GB2312" w:eastAsia="仿宋_GB2312" w:cs="仿宋_GB2312"/>
          <w:sz w:val="32"/>
          <w:szCs w:val="32"/>
          <w:highlight w:val="none"/>
          <w:lang w:eastAsia="zh-CN"/>
        </w:rPr>
        <w:t>完善</w:t>
      </w:r>
      <w:r>
        <w:rPr>
          <w:rFonts w:hint="eastAsia" w:ascii="仿宋_GB2312" w:hAnsi="仿宋_GB2312" w:eastAsia="仿宋_GB2312" w:cs="仿宋_GB2312"/>
          <w:b w:val="0"/>
          <w:bCs w:val="0"/>
          <w:color w:val="auto"/>
          <w:sz w:val="32"/>
          <w:szCs w:val="32"/>
          <w:highlight w:val="none"/>
          <w:lang w:val="en-US" w:eastAsia="zh-CN"/>
        </w:rPr>
        <w:t>《深圳市福田区支持文化旅游体育产业发展若干政策》，新增艺术品保管库、保税仓建设支持政策，</w:t>
      </w:r>
      <w:r>
        <w:rPr>
          <w:rFonts w:hint="eastAsia" w:ascii="Times New Roman" w:hAnsi="Times New Roman" w:eastAsia="仿宋_GB2312" w:cs="Times New Roman"/>
          <w:b w:val="0"/>
          <w:bCs w:val="0"/>
          <w:color w:val="000000"/>
          <w:kern w:val="2"/>
          <w:sz w:val="32"/>
          <w:szCs w:val="24"/>
          <w:highlight w:val="none"/>
          <w:u w:val="none" w:color="auto"/>
          <w:lang w:val="en-US" w:eastAsia="zh-CN" w:bidi="ar-SA"/>
        </w:rPr>
        <w:t>对投资建设集艺术品仓储、保税展示、拍卖交易等功能于一体的艺术品保管库、保税仓给予资金支持，鼓励企业及相关艺术品机构依托艺术品保税仓，拓展艺术品鉴定、估值、修复和艺术品金融等业务。</w:t>
      </w:r>
      <w:r>
        <w:rPr>
          <w:rFonts w:hint="eastAsia" w:ascii="仿宋_GB2312" w:hAnsi="仿宋_GB2312" w:eastAsia="仿宋_GB2312" w:cs="仿宋_GB2312"/>
          <w:sz w:val="32"/>
          <w:szCs w:val="32"/>
          <w:highlight w:val="none"/>
        </w:rPr>
        <w:t>引导社会力量在福田设立</w:t>
      </w:r>
      <w:r>
        <w:rPr>
          <w:rFonts w:hint="eastAsia" w:ascii="仿宋_GB2312" w:hAnsi="仿宋_GB2312" w:eastAsia="仿宋_GB2312" w:cs="仿宋_GB2312"/>
          <w:sz w:val="32"/>
          <w:szCs w:val="32"/>
          <w:highlight w:val="none"/>
          <w:lang w:eastAsia="zh-CN"/>
        </w:rPr>
        <w:t>文化艺术品交易平台</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参与重要文化产业平台和项目建设</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参与文化</w:t>
      </w:r>
      <w:r>
        <w:rPr>
          <w:rFonts w:hint="eastAsia" w:ascii="仿宋_GB2312" w:hAnsi="仿宋_GB2312" w:eastAsia="仿宋_GB2312" w:cs="仿宋_GB2312"/>
          <w:sz w:val="32"/>
          <w:szCs w:val="32"/>
          <w:highlight w:val="none"/>
          <w:lang w:eastAsia="zh-CN"/>
        </w:rPr>
        <w:t>艺术品市场</w:t>
      </w:r>
      <w:r>
        <w:rPr>
          <w:rFonts w:hint="eastAsia" w:ascii="仿宋_GB2312" w:hAnsi="仿宋_GB2312" w:eastAsia="仿宋_GB2312" w:cs="仿宋_GB2312"/>
          <w:sz w:val="32"/>
          <w:szCs w:val="32"/>
          <w:highlight w:val="none"/>
        </w:rPr>
        <w:t>创新发展</w:t>
      </w:r>
      <w:r>
        <w:rPr>
          <w:rFonts w:hint="eastAsia" w:ascii="仿宋_GB2312" w:hAnsi="仿宋_GB2312" w:eastAsia="仿宋_GB2312" w:cs="仿宋_GB2312"/>
          <w:sz w:val="32"/>
          <w:szCs w:val="32"/>
          <w:highlight w:val="none"/>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lang w:eastAsia="zh-CN"/>
        </w:rPr>
      </w:pPr>
      <w:r>
        <w:rPr>
          <w:rFonts w:hint="eastAsia" w:ascii="仿宋_GB2312" w:hAnsi="仿宋_GB2312" w:eastAsia="仿宋_GB2312" w:cs="仿宋_GB2312"/>
          <w:b/>
          <w:bCs/>
          <w:kern w:val="2"/>
          <w:sz w:val="32"/>
          <w:szCs w:val="32"/>
          <w:lang w:val="en-US" w:eastAsia="zh-CN" w:bidi="ar-SA"/>
        </w:rPr>
        <w:t>二是</w:t>
      </w:r>
      <w:r>
        <w:rPr>
          <w:rFonts w:hint="eastAsia" w:ascii="仿宋_GB2312" w:hAnsi="仿宋_GB2312" w:eastAsia="仿宋_GB2312" w:cs="仿宋_GB2312"/>
          <w:kern w:val="2"/>
          <w:sz w:val="32"/>
          <w:szCs w:val="32"/>
          <w:lang w:val="en-US" w:eastAsia="zh-CN" w:bidi="ar-SA"/>
        </w:rPr>
        <w:t>支持金融资本、社会资本与文化资源结合，推动文化艺术品金融化，鼓励建设适用国际通用规则的文化艺术品拍卖中心。以福田引导基金为抓手，联合腾讯公司、中手游、深圳文交所等多方力量，设立、运作多支文化产业类专项子基金，并积极吸引优质基金公司落户福田，扶持文化艺术品拍卖中心产业链条的文化企业发展，支持文化特色银行在文化艺术品拍卖中心先行先试艺术金融业务。</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0" w:leftChars="0" w:firstLine="642" w:firstLineChars="200"/>
        <w:textAlignment w:val="auto"/>
        <w:rPr>
          <w:rFonts w:hint="eastAsia" w:ascii="楷体_GB2312" w:hAnsi="楷体_GB2312" w:eastAsia="楷体_GB2312" w:cs="楷体_GB2312"/>
          <w:b/>
          <w:bCs/>
          <w:color w:val="auto"/>
          <w:kern w:val="2"/>
          <w:sz w:val="32"/>
          <w:szCs w:val="32"/>
          <w:lang w:val="en-US" w:eastAsia="zh-CN" w:bidi="ar-SA"/>
        </w:rPr>
      </w:pPr>
      <w:r>
        <w:rPr>
          <w:rFonts w:hint="eastAsia" w:ascii="楷体_GB2312" w:hAnsi="楷体_GB2312" w:eastAsia="楷体_GB2312" w:cs="楷体_GB2312"/>
          <w:b/>
          <w:bCs/>
          <w:color w:val="auto"/>
          <w:kern w:val="2"/>
          <w:sz w:val="32"/>
          <w:szCs w:val="32"/>
          <w:lang w:val="en-US" w:eastAsia="zh-CN" w:bidi="ar-SA"/>
        </w:rPr>
        <w:t>引进艺术品拍卖机构盘活文化艺术品交易市场。</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仿宋_GB2312" w:cs="Times New Roman"/>
          <w:sz w:val="32"/>
          <w:lang w:val="en-US" w:eastAsia="zh-CN"/>
        </w:rPr>
      </w:pPr>
      <w:r>
        <w:rPr>
          <w:rFonts w:hint="eastAsia" w:ascii="仿宋_GB2312" w:hAnsi="仿宋_GB2312" w:eastAsia="仿宋_GB2312" w:cs="仿宋_GB2312"/>
          <w:sz w:val="32"/>
          <w:szCs w:val="32"/>
          <w:highlight w:val="none"/>
          <w:lang w:val="en-US" w:eastAsia="zh-CN"/>
        </w:rPr>
        <w:t>引导荣宝斋、</w:t>
      </w:r>
      <w:r>
        <w:rPr>
          <w:rFonts w:hint="eastAsia" w:ascii="仿宋_GB2312" w:hAnsi="仿宋_GB2312" w:eastAsia="仿宋_GB2312" w:cs="仿宋_GB2312"/>
          <w:b w:val="0"/>
          <w:bCs w:val="0"/>
          <w:color w:val="auto"/>
          <w:sz w:val="32"/>
          <w:szCs w:val="32"/>
          <w:lang w:val="en-US" w:eastAsia="zh-CN"/>
        </w:rPr>
        <w:t>中鸿信等拍卖机构</w:t>
      </w:r>
      <w:r>
        <w:rPr>
          <w:rFonts w:hint="eastAsia" w:ascii="仿宋_GB2312" w:hAnsi="仿宋_GB2312" w:eastAsia="仿宋_GB2312" w:cs="仿宋_GB2312"/>
          <w:sz w:val="32"/>
          <w:szCs w:val="32"/>
          <w:highlight w:val="none"/>
          <w:lang w:val="en-US" w:eastAsia="zh-CN"/>
        </w:rPr>
        <w:t>落户福田，助推我区文化艺术品拍卖市场发展。</w:t>
      </w:r>
      <w:r>
        <w:rPr>
          <w:rFonts w:hint="eastAsia" w:ascii="仿宋_GB2312" w:hAnsi="仿宋_GB2312" w:eastAsia="仿宋_GB2312" w:cs="仿宋_GB2312"/>
          <w:b w:val="0"/>
          <w:bCs w:val="0"/>
          <w:color w:val="auto"/>
          <w:kern w:val="2"/>
          <w:sz w:val="32"/>
          <w:szCs w:val="32"/>
          <w:highlight w:val="none"/>
          <w:lang w:val="en-US" w:eastAsia="zh-CN" w:bidi="ar-SA"/>
        </w:rPr>
        <w:t>持续参与举办</w:t>
      </w:r>
      <w:r>
        <w:rPr>
          <w:rFonts w:hint="eastAsia" w:ascii="仿宋_GB2312" w:hAnsi="仿宋_GB2312" w:eastAsia="仿宋_GB2312" w:cs="仿宋_GB2312"/>
          <w:b w:val="0"/>
          <w:bCs w:val="0"/>
          <w:sz w:val="32"/>
          <w:szCs w:val="32"/>
          <w:lang w:val="en-US" w:eastAsia="zh-CN"/>
        </w:rPr>
        <w:t>中国（深圳）国际文化产业博览交易会</w:t>
      </w:r>
      <w:r>
        <w:rPr>
          <w:rFonts w:hint="eastAsia" w:ascii="仿宋_GB2312" w:hAnsi="仿宋_GB2312" w:eastAsia="仿宋_GB2312" w:cs="仿宋_GB2312"/>
          <w:b w:val="0"/>
          <w:bCs w:val="0"/>
          <w:color w:val="auto"/>
          <w:kern w:val="2"/>
          <w:sz w:val="32"/>
          <w:szCs w:val="32"/>
          <w:highlight w:val="none"/>
          <w:lang w:val="en-US" w:eastAsia="zh-CN" w:bidi="ar-SA"/>
        </w:rPr>
        <w:t>，展示福田区文化产业发展成果，支持举办深圳国际时装周等国际文化活动，提升国际影响力以及对国内外文化艺术品资源和要素的配置能力。探索引入特色文化产品品牌运营主体，推动形成“政府+运营公司+第三方机构”高效协同、紧密联动的运营模式，加快建设多功能服务交流平台，</w:t>
      </w:r>
      <w:r>
        <w:rPr>
          <w:rFonts w:hint="eastAsia" w:ascii="仿宋_GB2312" w:hAnsi="仿宋_GB2312" w:eastAsia="仿宋_GB2312" w:cs="仿宋_GB2312"/>
          <w:color w:val="000000"/>
          <w:sz w:val="32"/>
          <w:szCs w:val="32"/>
          <w:highlight w:val="none"/>
        </w:rPr>
        <w:t>吸引具有国际展览、活动运营经验的公关公司或团队落户福田</w:t>
      </w:r>
      <w:r>
        <w:rPr>
          <w:rFonts w:hint="eastAsia" w:ascii="仿宋_GB2312" w:hAnsi="仿宋_GB2312" w:eastAsia="仿宋_GB2312" w:cs="仿宋_GB2312"/>
          <w:color w:val="000000"/>
          <w:sz w:val="32"/>
          <w:szCs w:val="32"/>
          <w:highlight w:val="none"/>
          <w:lang w:eastAsia="zh-CN"/>
        </w:rPr>
        <w:t>。</w:t>
      </w:r>
      <w:r>
        <w:rPr>
          <w:rFonts w:ascii="仿宋_GB2312" w:hAnsi="仿宋_GB2312" w:eastAsia="仿宋_GB2312" w:cs="仿宋_GB2312"/>
          <w:color w:val="000000"/>
          <w:sz w:val="32"/>
          <w:szCs w:val="32"/>
          <w:highlight w:val="none"/>
        </w:rPr>
        <w:t>支持文化企业和行业组织举办专业会展，</w:t>
      </w:r>
      <w:r>
        <w:rPr>
          <w:rFonts w:hint="eastAsia" w:ascii="仿宋_GB2312" w:hAnsi="仿宋_GB2312" w:eastAsia="仿宋_GB2312" w:cs="仿宋_GB2312"/>
          <w:color w:val="000000"/>
          <w:sz w:val="32"/>
          <w:szCs w:val="32"/>
          <w:highlight w:val="none"/>
          <w:lang w:val="en-US" w:eastAsia="zh-CN"/>
        </w:rPr>
        <w:t>鼓励</w:t>
      </w:r>
      <w:r>
        <w:rPr>
          <w:rFonts w:ascii="仿宋_GB2312" w:hAnsi="仿宋_GB2312" w:eastAsia="仿宋_GB2312" w:cs="仿宋_GB2312"/>
          <w:color w:val="000000"/>
          <w:sz w:val="32"/>
          <w:szCs w:val="32"/>
          <w:highlight w:val="none"/>
        </w:rPr>
        <w:t>企业参加国际大型节展和国家重点支持的展会活动</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引导社会力量积极参与文化交流活动的举办</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b w:val="0"/>
          <w:bCs w:val="0"/>
          <w:sz w:val="32"/>
          <w:szCs w:val="32"/>
          <w:lang w:val="en-US" w:eastAsia="zh-CN"/>
        </w:rPr>
        <w:t>整合产业聚集地资源和信息优势，</w:t>
      </w:r>
      <w:r>
        <w:rPr>
          <w:rFonts w:hint="eastAsia" w:ascii="仿宋_GB2312" w:hAnsi="仿宋_GB2312" w:eastAsia="仿宋_GB2312" w:cs="仿宋_GB2312"/>
          <w:color w:val="000000"/>
          <w:sz w:val="32"/>
          <w:szCs w:val="32"/>
          <w:highlight w:val="none"/>
          <w:lang w:eastAsia="zh-CN"/>
        </w:rPr>
        <w:t>活跃文化艺术品交易市场</w:t>
      </w:r>
      <w:r>
        <w:rPr>
          <w:rFonts w:hint="eastAsia" w:ascii="仿宋_GB2312" w:hAnsi="仿宋_GB2312" w:eastAsia="仿宋_GB2312" w:cs="仿宋_GB2312"/>
          <w:color w:val="000000"/>
          <w:sz w:val="32"/>
          <w:szCs w:val="32"/>
          <w:highlight w:val="none"/>
        </w:rPr>
        <w:t>。</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b/>
          <w:bCs/>
          <w:i w:val="0"/>
          <w:iCs w:val="0"/>
          <w:caps w:val="0"/>
          <w:color w:val="333333"/>
          <w:spacing w:val="0"/>
          <w:sz w:val="32"/>
          <w:szCs w:val="32"/>
          <w:shd w:val="clear" w:color="auto" w:fill="FFFFFF"/>
        </w:rPr>
      </w:pPr>
      <w:r>
        <w:rPr>
          <w:rFonts w:hint="eastAsia" w:ascii="黑体" w:hAnsi="黑体" w:eastAsia="黑体" w:cs="黑体"/>
          <w:color w:val="000000"/>
          <w:sz w:val="32"/>
          <w:szCs w:val="32"/>
          <w:lang w:eastAsia="zh-CN"/>
        </w:rPr>
        <w:t>二、下一步工作计划</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right="0" w:rightChars="0" w:firstLine="642" w:firstLineChars="200"/>
        <w:jc w:val="both"/>
        <w:textAlignment w:val="auto"/>
        <w:outlineLvl w:val="9"/>
        <w:rPr>
          <w:rFonts w:hint="eastAsia" w:ascii="仿宋_GB2312" w:hAnsi="仿宋_GB2312" w:eastAsia="仿宋_GB2312" w:cs="仿宋_GB2312"/>
          <w:i w:val="0"/>
          <w:iCs w:val="0"/>
          <w:caps w:val="0"/>
          <w:color w:val="auto"/>
          <w:spacing w:val="0"/>
          <w:sz w:val="32"/>
          <w:szCs w:val="32"/>
          <w:shd w:val="clear" w:color="auto" w:fill="FFFFFF"/>
          <w:lang w:eastAsia="zh-CN"/>
        </w:rPr>
      </w:pPr>
      <w:r>
        <w:rPr>
          <w:rFonts w:hint="eastAsia" w:ascii="楷体_GB2312" w:hAnsi="楷体_GB2312" w:eastAsia="楷体_GB2312" w:cs="楷体_GB2312"/>
          <w:b/>
          <w:bCs/>
          <w:kern w:val="2"/>
          <w:sz w:val="32"/>
          <w:szCs w:val="32"/>
          <w:lang w:val="en-US" w:eastAsia="zh-CN" w:bidi="ar-SA"/>
        </w:rPr>
        <w:t>（一）完善文化金融政策支持体系。</w:t>
      </w:r>
      <w:r>
        <w:rPr>
          <w:rFonts w:hint="eastAsia" w:ascii="仿宋_GB2312" w:hAnsi="仿宋_GB2312" w:eastAsia="仿宋_GB2312" w:cs="仿宋_GB2312"/>
          <w:sz w:val="32"/>
          <w:szCs w:val="32"/>
          <w:highlight w:val="none"/>
          <w:lang w:val="en-US" w:eastAsia="zh-CN"/>
        </w:rPr>
        <w:t>持续完善“文化+金融”支持政策，加大政策协同配合力度，按照差异化、精细化、科学化原则，加大对重点项目的金融支持。完善对薄弱领域的金融服务，加强对助力文化创意产业发展的金融机构的支持力度，引导国有资本投资我区文化创意企业。根据文化创意产业发展情况，调整“企业融资支持”“知识产权质押支持”等支持政策的申请门槛，优化艺术品保税仓支持政策。探索构</w:t>
      </w:r>
      <w:r>
        <w:rPr>
          <w:rFonts w:hint="eastAsia" w:ascii="仿宋_GB2312" w:hAnsi="仿宋_GB2312" w:eastAsia="仿宋_GB2312" w:cs="仿宋_GB2312"/>
          <w:b w:val="0"/>
          <w:bCs w:val="0"/>
          <w:sz w:val="32"/>
          <w:szCs w:val="32"/>
          <w:highlight w:val="none"/>
          <w:lang w:val="en-US" w:eastAsia="zh-CN"/>
        </w:rPr>
        <w:t>建多级联动</w:t>
      </w:r>
      <w:r>
        <w:rPr>
          <w:rFonts w:hint="eastAsia" w:ascii="仿宋_GB2312" w:hAnsi="仿宋_GB2312" w:eastAsia="仿宋_GB2312" w:cs="仿宋_GB2312"/>
          <w:b w:val="0"/>
          <w:bCs w:val="0"/>
          <w:sz w:val="32"/>
          <w:szCs w:val="32"/>
          <w:lang w:val="en-US" w:eastAsia="zh-CN"/>
        </w:rPr>
        <w:t>机制</w:t>
      </w:r>
      <w:r>
        <w:rPr>
          <w:rFonts w:hint="eastAsia" w:ascii="仿宋_GB2312" w:hAnsi="仿宋_GB2312" w:eastAsia="仿宋_GB2312" w:cs="仿宋_GB2312"/>
          <w:b w:val="0"/>
          <w:bCs w:val="0"/>
          <w:sz w:val="32"/>
          <w:szCs w:val="32"/>
          <w:highlight w:val="none"/>
          <w:lang w:val="en-US" w:eastAsia="zh-CN"/>
        </w:rPr>
        <w:t>，实现跨层级、跨部门、跨行业合力推动文化与金</w:t>
      </w:r>
      <w:r>
        <w:rPr>
          <w:rFonts w:hint="eastAsia" w:ascii="仿宋_GB2312" w:hAnsi="仿宋_GB2312" w:eastAsia="仿宋_GB2312" w:cs="仿宋_GB2312"/>
          <w:sz w:val="32"/>
          <w:szCs w:val="32"/>
          <w:highlight w:val="none"/>
          <w:lang w:val="en-US" w:eastAsia="zh-CN"/>
        </w:rPr>
        <w:t>融合作发展的局面，不断完善“文化+金融”深度融合发展的制度基础，为文化产业端和金融资本端形成长久有效的衔接机制提供政策保障。</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仿宋_GB2312" w:hAnsi="仿宋_GB2312" w:eastAsia="仿宋_GB2312" w:cs="仿宋_GB2312"/>
          <w:color w:val="000000"/>
          <w:sz w:val="32"/>
          <w:szCs w:val="32"/>
          <w:highlight w:val="none"/>
          <w:lang w:val="en-US" w:eastAsia="zh-CN"/>
        </w:rPr>
      </w:pPr>
      <w:r>
        <w:rPr>
          <w:rFonts w:hint="eastAsia" w:ascii="楷体_GB2312" w:hAnsi="楷体_GB2312" w:eastAsia="楷体_GB2312" w:cs="楷体_GB2312"/>
          <w:b/>
          <w:bCs/>
          <w:kern w:val="2"/>
          <w:sz w:val="32"/>
          <w:szCs w:val="32"/>
          <w:lang w:val="en-US" w:eastAsia="zh-CN" w:bidi="ar-SA"/>
        </w:rPr>
        <w:t>（二）推进文化艺术品产业集聚</w:t>
      </w:r>
      <w:r>
        <w:rPr>
          <w:rFonts w:hint="eastAsia" w:ascii="仿宋_GB2312" w:hAnsi="仿宋_GB2312" w:eastAsia="仿宋_GB2312" w:cs="仿宋_GB2312"/>
          <w:b w:val="0"/>
          <w:bCs w:val="0"/>
          <w:sz w:val="32"/>
          <w:szCs w:val="32"/>
          <w:lang w:val="en-US" w:eastAsia="zh-CN"/>
        </w:rPr>
        <w:t>。持续发挥文博会</w:t>
      </w:r>
      <w:bookmarkStart w:id="0" w:name="_Toc9270"/>
      <w:bookmarkStart w:id="1" w:name="_Toc9702"/>
      <w:bookmarkStart w:id="2" w:name="_Toc22767"/>
      <w:bookmarkStart w:id="3" w:name="_Toc20816"/>
      <w:bookmarkStart w:id="4" w:name="_Toc31995"/>
      <w:r>
        <w:rPr>
          <w:rFonts w:hint="eastAsia" w:ascii="仿宋_GB2312" w:hAnsi="仿宋_GB2312" w:eastAsia="仿宋_GB2312" w:cs="仿宋_GB2312"/>
          <w:b w:val="0"/>
          <w:bCs w:val="0"/>
          <w:sz w:val="32"/>
          <w:szCs w:val="32"/>
          <w:lang w:val="en-US" w:eastAsia="zh-CN"/>
        </w:rPr>
        <w:t>等国际展会的资源聚集作用，引进</w:t>
      </w:r>
      <w:r>
        <w:rPr>
          <w:rFonts w:hint="eastAsia" w:ascii="仿宋_GB2312" w:hAnsi="仿宋_GB2312" w:eastAsia="仿宋_GB2312" w:cs="仿宋_GB2312"/>
          <w:sz w:val="32"/>
          <w:szCs w:val="32"/>
          <w:highlight w:val="none"/>
        </w:rPr>
        <w:t>国际</w:t>
      </w:r>
      <w:r>
        <w:rPr>
          <w:rFonts w:hint="eastAsia" w:ascii="仿宋_GB2312" w:hAnsi="仿宋_GB2312" w:eastAsia="仿宋_GB2312" w:cs="仿宋_GB2312"/>
          <w:sz w:val="32"/>
          <w:szCs w:val="32"/>
          <w:highlight w:val="none"/>
          <w:lang w:eastAsia="zh-CN"/>
        </w:rPr>
        <w:t>国内优质艺术品拍卖平台在我区举办预展与拍卖活动。</w:t>
      </w:r>
      <w:r>
        <w:rPr>
          <w:rFonts w:hint="eastAsia" w:ascii="仿宋_GB2312" w:hAnsi="仿宋_GB2312" w:eastAsia="仿宋_GB2312" w:cs="仿宋_GB2312"/>
          <w:color w:val="000000"/>
          <w:sz w:val="32"/>
          <w:szCs w:val="32"/>
          <w:highlight w:val="none"/>
          <w:lang w:eastAsia="zh-CN"/>
        </w:rPr>
        <w:t>针对文化艺术品拍卖的各环节需求，</w:t>
      </w:r>
      <w:r>
        <w:rPr>
          <w:rFonts w:hint="eastAsia" w:ascii="仿宋_GB2312" w:hAnsi="仿宋_GB2312" w:eastAsia="仿宋_GB2312" w:cs="仿宋_GB2312"/>
          <w:color w:val="000000"/>
          <w:sz w:val="32"/>
          <w:szCs w:val="32"/>
          <w:highlight w:val="none"/>
        </w:rPr>
        <w:t>加强空间资源统筹，</w:t>
      </w:r>
      <w:r>
        <w:rPr>
          <w:rFonts w:hint="eastAsia" w:ascii="仿宋_GB2312" w:hAnsi="仿宋_GB2312" w:eastAsia="仿宋_GB2312" w:cs="仿宋_GB2312"/>
          <w:color w:val="000000"/>
          <w:sz w:val="32"/>
          <w:szCs w:val="32"/>
          <w:highlight w:val="none"/>
          <w:lang w:eastAsia="zh-CN"/>
        </w:rPr>
        <w:t>挖掘</w:t>
      </w:r>
      <w:r>
        <w:rPr>
          <w:rFonts w:hint="eastAsia" w:ascii="仿宋_GB2312" w:hAnsi="仿宋_GB2312" w:eastAsia="仿宋_GB2312" w:cs="仿宋_GB2312"/>
          <w:color w:val="000000"/>
          <w:sz w:val="32"/>
          <w:szCs w:val="32"/>
          <w:highlight w:val="none"/>
        </w:rPr>
        <w:t>空间</w:t>
      </w:r>
      <w:bookmarkEnd w:id="0"/>
      <w:bookmarkEnd w:id="1"/>
      <w:bookmarkEnd w:id="2"/>
      <w:bookmarkEnd w:id="3"/>
      <w:bookmarkEnd w:id="4"/>
      <w:r>
        <w:rPr>
          <w:rFonts w:hint="eastAsia" w:ascii="仿宋_GB2312" w:hAnsi="仿宋_GB2312" w:eastAsia="仿宋_GB2312" w:cs="仿宋_GB2312"/>
          <w:color w:val="000000"/>
          <w:sz w:val="32"/>
          <w:szCs w:val="32"/>
          <w:highlight w:val="none"/>
        </w:rPr>
        <w:t>发展潜力</w:t>
      </w:r>
      <w:r>
        <w:rPr>
          <w:rFonts w:hint="eastAsia" w:ascii="仿宋_GB2312" w:hAnsi="仿宋_GB2312" w:eastAsia="仿宋_GB2312" w:cs="仿宋_GB2312"/>
          <w:color w:val="000000"/>
          <w:sz w:val="32"/>
          <w:szCs w:val="32"/>
          <w:highlight w:val="none"/>
          <w:lang w:eastAsia="zh-CN"/>
        </w:rPr>
        <w:t>，</w:t>
      </w:r>
      <w:r>
        <w:rPr>
          <w:rFonts w:hint="eastAsia" w:ascii="仿宋_GB2312" w:hAnsi="仿宋_GB2312" w:eastAsia="仿宋_GB2312" w:cs="仿宋_GB2312"/>
          <w:color w:val="000000"/>
          <w:sz w:val="32"/>
          <w:szCs w:val="32"/>
          <w:highlight w:val="none"/>
        </w:rPr>
        <w:t>实现</w:t>
      </w:r>
      <w:r>
        <w:rPr>
          <w:rFonts w:hint="eastAsia" w:ascii="仿宋_GB2312" w:hAnsi="仿宋_GB2312" w:eastAsia="仿宋_GB2312" w:cs="仿宋_GB2312"/>
          <w:color w:val="000000"/>
          <w:sz w:val="32"/>
          <w:szCs w:val="32"/>
          <w:highlight w:val="none"/>
          <w:lang w:eastAsia="zh-CN"/>
        </w:rPr>
        <w:t>产业</w:t>
      </w:r>
      <w:r>
        <w:rPr>
          <w:rFonts w:hint="eastAsia" w:ascii="仿宋_GB2312" w:hAnsi="仿宋_GB2312" w:eastAsia="仿宋_GB2312" w:cs="仿宋_GB2312"/>
          <w:color w:val="000000"/>
          <w:sz w:val="32"/>
          <w:szCs w:val="32"/>
          <w:highlight w:val="none"/>
        </w:rPr>
        <w:t>集聚发展、错位发展</w:t>
      </w:r>
      <w:r>
        <w:rPr>
          <w:rFonts w:hint="eastAsia" w:ascii="仿宋_GB2312" w:hAnsi="仿宋_GB2312" w:eastAsia="仿宋_GB2312" w:cs="仿宋_GB2312"/>
          <w:color w:val="000000"/>
          <w:sz w:val="32"/>
          <w:szCs w:val="32"/>
          <w:highlight w:val="none"/>
          <w:lang w:eastAsia="zh-CN"/>
        </w:rPr>
        <w:t>、协同发展</w:t>
      </w:r>
      <w:r>
        <w:rPr>
          <w:rFonts w:hint="eastAsia" w:ascii="仿宋_GB2312" w:hAnsi="仿宋_GB2312" w:eastAsia="仿宋_GB2312" w:cs="仿宋_GB2312"/>
          <w:color w:val="000000"/>
          <w:sz w:val="32"/>
          <w:szCs w:val="32"/>
          <w:highlight w:val="none"/>
        </w:rPr>
        <w:t>。进一步加强市区联动，集中力量招商引资，吸引</w:t>
      </w:r>
      <w:r>
        <w:rPr>
          <w:rFonts w:hint="eastAsia" w:ascii="仿宋_GB2312" w:hAnsi="仿宋_GB2312" w:eastAsia="仿宋_GB2312" w:cs="仿宋_GB2312"/>
          <w:color w:val="000000"/>
          <w:sz w:val="32"/>
          <w:szCs w:val="32"/>
          <w:highlight w:val="none"/>
          <w:lang w:eastAsia="zh-CN"/>
        </w:rPr>
        <w:t>更多艺术品拍卖、艺术品展陈和艺术品第三方专业机构</w:t>
      </w:r>
      <w:r>
        <w:rPr>
          <w:rFonts w:hint="eastAsia" w:ascii="仿宋_GB2312" w:hAnsi="仿宋_GB2312" w:eastAsia="仿宋_GB2312" w:cs="仿宋_GB2312"/>
          <w:color w:val="000000"/>
          <w:sz w:val="32"/>
          <w:szCs w:val="32"/>
          <w:highlight w:val="none"/>
        </w:rPr>
        <w:t>落户福田，为福田</w:t>
      </w:r>
      <w:r>
        <w:rPr>
          <w:rFonts w:hint="eastAsia" w:ascii="仿宋_GB2312" w:hAnsi="仿宋_GB2312" w:eastAsia="仿宋_GB2312" w:cs="仿宋_GB2312"/>
          <w:color w:val="000000"/>
          <w:sz w:val="32"/>
          <w:szCs w:val="32"/>
          <w:highlight w:val="none"/>
          <w:lang w:eastAsia="zh-CN"/>
        </w:rPr>
        <w:t>文创</w:t>
      </w:r>
      <w:r>
        <w:rPr>
          <w:rFonts w:hint="eastAsia" w:ascii="仿宋_GB2312" w:hAnsi="仿宋_GB2312" w:eastAsia="仿宋_GB2312" w:cs="仿宋_GB2312"/>
          <w:color w:val="000000"/>
          <w:sz w:val="32"/>
          <w:szCs w:val="32"/>
          <w:highlight w:val="none"/>
        </w:rPr>
        <w:t>产业发展注入新动力。</w:t>
      </w:r>
    </w:p>
    <w:p>
      <w:pPr>
        <w:keepNext w:val="0"/>
        <w:keepLines w:val="0"/>
        <w:pageBreakBefore w:val="0"/>
        <w:widowControl w:val="0"/>
        <w:kinsoku/>
        <w:wordWrap/>
        <w:overflowPunct/>
        <w:topLinePunct w:val="0"/>
        <w:autoSpaceDE/>
        <w:autoSpaceDN/>
        <w:bidi w:val="0"/>
        <w:adjustRightInd/>
        <w:snapToGrid/>
        <w:spacing w:line="560" w:lineRule="exact"/>
        <w:ind w:firstLine="642" w:firstLineChars="200"/>
        <w:textAlignment w:val="auto"/>
        <w:rPr>
          <w:rFonts w:hint="eastAsia" w:ascii="Times New Roman" w:hAnsi="Times New Roman" w:eastAsia="仿宋_GB2312" w:cs="Times New Roman"/>
          <w:sz w:val="32"/>
          <w:lang w:val="en-US" w:eastAsia="zh-CN"/>
        </w:rPr>
      </w:pPr>
      <w:bookmarkStart w:id="5" w:name="_Toc13796_WPSOffice_Level2"/>
      <w:bookmarkStart w:id="6" w:name="_Toc13637_WPSOffice_Level2"/>
      <w:bookmarkStart w:id="7" w:name="_Toc23752"/>
      <w:bookmarkStart w:id="8" w:name="_Toc17895"/>
      <w:bookmarkStart w:id="9" w:name="_Toc1736"/>
      <w:bookmarkStart w:id="10" w:name="_Toc12582"/>
      <w:bookmarkStart w:id="11" w:name="_Toc28493"/>
      <w:bookmarkStart w:id="12" w:name="_Toc14158"/>
      <w:bookmarkStart w:id="13" w:name="_Toc63117809"/>
      <w:bookmarkStart w:id="14" w:name="_Toc25225"/>
      <w:r>
        <w:rPr>
          <w:rFonts w:hint="eastAsia" w:ascii="楷体_GB2312" w:hAnsi="楷体_GB2312" w:eastAsia="楷体_GB2312" w:cs="楷体_GB2312"/>
          <w:b/>
          <w:bCs/>
          <w:color w:val="000000"/>
          <w:sz w:val="32"/>
          <w:highlight w:val="none"/>
        </w:rPr>
        <w:t>（三）优化扩大对外开放市场环境</w:t>
      </w:r>
      <w:bookmarkEnd w:id="5"/>
      <w:bookmarkEnd w:id="6"/>
      <w:bookmarkEnd w:id="7"/>
      <w:bookmarkEnd w:id="8"/>
      <w:bookmarkEnd w:id="9"/>
      <w:bookmarkEnd w:id="10"/>
      <w:bookmarkEnd w:id="11"/>
      <w:bookmarkEnd w:id="12"/>
      <w:bookmarkEnd w:id="13"/>
      <w:bookmarkEnd w:id="14"/>
      <w:r>
        <w:rPr>
          <w:rFonts w:hint="eastAsia" w:ascii="楷体_GB2312" w:hAnsi="楷体_GB2312" w:eastAsia="楷体_GB2312" w:cs="楷体_GB2312"/>
          <w:b/>
          <w:bCs/>
          <w:color w:val="000000"/>
          <w:sz w:val="32"/>
          <w:highlight w:val="none"/>
          <w:lang w:eastAsia="zh-CN"/>
        </w:rPr>
        <w:t>。</w:t>
      </w:r>
      <w:r>
        <w:rPr>
          <w:rFonts w:hint="eastAsia" w:ascii="仿宋_GB2312" w:hAnsi="仿宋_GB2312" w:eastAsia="仿宋_GB2312" w:cs="仿宋_GB2312"/>
          <w:sz w:val="32"/>
          <w:szCs w:val="32"/>
          <w:lang w:val="en-US" w:eastAsia="zh-CN"/>
        </w:rPr>
        <w:t>建立多部门的协同机制，打通艺术品拍卖交易产业链，发展国际文化艺术品保税交易及拍卖、文化产品进出口保税仓储物流、文化艺术品国际会展、国际文化市场信息服务等业态，加快发展文化服务贸易，打造高度融合的文化贸易服务链，搭建进出口高端服务平台。支持国内拍卖行业协会参与国际交流、人才引进、要素引进，加速与国际艺术品拍卖市场接轨。</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特此回复。</w:t>
      </w:r>
    </w:p>
    <w:p>
      <w:pPr>
        <w:pStyle w:val="4"/>
      </w:pP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right"/>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福田区文化广电旅游体育局   </w:t>
      </w:r>
    </w:p>
    <w:p>
      <w:pPr>
        <w:keepNext w:val="0"/>
        <w:keepLines w:val="0"/>
        <w:pageBreakBefore w:val="0"/>
        <w:widowControl w:val="0"/>
        <w:numPr>
          <w:ilvl w:val="0"/>
          <w:numId w:val="0"/>
        </w:numPr>
        <w:kinsoku/>
        <w:wordWrap/>
        <w:overflowPunct/>
        <w:topLinePunct w:val="0"/>
        <w:autoSpaceDE/>
        <w:autoSpaceDN/>
        <w:bidi w:val="0"/>
        <w:adjustRightInd/>
        <w:snapToGrid/>
        <w:spacing w:line="480" w:lineRule="exact"/>
        <w:ind w:firstLine="640" w:firstLineChars="200"/>
        <w:jc w:val="center"/>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 xml:space="preserve">                            2022年7月27日</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320" w:firstLineChars="100"/>
        <w:jc w:val="both"/>
        <w:textAlignment w:val="auto"/>
        <w:rPr>
          <w:rFonts w:hint="eastAsia" w:ascii="仿宋_GB2312" w:hAnsi="仿宋_GB2312" w:eastAsia="仿宋_GB2312" w:cs="仿宋_GB2312"/>
          <w:kern w:val="2"/>
          <w:sz w:val="32"/>
          <w:szCs w:val="32"/>
          <w:lang w:val="en-US" w:eastAsia="zh-CN" w:bidi="ar-SA"/>
        </w:rPr>
      </w:pPr>
    </w:p>
    <w:sectPr>
      <w:headerReference r:id="rId3" w:type="default"/>
      <w:footerReference r:id="rId4" w:type="default"/>
      <w:footerReference r:id="rId5" w:type="even"/>
      <w:pgSz w:w="11906" w:h="16838"/>
      <w:pgMar w:top="2098" w:right="1474" w:bottom="1984" w:left="1588" w:header="851" w:footer="992" w:gutter="0"/>
      <w:pgNumType w:fmt="numberInDash"/>
      <w:cols w:space="0" w:num="1"/>
      <w:titlePg/>
      <w:docGrid w:type="lines" w:linePitch="318"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方正仿宋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- 3 -</w:t>
                    </w:r>
                    <w:r>
                      <w:rPr>
                        <w:rFonts w:hint="eastAsia" w:ascii="宋体" w:hAnsi="宋体" w:cs="宋体"/>
                        <w:sz w:val="28"/>
                        <w:szCs w:val="28"/>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">
              <v:fill on="f" focussize="0,0"/>
              <v:stroke on="f" weight="1.25pt"/>
              <v:imagedata o:title=""/>
              <o:lock v:ext="edit" aspectratio="f"/>
              <v:textbox inset="0mm,0mm,0mm,0mm" style="mso-fit-shape-to-text:t;">
                <w:txbxContent>
                  <w:p>
                    <w:pPr>
                      <w:snapToGrid w:val="0"/>
                      <w:rPr>
                        <w:sz w:val="1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ascii="宋体" w:hAnsi="宋体" w:cs="宋体"/>
                        <w:sz w:val="28"/>
                        <w:szCs w:val="28"/>
                      </w:rPr>
                      <w:t>- 2 -</w:t>
                    </w:r>
                    <w:r>
                      <w:rPr>
                        <w:rFonts w:hint="eastAsia" w:ascii="宋体" w:hAnsi="宋体" w:cs="宋体"/>
                        <w:sz w:val="28"/>
                        <w:szCs w:val="28"/>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04639EC"/>
    <w:multiLevelType w:val="singleLevel"/>
    <w:tmpl w:val="504639EC"/>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evenAndOddHeaders w:val="1"/>
  <w:drawingGridHorizontalSpacing w:val="105"/>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GRjNGJhZDJjYjM5YmYxYzcwNDliOTdhMTgwZTBmM2IifQ=="/>
  </w:docVars>
  <w:rsids>
    <w:rsidRoot w:val="00134C6A"/>
    <w:rsid w:val="00134C6A"/>
    <w:rsid w:val="00174538"/>
    <w:rsid w:val="00237196"/>
    <w:rsid w:val="002D531E"/>
    <w:rsid w:val="00373A09"/>
    <w:rsid w:val="00380B0D"/>
    <w:rsid w:val="003E3402"/>
    <w:rsid w:val="00404F3D"/>
    <w:rsid w:val="005A5C7D"/>
    <w:rsid w:val="005E0132"/>
    <w:rsid w:val="00696BBE"/>
    <w:rsid w:val="006D4C72"/>
    <w:rsid w:val="00724E20"/>
    <w:rsid w:val="007B0B9B"/>
    <w:rsid w:val="007B49A7"/>
    <w:rsid w:val="0082275C"/>
    <w:rsid w:val="00835B96"/>
    <w:rsid w:val="008B0D0B"/>
    <w:rsid w:val="008C1051"/>
    <w:rsid w:val="009179B5"/>
    <w:rsid w:val="00B459A1"/>
    <w:rsid w:val="00B66D7A"/>
    <w:rsid w:val="00BC049F"/>
    <w:rsid w:val="00BF01DE"/>
    <w:rsid w:val="00C71C8D"/>
    <w:rsid w:val="00C83C93"/>
    <w:rsid w:val="00CA4F4D"/>
    <w:rsid w:val="00D60F28"/>
    <w:rsid w:val="00D86C0F"/>
    <w:rsid w:val="00E14BB5"/>
    <w:rsid w:val="00F479FE"/>
    <w:rsid w:val="00F62440"/>
    <w:rsid w:val="00F84484"/>
    <w:rsid w:val="00FB0314"/>
    <w:rsid w:val="03221709"/>
    <w:rsid w:val="04537430"/>
    <w:rsid w:val="04D62557"/>
    <w:rsid w:val="06030028"/>
    <w:rsid w:val="0991517B"/>
    <w:rsid w:val="0B484D78"/>
    <w:rsid w:val="0C17605D"/>
    <w:rsid w:val="0CA65A91"/>
    <w:rsid w:val="0D610DB7"/>
    <w:rsid w:val="0F2C08E0"/>
    <w:rsid w:val="0F6D4D62"/>
    <w:rsid w:val="12FD414F"/>
    <w:rsid w:val="13873E11"/>
    <w:rsid w:val="144D7CB3"/>
    <w:rsid w:val="14984FFB"/>
    <w:rsid w:val="15350BFC"/>
    <w:rsid w:val="15AA7FFA"/>
    <w:rsid w:val="15DD02BA"/>
    <w:rsid w:val="1761417C"/>
    <w:rsid w:val="178847A7"/>
    <w:rsid w:val="17AC1CA0"/>
    <w:rsid w:val="18672888"/>
    <w:rsid w:val="19AD7F51"/>
    <w:rsid w:val="1A3703F7"/>
    <w:rsid w:val="1A797370"/>
    <w:rsid w:val="1AD26244"/>
    <w:rsid w:val="1C0D7620"/>
    <w:rsid w:val="1C912D21"/>
    <w:rsid w:val="1D4705C4"/>
    <w:rsid w:val="1F952792"/>
    <w:rsid w:val="20701DD3"/>
    <w:rsid w:val="21051C3C"/>
    <w:rsid w:val="22CE7B5B"/>
    <w:rsid w:val="22D40590"/>
    <w:rsid w:val="232C4986"/>
    <w:rsid w:val="2411332C"/>
    <w:rsid w:val="263F023E"/>
    <w:rsid w:val="26617092"/>
    <w:rsid w:val="27C31D8C"/>
    <w:rsid w:val="27EC0532"/>
    <w:rsid w:val="2876183C"/>
    <w:rsid w:val="28AC1306"/>
    <w:rsid w:val="29645880"/>
    <w:rsid w:val="2A7651E2"/>
    <w:rsid w:val="2C27481C"/>
    <w:rsid w:val="2FCA3B1A"/>
    <w:rsid w:val="33A877AB"/>
    <w:rsid w:val="364460F3"/>
    <w:rsid w:val="37130486"/>
    <w:rsid w:val="37644C06"/>
    <w:rsid w:val="37C438D6"/>
    <w:rsid w:val="382B5A98"/>
    <w:rsid w:val="39812470"/>
    <w:rsid w:val="39A925F0"/>
    <w:rsid w:val="39F006E1"/>
    <w:rsid w:val="3B70245C"/>
    <w:rsid w:val="3BC14AE7"/>
    <w:rsid w:val="3D2A08C7"/>
    <w:rsid w:val="3D764DA9"/>
    <w:rsid w:val="3D8A309D"/>
    <w:rsid w:val="3E8E26A9"/>
    <w:rsid w:val="3F3401C0"/>
    <w:rsid w:val="3F927DB3"/>
    <w:rsid w:val="3FBC2BA7"/>
    <w:rsid w:val="3FE905EF"/>
    <w:rsid w:val="41AD0584"/>
    <w:rsid w:val="43090509"/>
    <w:rsid w:val="436E6CBC"/>
    <w:rsid w:val="43EC6F65"/>
    <w:rsid w:val="45CD64F9"/>
    <w:rsid w:val="46D0225D"/>
    <w:rsid w:val="489C431E"/>
    <w:rsid w:val="48AD0877"/>
    <w:rsid w:val="49E81342"/>
    <w:rsid w:val="4AA424DC"/>
    <w:rsid w:val="4C4D523C"/>
    <w:rsid w:val="4D0F5B39"/>
    <w:rsid w:val="4D2049C0"/>
    <w:rsid w:val="4EF11D85"/>
    <w:rsid w:val="50C51112"/>
    <w:rsid w:val="581E7443"/>
    <w:rsid w:val="5AF14874"/>
    <w:rsid w:val="5BD771F3"/>
    <w:rsid w:val="5FA2743C"/>
    <w:rsid w:val="60AD5CAC"/>
    <w:rsid w:val="613B6B9D"/>
    <w:rsid w:val="642E56B6"/>
    <w:rsid w:val="64C4733D"/>
    <w:rsid w:val="652B6FD5"/>
    <w:rsid w:val="667648A8"/>
    <w:rsid w:val="675757ED"/>
    <w:rsid w:val="69AE6ED6"/>
    <w:rsid w:val="6AFC02A1"/>
    <w:rsid w:val="6BC2371B"/>
    <w:rsid w:val="6BFF7B16"/>
    <w:rsid w:val="6C5437FF"/>
    <w:rsid w:val="6D337F2C"/>
    <w:rsid w:val="708714DB"/>
    <w:rsid w:val="73306A3B"/>
    <w:rsid w:val="73E6120B"/>
    <w:rsid w:val="74A07D74"/>
    <w:rsid w:val="758C6EDC"/>
    <w:rsid w:val="78806BAF"/>
    <w:rsid w:val="79093BDF"/>
    <w:rsid w:val="79120848"/>
    <w:rsid w:val="7C345182"/>
    <w:rsid w:val="7C405D10"/>
    <w:rsid w:val="7D98504D"/>
    <w:rsid w:val="7E5D6B12"/>
    <w:rsid w:val="7EC442DE"/>
    <w:rsid w:val="7ED772A3"/>
    <w:rsid w:val="7FA51F7A"/>
    <w:rsid w:val="CABE0D68"/>
    <w:rsid w:val="EDFF7EE4"/>
    <w:rsid w:val="F6FA5439"/>
    <w:rsid w:val="F7F7B828"/>
    <w:rsid w:val="FD370318"/>
    <w:rsid w:val="FDEF3C5D"/>
    <w:rsid w:val="FFDE663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qFormat="1" w:uiPriority="99" w:semiHidden="0" w:name="header"/>
    <w:lsdException w:qFormat="1"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semiHidden="0"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qFormat="1" w:uiPriority="99" w:semiHidden="0" w:name="Date"/>
    <w:lsdException w:qFormat="1" w:uiPriority="99"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semiHidden="0"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qFormat/>
    <w:uiPriority w:val="9"/>
    <w:pPr>
      <w:spacing w:before="100" w:beforeAutospacing="1" w:after="100" w:afterAutospacing="1"/>
      <w:jc w:val="left"/>
    </w:pPr>
    <w:rPr>
      <w:rFonts w:hint="eastAsia" w:ascii="宋体" w:hAnsi="宋体" w:eastAsia="宋体" w:cs="宋体"/>
      <w:b/>
      <w:kern w:val="44"/>
      <w:sz w:val="48"/>
      <w:szCs w:val="48"/>
      <w:lang w:val="en-US" w:eastAsia="zh-CN" w:bidi="ar"/>
    </w:rPr>
  </w:style>
  <w:style w:type="character" w:default="1" w:styleId="10">
    <w:name w:val="Default Paragraph Font"/>
    <w:unhideWhenUsed/>
    <w:qFormat/>
    <w:uiPriority w:val="1"/>
  </w:style>
  <w:style w:type="table" w:default="1" w:styleId="8">
    <w:name w:val="Normal Table"/>
    <w:unhideWhenUsed/>
    <w:qFormat/>
    <w:uiPriority w:val="99"/>
    <w:tblPr>
      <w:tblCellMar>
        <w:top w:w="0" w:type="dxa"/>
        <w:left w:w="108" w:type="dxa"/>
        <w:bottom w:w="0" w:type="dxa"/>
        <w:right w:w="108" w:type="dxa"/>
      </w:tblCellMar>
    </w:tblPr>
  </w:style>
  <w:style w:type="paragraph" w:styleId="2">
    <w:name w:val="Body Text First Indent"/>
    <w:basedOn w:val="3"/>
    <w:next w:val="1"/>
    <w:unhideWhenUsed/>
    <w:qFormat/>
    <w:uiPriority w:val="99"/>
    <w:pPr>
      <w:spacing w:after="120"/>
      <w:ind w:firstLine="420" w:firstLineChars="100"/>
    </w:pPr>
    <w:rPr>
      <w:rFonts w:ascii="Calibri" w:hAnsi="Calibri"/>
    </w:rPr>
  </w:style>
  <w:style w:type="paragraph" w:styleId="3">
    <w:name w:val="Body Text"/>
    <w:basedOn w:val="1"/>
    <w:next w:val="1"/>
    <w:qFormat/>
    <w:uiPriority w:val="0"/>
    <w:pPr>
      <w:jc w:val="center"/>
    </w:pPr>
    <w:rPr>
      <w:rFonts w:ascii="宋体"/>
      <w:sz w:val="44"/>
    </w:rPr>
  </w:style>
  <w:style w:type="paragraph" w:styleId="5">
    <w:name w:val="Date"/>
    <w:basedOn w:val="1"/>
    <w:next w:val="1"/>
    <w:link w:val="13"/>
    <w:unhideWhenUsed/>
    <w:qFormat/>
    <w:uiPriority w:val="99"/>
    <w:pPr>
      <w:ind w:left="100" w:leftChars="2500"/>
    </w:pPr>
  </w:style>
  <w:style w:type="paragraph" w:styleId="6">
    <w:name w:val="footer"/>
    <w:basedOn w:val="1"/>
    <w:link w:val="12"/>
    <w:unhideWhenUsed/>
    <w:qFormat/>
    <w:uiPriority w:val="99"/>
    <w:pPr>
      <w:tabs>
        <w:tab w:val="center" w:pos="4153"/>
        <w:tab w:val="right" w:pos="8306"/>
      </w:tabs>
      <w:snapToGrid w:val="0"/>
      <w:jc w:val="left"/>
    </w:pPr>
    <w:rPr>
      <w:rFonts w:ascii="Calibri" w:hAnsi="Calibri"/>
      <w:sz w:val="18"/>
      <w:szCs w:val="18"/>
    </w:rPr>
  </w:style>
  <w:style w:type="paragraph" w:styleId="7">
    <w:name w:val="header"/>
    <w:basedOn w:val="1"/>
    <w:link w:val="11"/>
    <w:unhideWhenUsed/>
    <w:qFormat/>
    <w:uiPriority w:val="99"/>
    <w:pPr>
      <w:tabs>
        <w:tab w:val="center" w:pos="4153"/>
        <w:tab w:val="right" w:pos="8306"/>
      </w:tabs>
      <w:snapToGrid w:val="0"/>
      <w:jc w:val="center"/>
    </w:pPr>
    <w:rPr>
      <w:rFonts w:ascii="Calibri" w:hAnsi="Calibri"/>
      <w:sz w:val="18"/>
      <w:szCs w:val="18"/>
    </w:rPr>
  </w:style>
  <w:style w:type="table" w:styleId="9">
    <w:name w:val="Table Grid"/>
    <w:basedOn w:val="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11">
    <w:name w:val="页眉 Char"/>
    <w:basedOn w:val="10"/>
    <w:link w:val="7"/>
    <w:qFormat/>
    <w:uiPriority w:val="99"/>
    <w:rPr>
      <w:sz w:val="18"/>
      <w:szCs w:val="18"/>
    </w:rPr>
  </w:style>
  <w:style w:type="character" w:customStyle="1" w:styleId="12">
    <w:name w:val="页脚 Char"/>
    <w:basedOn w:val="10"/>
    <w:link w:val="6"/>
    <w:qFormat/>
    <w:uiPriority w:val="99"/>
    <w:rPr>
      <w:sz w:val="18"/>
      <w:szCs w:val="18"/>
    </w:rPr>
  </w:style>
  <w:style w:type="character" w:customStyle="1" w:styleId="13">
    <w:name w:val="日期 Char"/>
    <w:basedOn w:val="10"/>
    <w:link w:val="5"/>
    <w:semiHidden/>
    <w:qFormat/>
    <w:uiPriority w:val="99"/>
    <w:rPr>
      <w:rFonts w:ascii="Times New Roman" w:hAnsi="Times New Roman" w:eastAsia="宋体" w:cs="Times New Roman"/>
      <w:szCs w:val="24"/>
    </w:rPr>
  </w:style>
  <w:style w:type="paragraph" w:customStyle="1" w:styleId="14">
    <w:name w:val="引文目录标题1"/>
    <w:next w:val="1"/>
    <w:qFormat/>
    <w:uiPriority w:val="0"/>
    <w:pPr>
      <w:widowControl w:val="0"/>
      <w:spacing w:line="360" w:lineRule="auto"/>
      <w:ind w:firstLine="480"/>
      <w:jc w:val="both"/>
    </w:pPr>
    <w:rPr>
      <w:rFonts w:ascii="Arial" w:hAnsi="Arial" w:eastAsia="Arial" w:cs="Arial"/>
      <w:color w:val="000000"/>
      <w:sz w:val="24"/>
      <w:szCs w:val="24"/>
      <w:lang w:val="en-US" w:eastAsia="zh-CN" w:bidi="ar-SA"/>
    </w:rPr>
  </w:style>
  <w:style w:type="paragraph" w:customStyle="1" w:styleId="15">
    <w:name w:val="_Style 1"/>
    <w:basedOn w:val="1"/>
    <w:qFormat/>
    <w:uiPriority w:val="99"/>
    <w:pPr>
      <w:ind w:firstLine="420" w:firstLineChars="200"/>
    </w:pPr>
    <w:rPr>
      <w:rFonts w:ascii="Calibri" w:hAnsi="Calibri" w:eastAsia="宋体"/>
    </w:rPr>
  </w:style>
  <w:style w:type="paragraph" w:customStyle="1" w:styleId="16">
    <w:name w:val="Heading1"/>
    <w:basedOn w:val="1"/>
    <w:next w:val="1"/>
    <w:qFormat/>
    <w:uiPriority w:val="0"/>
    <w:pPr>
      <w:spacing w:after="0"/>
      <w:ind w:firstLine="640" w:firstLineChars="200"/>
      <w:jc w:val="both"/>
      <w:textAlignment w:val="baseline"/>
    </w:pPr>
    <w:rPr>
      <w:rFonts w:ascii="Times New Roman" w:hAnsi="Times New Roman" w:eastAsia="黑体"/>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Chinese ORG</Company>
  <Pages>5</Pages>
  <Words>2323</Words>
  <Characters>2352</Characters>
  <Lines>5</Lines>
  <Paragraphs>1</Paragraphs>
  <TotalTime>52</TotalTime>
  <ScaleCrop>false</ScaleCrop>
  <LinksUpToDate>false</LinksUpToDate>
  <CharactersWithSpaces>2397</CharactersWithSpaces>
  <Application>WPS Office_11.8.2.11851_F1E327BC-269C-435d-A152-05C5408002CA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2015-04-03T01:52:00Z</dcterms:created>
  <dc:creator>tangyun</dc:creator>
  <cp:lastModifiedBy>zengxin1</cp:lastModifiedBy>
  <cp:lastPrinted>2022-07-31T19:48:00Z</cp:lastPrinted>
  <dcterms:modified xsi:type="dcterms:W3CDTF">2024-06-25T14:18:30Z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2052-11.8.2.11851</vt:lpwstr>
  </property>
  <property fmtid="{D5CDD505-2E9C-101B-9397-08002B2CF9AE}" pid="3" name="ICV">
    <vt:lpwstr>C516505F1B7D4462AC5B7E1D0C736CB8</vt:lpwstr>
  </property>
</Properties>
</file>