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161" w:type="pct"/>
        <w:tblInd w:w="0" w:type="dxa"/>
        <w:tblLayout w:type="fixed"/>
        <w:tblCellMar>
          <w:top w:w="0" w:type="dxa"/>
          <w:left w:w="108" w:type="dxa"/>
          <w:bottom w:w="0" w:type="dxa"/>
          <w:right w:w="108" w:type="dxa"/>
        </w:tblCellMar>
      </w:tblPr>
      <w:tblGrid>
        <w:gridCol w:w="883"/>
        <w:gridCol w:w="2719"/>
        <w:gridCol w:w="881"/>
        <w:gridCol w:w="1185"/>
        <w:gridCol w:w="4035"/>
      </w:tblGrid>
      <w:tr>
        <w:tblPrEx>
          <w:tblCellMar>
            <w:top w:w="0" w:type="dxa"/>
            <w:left w:w="108" w:type="dxa"/>
            <w:bottom w:w="0" w:type="dxa"/>
            <w:right w:w="108" w:type="dxa"/>
          </w:tblCellMar>
        </w:tblPrEx>
        <w:trPr>
          <w:trHeight w:val="1312" w:hRule="exac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185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w:t>
            </w:r>
            <w:r>
              <w:rPr>
                <w:rFonts w:hint="eastAsia" w:ascii="仿宋_GB2312" w:hAnsi="仿宋_GB2312" w:eastAsia="仿宋_GB2312" w:cs="仿宋_GB2312"/>
                <w:kern w:val="0"/>
                <w:sz w:val="24"/>
              </w:rPr>
              <w:t>开展3万元以上服务类、货物类项目预算审核服务　</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207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3万（含）—20万（不含）1200元</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20万（含）—50万（不含）2200元</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50万（含）—100万（不含）2800元</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预算总额28万</w:t>
            </w:r>
            <w:bookmarkStart w:id="0" w:name="_GoBack"/>
            <w:bookmarkEnd w:id="0"/>
          </w:p>
        </w:tc>
      </w:tr>
      <w:tr>
        <w:tblPrEx>
          <w:tblCellMar>
            <w:top w:w="0" w:type="dxa"/>
            <w:left w:w="108" w:type="dxa"/>
            <w:bottom w:w="0" w:type="dxa"/>
            <w:right w:w="108" w:type="dxa"/>
          </w:tblCellMar>
        </w:tblPrEx>
        <w:trPr>
          <w:trHeight w:val="687" w:hRule="exac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185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党政办</w:t>
            </w:r>
          </w:p>
        </w:tc>
        <w:tc>
          <w:tcPr>
            <w:tcW w:w="61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207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郭女士</w:t>
            </w:r>
          </w:p>
        </w:tc>
      </w:tr>
      <w:tr>
        <w:tblPrEx>
          <w:tblCellMar>
            <w:top w:w="0" w:type="dxa"/>
            <w:left w:w="108" w:type="dxa"/>
            <w:bottom w:w="0" w:type="dxa"/>
            <w:right w:w="108" w:type="dxa"/>
          </w:tblCellMar>
        </w:tblPrEx>
        <w:trPr>
          <w:trHeight w:val="240"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40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45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6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1050"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54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为进一步规范我街道自行采购工作，按照物有所值的原则，严格控制各项经费支出，2024年拟继续通过购买第三方服务的方式对3万元以上自行采购的货物类、服务类项目进行预算审核，以提高财政支出管理水平，确保财政资金使用效益。</w:t>
            </w:r>
          </w:p>
        </w:tc>
      </w:tr>
      <w:tr>
        <w:tblPrEx>
          <w:tblCellMar>
            <w:top w:w="0" w:type="dxa"/>
            <w:left w:w="108" w:type="dxa"/>
            <w:bottom w:w="0" w:type="dxa"/>
            <w:right w:w="108" w:type="dxa"/>
          </w:tblCellMar>
        </w:tblPrEx>
        <w:trPr>
          <w:trHeight w:val="712" w:hRule="atLeast"/>
        </w:trPr>
        <w:tc>
          <w:tcPr>
            <w:tcW w:w="45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54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项目内容：</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一、审核范围：审核范围为单个项目报价金额在3万元（含）以上的项目。</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二、审核目标：乙方在甲方提供的所有资料的基础上，针对以下几个方面对各项目的报价方案进行审核：</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1、项目服务方案的报价是否已经涵盖所有项目内容，有无存在额外费用的可能；</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2、项目服务方案的报价构成是否有分项明细列示；</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3、服务方案设计的项目是否必要；</w:t>
            </w:r>
          </w:p>
          <w:p>
            <w:pPr>
              <w:widowControl/>
              <w:spacing w:line="24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4、服务方案设计的项目对应的收费是否合理。</w:t>
            </w:r>
          </w:p>
        </w:tc>
      </w:tr>
      <w:tr>
        <w:tblPrEx>
          <w:tblCellMar>
            <w:top w:w="0" w:type="dxa"/>
            <w:left w:w="108" w:type="dxa"/>
            <w:bottom w:w="0" w:type="dxa"/>
            <w:right w:w="108" w:type="dxa"/>
          </w:tblCellMar>
        </w:tblPrEx>
        <w:trPr>
          <w:trHeight w:val="2035" w:hRule="atLeast"/>
        </w:trPr>
        <w:tc>
          <w:tcPr>
            <w:tcW w:w="45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54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项目要求：</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1.服务期限：自合同签订之日起12个月</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2.付款方式：采取每6个月结算一次的方式进行支付。</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3.报价要求：在预算价格以内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w:t>
            </w:r>
            <w:r>
              <w:rPr>
                <w:rFonts w:hint="eastAsia" w:ascii="仿宋_GB2312" w:hAnsi="仿宋_GB2312" w:eastAsia="仿宋_GB2312" w:cs="仿宋_GB2312"/>
                <w:kern w:val="0"/>
                <w:sz w:val="24"/>
                <w:lang w:val="en-US" w:eastAsia="zh-CN"/>
              </w:rPr>
              <w:t>任：若乙方的服务质量未能达到约定的要求，甲方有权单方解除协议，由此造成乙方的损失由乙方自行承担。</w:t>
            </w:r>
          </w:p>
        </w:tc>
      </w:tr>
      <w:tr>
        <w:tblPrEx>
          <w:tblCellMar>
            <w:top w:w="0" w:type="dxa"/>
            <w:left w:w="108" w:type="dxa"/>
            <w:bottom w:w="0" w:type="dxa"/>
            <w:right w:w="108" w:type="dxa"/>
          </w:tblCellMar>
        </w:tblPrEx>
        <w:trPr>
          <w:trHeight w:val="1430" w:hRule="atLeast"/>
        </w:trPr>
        <w:tc>
          <w:tcPr>
            <w:tcW w:w="455"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54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1.满足《中华人民共和国政府采购法》第二十二条规定；</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3.本项目不接受联合体投标。</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p>
            <w:pPr>
              <w:widowControl/>
              <w:spacing w:line="240" w:lineRule="auto"/>
              <w:ind w:firstLine="0" w:firstLineChars="0"/>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270" w:hRule="atLeast"/>
        </w:trPr>
        <w:tc>
          <w:tcPr>
            <w:tcW w:w="455"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54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1.项目报价方案。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2.营业执照或事业单位法人证等证明资料盖章扫描件，原件备查。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3.同类工作介绍材料。</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7474EF5"/>
    <w:rsid w:val="091C13C7"/>
    <w:rsid w:val="0A4669B5"/>
    <w:rsid w:val="11312983"/>
    <w:rsid w:val="14C24AD9"/>
    <w:rsid w:val="16471701"/>
    <w:rsid w:val="172C00A3"/>
    <w:rsid w:val="18B761FE"/>
    <w:rsid w:val="194B399D"/>
    <w:rsid w:val="1AF3636A"/>
    <w:rsid w:val="1CD203FA"/>
    <w:rsid w:val="1D1041D7"/>
    <w:rsid w:val="251026CF"/>
    <w:rsid w:val="2E544988"/>
    <w:rsid w:val="2FBB6ACC"/>
    <w:rsid w:val="304A7E50"/>
    <w:rsid w:val="334D7C7F"/>
    <w:rsid w:val="340E45C5"/>
    <w:rsid w:val="3F1434CE"/>
    <w:rsid w:val="416451E2"/>
    <w:rsid w:val="447E6A90"/>
    <w:rsid w:val="4E144BA8"/>
    <w:rsid w:val="5738572B"/>
    <w:rsid w:val="587C663C"/>
    <w:rsid w:val="5A771A36"/>
    <w:rsid w:val="5C8F69B7"/>
    <w:rsid w:val="5EBA216A"/>
    <w:rsid w:val="66AD6A92"/>
    <w:rsid w:val="66C374B6"/>
    <w:rsid w:val="6A1555D3"/>
    <w:rsid w:val="6C2308C2"/>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870</Words>
  <Characters>900</Characters>
  <Lines>0</Lines>
  <Paragraphs>0</Paragraphs>
  <TotalTime>2</TotalTime>
  <ScaleCrop>false</ScaleCrop>
  <LinksUpToDate>false</LinksUpToDate>
  <CharactersWithSpaces>912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2024-07-09T08:23:17Z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21D0D5701E114E7685AD542031D4C6C0_13</vt:lpwstr>
  </property>
</Properties>
</file>