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0E521">
      <w:pPr>
        <w:spacing w:before="86" w:line="560" w:lineRule="exact"/>
        <w:jc w:val="center"/>
        <w:outlineLvl w:val="0"/>
        <w:rPr>
          <w:rFonts w:hint="eastAsia" w:ascii="黑体" w:hAnsi="黑体" w:eastAsia="黑体" w:cs="黑体"/>
          <w:color w:val="auto"/>
          <w:sz w:val="43"/>
          <w:szCs w:val="43"/>
          <w:highlight w:val="none"/>
        </w:rPr>
      </w:pPr>
      <w:r>
        <w:rPr>
          <w:rFonts w:hint="eastAsia" w:ascii="黑体" w:hAnsi="黑体" w:eastAsia="黑体" w:cs="黑体"/>
          <w:color w:val="auto"/>
          <w:spacing w:val="9"/>
          <w:sz w:val="43"/>
          <w:szCs w:val="43"/>
          <w:highlight w:val="none"/>
          <w:lang w:eastAsia="zh-CN"/>
        </w:rPr>
        <w:t>关于</w:t>
      </w:r>
      <w:r>
        <w:rPr>
          <w:rFonts w:hint="eastAsia" w:ascii="黑体" w:hAnsi="黑体" w:eastAsia="黑体" w:cs="黑体"/>
          <w:color w:val="auto"/>
          <w:spacing w:val="9"/>
          <w:sz w:val="43"/>
          <w:szCs w:val="43"/>
          <w:highlight w:val="none"/>
        </w:rPr>
        <w:t>委托第三方机构开展</w:t>
      </w:r>
      <w:r>
        <w:rPr>
          <w:rFonts w:hint="eastAsia" w:ascii="黑体" w:hAnsi="黑体" w:eastAsia="黑体" w:cs="黑体"/>
          <w:color w:val="auto"/>
          <w:spacing w:val="9"/>
          <w:sz w:val="43"/>
          <w:szCs w:val="43"/>
          <w:highlight w:val="none"/>
          <w:lang w:val="en-US" w:eastAsia="zh-CN"/>
        </w:rPr>
        <w:t>2024年</w:t>
      </w:r>
      <w:r>
        <w:rPr>
          <w:rFonts w:hint="eastAsia" w:ascii="黑体" w:hAnsi="黑体" w:eastAsia="黑体" w:cs="黑体"/>
          <w:color w:val="auto"/>
          <w:spacing w:val="9"/>
          <w:sz w:val="43"/>
          <w:szCs w:val="43"/>
          <w:highlight w:val="none"/>
          <w:lang w:eastAsia="zh-CN"/>
        </w:rPr>
        <w:t>福田区推动企业软件业务独立运营和软件专业园区建设支撑服务的</w:t>
      </w:r>
      <w:r>
        <w:rPr>
          <w:rFonts w:hint="eastAsia" w:ascii="黑体" w:hAnsi="黑体" w:eastAsia="黑体" w:cs="黑体"/>
          <w:color w:val="auto"/>
          <w:spacing w:val="9"/>
          <w:sz w:val="43"/>
          <w:szCs w:val="43"/>
          <w:highlight w:val="none"/>
        </w:rPr>
        <w:t>采购需求书</w:t>
      </w:r>
    </w:p>
    <w:p w14:paraId="3CF48C46">
      <w:pPr>
        <w:spacing w:line="264" w:lineRule="auto"/>
        <w:rPr>
          <w:rFonts w:ascii="Arial"/>
          <w:color w:val="auto"/>
          <w:sz w:val="21"/>
          <w:highlight w:val="none"/>
        </w:rPr>
      </w:pPr>
    </w:p>
    <w:p w14:paraId="1DE2385C">
      <w:pPr>
        <w:pStyle w:val="2"/>
        <w:keepNext w:val="0"/>
        <w:keepLines w:val="0"/>
        <w:pageBreakBefore w:val="0"/>
        <w:wordWrap/>
        <w:overflowPunct/>
        <w:topLinePunct w:val="0"/>
        <w:bidi w:val="0"/>
        <w:spacing w:before="0" w:beforeLines="50" w:line="560" w:lineRule="exact"/>
        <w:ind w:left="34" w:right="87"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5"/>
          <w:highlight w:val="none"/>
        </w:rPr>
        <w:t>为全面</w:t>
      </w:r>
      <w:r>
        <w:rPr>
          <w:rFonts w:hint="eastAsia" w:ascii="仿宋_GB2312" w:hAnsi="仿宋_GB2312" w:eastAsia="仿宋_GB2312" w:cs="仿宋_GB2312"/>
          <w:color w:val="auto"/>
          <w:spacing w:val="5"/>
          <w:highlight w:val="none"/>
          <w:lang w:eastAsia="zh-CN"/>
        </w:rPr>
        <w:t>贯彻全市服务业高质量发展大会</w:t>
      </w:r>
      <w:bookmarkStart w:id="0" w:name="_GoBack"/>
      <w:bookmarkEnd w:id="0"/>
      <w:r>
        <w:rPr>
          <w:rFonts w:hint="eastAsia" w:ascii="仿宋_GB2312" w:hAnsi="仿宋_GB2312" w:eastAsia="仿宋_GB2312" w:cs="仿宋_GB2312"/>
          <w:color w:val="auto"/>
          <w:spacing w:val="5"/>
          <w:highlight w:val="none"/>
          <w:lang w:eastAsia="zh-CN"/>
        </w:rPr>
        <w:t>精神和市区关于加快发展软件和信息技术服务业、建设更多软件园区的具体指示</w:t>
      </w:r>
      <w:r>
        <w:rPr>
          <w:rFonts w:hint="eastAsia" w:ascii="仿宋_GB2312" w:hAnsi="仿宋_GB2312" w:eastAsia="仿宋_GB2312" w:cs="仿宋_GB2312"/>
          <w:color w:val="auto"/>
          <w:spacing w:val="8"/>
          <w:highlight w:val="none"/>
        </w:rPr>
        <w:t>。我局拟委托第三方协</w:t>
      </w:r>
      <w:r>
        <w:rPr>
          <w:rFonts w:hint="eastAsia" w:ascii="仿宋_GB2312" w:hAnsi="仿宋_GB2312" w:eastAsia="仿宋_GB2312" w:cs="仿宋_GB2312"/>
          <w:color w:val="auto"/>
          <w:spacing w:val="7"/>
          <w:highlight w:val="none"/>
        </w:rPr>
        <w:t>助开展2024年福田区推动企业软件业务独立运营和软件专业园区建设支撑服务</w:t>
      </w:r>
      <w:r>
        <w:rPr>
          <w:rFonts w:hint="eastAsia" w:ascii="仿宋_GB2312" w:hAnsi="仿宋_GB2312" w:eastAsia="仿宋_GB2312" w:cs="仿宋_GB2312"/>
          <w:color w:val="auto"/>
          <w:spacing w:val="8"/>
          <w:highlight w:val="none"/>
        </w:rPr>
        <w:t>，</w:t>
      </w:r>
      <w:r>
        <w:rPr>
          <w:rFonts w:hint="eastAsia" w:ascii="仿宋_GB2312" w:hAnsi="仿宋_GB2312" w:eastAsia="仿宋_GB2312" w:cs="仿宋_GB2312"/>
          <w:b/>
          <w:bCs/>
          <w:color w:val="auto"/>
          <w:spacing w:val="8"/>
          <w:highlight w:val="none"/>
          <w:lang w:eastAsia="zh-CN"/>
        </w:rPr>
        <w:t>一是</w:t>
      </w:r>
      <w:r>
        <w:rPr>
          <w:rFonts w:hint="eastAsia" w:ascii="仿宋_GB2312" w:hAnsi="仿宋_GB2312" w:eastAsia="仿宋_GB2312" w:cs="仿宋_GB2312"/>
          <w:color w:val="auto"/>
          <w:spacing w:val="8"/>
          <w:highlight w:val="none"/>
          <w:lang w:eastAsia="zh-CN"/>
        </w:rPr>
        <w:t>协助走访调研并辅导辖区大型工业企业、重点行业企业，推动企业软件业务独立运营；</w:t>
      </w:r>
      <w:r>
        <w:rPr>
          <w:rFonts w:hint="eastAsia" w:ascii="仿宋_GB2312" w:hAnsi="仿宋_GB2312" w:eastAsia="仿宋_GB2312" w:cs="仿宋_GB2312"/>
          <w:b/>
          <w:bCs/>
          <w:color w:val="auto"/>
          <w:spacing w:val="8"/>
          <w:highlight w:val="none"/>
          <w:lang w:eastAsia="zh-CN"/>
        </w:rPr>
        <w:t>二是</w:t>
      </w:r>
      <w:r>
        <w:rPr>
          <w:rFonts w:hint="eastAsia" w:ascii="仿宋_GB2312" w:hAnsi="仿宋_GB2312" w:eastAsia="仿宋_GB2312" w:cs="仿宋_GB2312"/>
          <w:color w:val="auto"/>
          <w:spacing w:val="8"/>
          <w:highlight w:val="none"/>
          <w:lang w:eastAsia="zh-CN"/>
        </w:rPr>
        <w:t>支撑辖区专业软件园区建设，推动园区建立健全专业服务体系</w:t>
      </w:r>
      <w:r>
        <w:rPr>
          <w:rFonts w:hint="eastAsia" w:ascii="仿宋_GB2312" w:hAnsi="仿宋_GB2312" w:eastAsia="仿宋_GB2312" w:cs="仿宋_GB2312"/>
          <w:color w:val="auto"/>
          <w:spacing w:val="7"/>
          <w:highlight w:val="none"/>
        </w:rPr>
        <w:t>。项目预算金额</w:t>
      </w:r>
      <w:r>
        <w:rPr>
          <w:rFonts w:hint="eastAsia" w:ascii="仿宋_GB2312" w:hAnsi="仿宋_GB2312" w:eastAsia="仿宋_GB2312" w:cs="仿宋_GB2312"/>
          <w:color w:val="auto"/>
          <w:spacing w:val="7"/>
          <w:highlight w:val="none"/>
          <w:lang w:val="en-US" w:eastAsia="zh-CN"/>
        </w:rPr>
        <w:t>19</w:t>
      </w:r>
      <w:r>
        <w:rPr>
          <w:rFonts w:hint="eastAsia" w:ascii="仿宋_GB2312" w:hAnsi="仿宋_GB2312" w:eastAsia="仿宋_GB2312" w:cs="仿宋_GB2312"/>
          <w:color w:val="auto"/>
          <w:spacing w:val="7"/>
          <w:highlight w:val="none"/>
        </w:rPr>
        <w:t>万</w:t>
      </w:r>
      <w:r>
        <w:rPr>
          <w:rFonts w:hint="eastAsia" w:ascii="仿宋_GB2312" w:hAnsi="仿宋_GB2312" w:eastAsia="仿宋_GB2312" w:cs="仿宋_GB2312"/>
          <w:color w:val="auto"/>
          <w:spacing w:val="8"/>
          <w:highlight w:val="none"/>
        </w:rPr>
        <w:t>以内，拟采用公开招标方式进行采购。</w:t>
      </w:r>
    </w:p>
    <w:p w14:paraId="068022D7">
      <w:pPr>
        <w:pStyle w:val="2"/>
        <w:keepNext w:val="0"/>
        <w:keepLines w:val="0"/>
        <w:pageBreakBefore w:val="0"/>
        <w:numPr>
          <w:ilvl w:val="0"/>
          <w:numId w:val="1"/>
        </w:numPr>
        <w:wordWrap/>
        <w:overflowPunct/>
        <w:topLinePunct w:val="0"/>
        <w:bidi w:val="0"/>
        <w:spacing w:before="0" w:beforeLines="50" w:line="560" w:lineRule="exact"/>
        <w:ind w:left="681"/>
        <w:outlineLvl w:val="1"/>
        <w:rPr>
          <w:rFonts w:hint="eastAsia" w:ascii="仿宋_GB2312" w:hAnsi="仿宋_GB2312" w:eastAsia="仿宋_GB2312" w:cs="仿宋_GB2312"/>
          <w:b/>
          <w:bCs/>
          <w:color w:val="auto"/>
          <w:spacing w:val="4"/>
          <w:highlight w:val="none"/>
          <w:lang w:val="en-US" w:eastAsia="zh-CN"/>
        </w:rPr>
      </w:pPr>
      <w:r>
        <w:rPr>
          <w:rFonts w:hint="eastAsia" w:ascii="仿宋_GB2312" w:hAnsi="仿宋_GB2312" w:eastAsia="仿宋_GB2312" w:cs="仿宋_GB2312"/>
          <w:b/>
          <w:bCs/>
          <w:color w:val="auto"/>
          <w:spacing w:val="4"/>
          <w:highlight w:val="none"/>
        </w:rPr>
        <w:t>采购项目概况</w:t>
      </w:r>
      <w:r>
        <w:rPr>
          <w:rFonts w:hint="eastAsia" w:ascii="仿宋_GB2312" w:hAnsi="仿宋_GB2312" w:eastAsia="仿宋_GB2312" w:cs="仿宋_GB2312"/>
          <w:b/>
          <w:bCs/>
          <w:color w:val="auto"/>
          <w:spacing w:val="4"/>
          <w:highlight w:val="none"/>
          <w:lang w:eastAsia="zh-CN"/>
        </w:rPr>
        <w:t>及服务内容</w:t>
      </w:r>
    </w:p>
    <w:p w14:paraId="5ABA396F">
      <w:pPr>
        <w:pStyle w:val="2"/>
        <w:keepNext w:val="0"/>
        <w:keepLines w:val="0"/>
        <w:pageBreakBefore w:val="0"/>
        <w:wordWrap/>
        <w:overflowPunct/>
        <w:topLinePunct w:val="0"/>
        <w:bidi w:val="0"/>
        <w:spacing w:before="0" w:beforeLines="50" w:line="560" w:lineRule="exact"/>
        <w:ind w:left="34" w:right="87" w:firstLine="640" w:firstLineChars="200"/>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pacing w:val="5"/>
          <w:highlight w:val="none"/>
          <w:lang w:eastAsia="zh-CN"/>
        </w:rPr>
        <w:t>2024年福田区推动企业软件业务独立运营和软件专业园区建设支撑服务项目具体需支撑服务的内容如下：</w:t>
      </w:r>
    </w:p>
    <w:p w14:paraId="52404BB6">
      <w:pPr>
        <w:keepNext w:val="0"/>
        <w:keepLines w:val="0"/>
        <w:pageBreakBefore w:val="0"/>
        <w:widowControl w:val="0"/>
        <w:numPr>
          <w:ilvl w:val="0"/>
          <w:numId w:val="0"/>
        </w:numPr>
        <w:kinsoku/>
        <w:wordWrap/>
        <w:overflowPunct/>
        <w:topLinePunct w:val="0"/>
        <w:autoSpaceDE/>
        <w:autoSpaceDN/>
        <w:bidi w:val="0"/>
        <w:adjustRightInd/>
        <w:snapToGrid/>
        <w:spacing w:before="0" w:beforeLines="50" w:line="560" w:lineRule="exact"/>
        <w:ind w:firstLine="643"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b/>
          <w:bCs/>
          <w:snapToGrid/>
          <w:color w:val="auto"/>
          <w:kern w:val="0"/>
          <w:sz w:val="32"/>
          <w:szCs w:val="32"/>
          <w:highlight w:val="none"/>
          <w:lang w:val="en-US" w:eastAsia="zh-CN" w:bidi="ar"/>
        </w:rPr>
        <w:t>1.推动大型工业企业、重点行业企业软件业务独立运营。</w:t>
      </w:r>
      <w:r>
        <w:rPr>
          <w:rFonts w:hint="eastAsia" w:ascii="仿宋_GB2312" w:hAnsi="仿宋_GB2312" w:eastAsia="仿宋_GB2312" w:cs="仿宋_GB2312"/>
          <w:snapToGrid/>
          <w:color w:val="auto"/>
          <w:kern w:val="2"/>
          <w:sz w:val="32"/>
          <w:szCs w:val="32"/>
          <w:highlight w:val="none"/>
          <w:lang w:val="en-US" w:eastAsia="zh-CN"/>
        </w:rPr>
        <w:t>结合福田区产业优势，梳理有软件业务的大型工业企业、重点行业企业名单，</w:t>
      </w:r>
      <w:r>
        <w:rPr>
          <w:rFonts w:hint="eastAsia" w:ascii="仿宋_GB2312" w:hAnsi="仿宋_GB2312" w:eastAsia="仿宋_GB2312" w:cs="仿宋_GB2312"/>
          <w:snapToGrid/>
          <w:color w:val="auto"/>
          <w:kern w:val="2"/>
          <w:sz w:val="32"/>
          <w:szCs w:val="32"/>
          <w:highlight w:val="none"/>
          <w:lang w:eastAsia="zh-CN"/>
        </w:rPr>
        <w:t>开展企业软件业务独立运营成立软件企业的培训，</w:t>
      </w:r>
      <w:r>
        <w:rPr>
          <w:rFonts w:hint="eastAsia" w:ascii="仿宋_GB2312" w:hAnsi="仿宋_GB2312" w:eastAsia="仿宋_GB2312" w:cs="仿宋_GB2312"/>
          <w:sz w:val="32"/>
          <w:szCs w:val="32"/>
          <w:lang w:val="en-US" w:eastAsia="zh-CN"/>
        </w:rPr>
        <w:t>完成不少于10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大型</w:t>
      </w:r>
      <w:r>
        <w:rPr>
          <w:rFonts w:hint="eastAsia" w:ascii="仿宋_GB2312" w:hAnsi="仿宋_GB2312" w:eastAsia="仿宋_GB2312" w:cs="仿宋_GB2312"/>
          <w:sz w:val="32"/>
          <w:szCs w:val="32"/>
        </w:rPr>
        <w:t>业企业软件业务</w:t>
      </w:r>
      <w:r>
        <w:rPr>
          <w:rFonts w:hint="eastAsia" w:ascii="仿宋_GB2312" w:hAnsi="仿宋_GB2312" w:eastAsia="仿宋_GB2312" w:cs="仿宋_GB2312"/>
          <w:sz w:val="32"/>
          <w:szCs w:val="32"/>
          <w:lang w:eastAsia="zh-CN"/>
        </w:rPr>
        <w:t>独立运营的</w:t>
      </w:r>
      <w:r>
        <w:rPr>
          <w:rFonts w:hint="eastAsia" w:ascii="仿宋_GB2312" w:hAnsi="仿宋_GB2312" w:eastAsia="仿宋_GB2312" w:cs="仿宋_GB2312"/>
          <w:sz w:val="32"/>
          <w:szCs w:val="32"/>
        </w:rPr>
        <w:t>跟踪辅导</w:t>
      </w:r>
      <w:r>
        <w:rPr>
          <w:rFonts w:hint="eastAsia" w:ascii="仿宋_GB2312" w:hAnsi="仿宋_GB2312" w:eastAsia="仿宋_GB2312" w:cs="仿宋_GB2312"/>
          <w:snapToGrid/>
          <w:color w:val="auto"/>
          <w:kern w:val="0"/>
          <w:sz w:val="32"/>
          <w:szCs w:val="32"/>
          <w:highlight w:val="none"/>
          <w:lang w:val="en-US" w:eastAsia="zh-CN" w:bidi="ar"/>
        </w:rPr>
        <w:t>。</w:t>
      </w:r>
    </w:p>
    <w:p w14:paraId="5CC012F6">
      <w:pPr>
        <w:keepNext w:val="0"/>
        <w:keepLines w:val="0"/>
        <w:pageBreakBefore w:val="0"/>
        <w:widowControl w:val="0"/>
        <w:numPr>
          <w:ilvl w:val="0"/>
          <w:numId w:val="0"/>
        </w:numPr>
        <w:kinsoku/>
        <w:wordWrap/>
        <w:overflowPunct/>
        <w:topLinePunct w:val="0"/>
        <w:autoSpaceDE/>
        <w:autoSpaceDN/>
        <w:bidi w:val="0"/>
        <w:adjustRightInd/>
        <w:snapToGrid/>
        <w:spacing w:before="0" w:beforeLines="50" w:line="560" w:lineRule="exact"/>
        <w:ind w:firstLine="643"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b/>
          <w:bCs/>
          <w:snapToGrid/>
          <w:color w:val="auto"/>
          <w:kern w:val="0"/>
          <w:sz w:val="32"/>
          <w:szCs w:val="32"/>
          <w:highlight w:val="none"/>
          <w:lang w:val="en-US" w:eastAsia="zh-CN" w:bidi="ar"/>
        </w:rPr>
        <w:t>2.开展政策宣贯和企业纳统指导服务。</w:t>
      </w:r>
      <w:r>
        <w:rPr>
          <w:rFonts w:hint="eastAsia" w:ascii="仿宋_GB2312" w:hAnsi="仿宋_GB2312" w:eastAsia="仿宋_GB2312" w:cs="仿宋_GB2312"/>
          <w:snapToGrid/>
          <w:color w:val="auto"/>
          <w:kern w:val="0"/>
          <w:sz w:val="32"/>
          <w:szCs w:val="32"/>
          <w:highlight w:val="none"/>
          <w:lang w:val="en-US" w:eastAsia="zh-CN" w:bidi="ar"/>
        </w:rPr>
        <w:t>结合深圳市软件相关产业政策、税收优惠政策以及本区</w:t>
      </w:r>
      <w:r>
        <w:rPr>
          <w:rFonts w:hint="eastAsia" w:ascii="仿宋_GB2312" w:hAnsi="仿宋_GB2312" w:eastAsia="仿宋_GB2312" w:cs="仿宋_GB2312"/>
          <w:snapToGrid/>
          <w:color w:val="auto"/>
          <w:kern w:val="2"/>
          <w:sz w:val="32"/>
          <w:szCs w:val="32"/>
          <w:highlight w:val="none"/>
          <w:lang w:eastAsia="zh-CN"/>
        </w:rPr>
        <w:t>软件产业</w:t>
      </w:r>
      <w:r>
        <w:rPr>
          <w:rFonts w:hint="eastAsia" w:ascii="仿宋_GB2312" w:hAnsi="仿宋_GB2312" w:eastAsia="仿宋_GB2312" w:cs="仿宋_GB2312"/>
          <w:snapToGrid/>
          <w:color w:val="auto"/>
          <w:kern w:val="2"/>
          <w:sz w:val="32"/>
          <w:szCs w:val="32"/>
          <w:highlight w:val="none"/>
          <w:lang w:val="en-US" w:eastAsia="zh-CN"/>
        </w:rPr>
        <w:t>优惠政策、纳统要求及流程</w:t>
      </w:r>
      <w:r>
        <w:rPr>
          <w:rFonts w:hint="eastAsia" w:ascii="仿宋_GB2312" w:hAnsi="仿宋_GB2312" w:eastAsia="仿宋_GB2312" w:cs="仿宋_GB2312"/>
          <w:snapToGrid/>
          <w:color w:val="auto"/>
          <w:kern w:val="0"/>
          <w:sz w:val="32"/>
          <w:szCs w:val="32"/>
          <w:highlight w:val="none"/>
          <w:lang w:val="en-US" w:eastAsia="zh-CN" w:bidi="ar"/>
        </w:rPr>
        <w:t>，联合区内重点园区组织开展系列政策宣讲活动不少于2场。</w:t>
      </w:r>
    </w:p>
    <w:p w14:paraId="143C2F1C">
      <w:pPr>
        <w:keepNext w:val="0"/>
        <w:keepLines w:val="0"/>
        <w:pageBreakBefore w:val="0"/>
        <w:widowControl w:val="0"/>
        <w:numPr>
          <w:ilvl w:val="0"/>
          <w:numId w:val="0"/>
        </w:numPr>
        <w:kinsoku/>
        <w:wordWrap/>
        <w:overflowPunct/>
        <w:topLinePunct w:val="0"/>
        <w:autoSpaceDE/>
        <w:autoSpaceDN/>
        <w:bidi w:val="0"/>
        <w:adjustRightInd/>
        <w:snapToGrid/>
        <w:spacing w:before="0" w:beforeLines="50" w:line="560" w:lineRule="exact"/>
        <w:ind w:firstLine="643"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b/>
          <w:bCs/>
          <w:snapToGrid/>
          <w:color w:val="auto"/>
          <w:kern w:val="0"/>
          <w:sz w:val="32"/>
          <w:szCs w:val="32"/>
          <w:highlight w:val="none"/>
          <w:lang w:val="en-US" w:eastAsia="zh-CN" w:bidi="ar"/>
        </w:rPr>
        <w:t>3.组织举办软件领域行业交流活动。</w:t>
      </w:r>
      <w:r>
        <w:rPr>
          <w:rFonts w:hint="eastAsia" w:ascii="仿宋_GB2312" w:hAnsi="仿宋_GB2312" w:eastAsia="仿宋_GB2312" w:cs="仿宋_GB2312"/>
          <w:snapToGrid/>
          <w:color w:val="auto"/>
          <w:kern w:val="2"/>
          <w:sz w:val="32"/>
          <w:szCs w:val="32"/>
          <w:highlight w:val="none"/>
          <w:lang w:val="en-US" w:eastAsia="zh-CN"/>
        </w:rPr>
        <w:t>推动软件领域技术交流会、企业出海策略会等行业活动落地福田，凝聚软件行业氛围，举办工业软件应用、数字化转型赋能、软件开发效率提升、企业出海对接会等系列论坛沙龙活动不少于4场。</w:t>
      </w:r>
    </w:p>
    <w:p w14:paraId="45EDA9A8">
      <w:pPr>
        <w:keepNext w:val="0"/>
        <w:keepLines w:val="0"/>
        <w:pageBreakBefore w:val="0"/>
        <w:widowControl w:val="0"/>
        <w:wordWrap/>
        <w:overflowPunct/>
        <w:topLinePunct w:val="0"/>
        <w:bidi w:val="0"/>
        <w:spacing w:before="0" w:beforeLines="50" w:line="560" w:lineRule="exact"/>
        <w:ind w:firstLine="654" w:firstLineChars="200"/>
        <w:jc w:val="both"/>
        <w:rPr>
          <w:rFonts w:hint="eastAsia" w:ascii="仿宋_GB2312" w:hAnsi="仿宋_GB2312" w:eastAsia="仿宋_GB2312" w:cs="仿宋_GB2312"/>
          <w:snapToGrid w:val="0"/>
          <w:color w:val="auto"/>
          <w:spacing w:val="8"/>
          <w:kern w:val="0"/>
          <w:sz w:val="31"/>
          <w:szCs w:val="31"/>
          <w:highlight w:val="none"/>
          <w:lang w:val="en-US" w:eastAsia="zh-CN" w:bidi="ar-SA"/>
        </w:rPr>
      </w:pPr>
      <w:r>
        <w:rPr>
          <w:rFonts w:hint="eastAsia" w:ascii="仿宋_GB2312" w:hAnsi="仿宋_GB2312" w:eastAsia="仿宋_GB2312" w:cs="仿宋_GB2312"/>
          <w:b/>
          <w:bCs/>
          <w:snapToGrid w:val="0"/>
          <w:color w:val="auto"/>
          <w:spacing w:val="8"/>
          <w:kern w:val="0"/>
          <w:sz w:val="31"/>
          <w:szCs w:val="31"/>
          <w:highlight w:val="none"/>
          <w:lang w:val="en-US" w:eastAsia="zh-CN" w:bidi="ar-SA"/>
        </w:rPr>
        <w:t>4.支撑专业软件园区建设。</w:t>
      </w:r>
      <w:r>
        <w:rPr>
          <w:rFonts w:hint="eastAsia" w:ascii="仿宋_GB2312" w:hAnsi="仿宋_GB2312" w:eastAsia="仿宋_GB2312" w:cs="仿宋_GB2312"/>
          <w:snapToGrid w:val="0"/>
          <w:color w:val="auto"/>
          <w:spacing w:val="8"/>
          <w:kern w:val="0"/>
          <w:sz w:val="31"/>
          <w:szCs w:val="31"/>
          <w:highlight w:val="none"/>
          <w:lang w:val="en-US" w:eastAsia="zh-CN" w:bidi="ar-SA"/>
        </w:rPr>
        <w:t>对接区内重点软件集聚区，帮助园区明确定位，助力园区提升技术、政策、标准、财税出海等服务支撑体系，指导协助不少于3个园区申报深圳市软件名园。</w:t>
      </w:r>
    </w:p>
    <w:p w14:paraId="777DA138">
      <w:pPr>
        <w:pStyle w:val="2"/>
        <w:keepNext w:val="0"/>
        <w:keepLines w:val="0"/>
        <w:pageBreakBefore w:val="0"/>
        <w:wordWrap/>
        <w:overflowPunct/>
        <w:topLinePunct w:val="0"/>
        <w:bidi w:val="0"/>
        <w:spacing w:before="0" w:beforeLines="50" w:line="560" w:lineRule="exact"/>
        <w:ind w:left="684"/>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4"/>
          <w:highlight w:val="none"/>
        </w:rPr>
        <w:t>三、项目管理和服务要求</w:t>
      </w:r>
    </w:p>
    <w:p w14:paraId="757F2B2A">
      <w:pPr>
        <w:pStyle w:val="2"/>
        <w:keepNext w:val="0"/>
        <w:keepLines w:val="0"/>
        <w:pageBreakBefore w:val="0"/>
        <w:wordWrap/>
        <w:overflowPunct/>
        <w:topLinePunct w:val="0"/>
        <w:bidi w:val="0"/>
        <w:spacing w:before="0" w:beforeLines="50" w:line="560" w:lineRule="exact"/>
        <w:ind w:left="689"/>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1"/>
          <w:highlight w:val="none"/>
        </w:rPr>
        <w:t>1.服务团队要求：</w:t>
      </w:r>
    </w:p>
    <w:p w14:paraId="0A71A4F5">
      <w:pPr>
        <w:pStyle w:val="2"/>
        <w:keepNext w:val="0"/>
        <w:keepLines w:val="0"/>
        <w:pageBreakBefore w:val="0"/>
        <w:wordWrap/>
        <w:overflowPunct/>
        <w:topLinePunct w:val="0"/>
        <w:bidi w:val="0"/>
        <w:spacing w:before="0" w:beforeLines="50" w:line="560" w:lineRule="exact"/>
        <w:ind w:left="68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（1）拥护中华人民共和国宪法，遵守国家法律和社会</w:t>
      </w:r>
    </w:p>
    <w:p w14:paraId="6D04A9BB">
      <w:pPr>
        <w:pStyle w:val="2"/>
        <w:keepNext w:val="0"/>
        <w:keepLines w:val="0"/>
        <w:pageBreakBefore w:val="0"/>
        <w:wordWrap/>
        <w:overflowPunct/>
        <w:topLinePunct w:val="0"/>
        <w:bidi w:val="0"/>
        <w:spacing w:before="0" w:beforeLines="50" w:line="560" w:lineRule="exact"/>
        <w:ind w:left="4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4"/>
          <w:highlight w:val="none"/>
        </w:rPr>
        <w:t>公德；</w:t>
      </w:r>
    </w:p>
    <w:p w14:paraId="3EAB4E0A">
      <w:pPr>
        <w:pStyle w:val="2"/>
        <w:keepNext w:val="0"/>
        <w:keepLines w:val="0"/>
        <w:pageBreakBefore w:val="0"/>
        <w:wordWrap/>
        <w:overflowPunct/>
        <w:topLinePunct w:val="0"/>
        <w:bidi w:val="0"/>
        <w:spacing w:before="0" w:beforeLines="50" w:line="560" w:lineRule="exact"/>
        <w:ind w:left="46" w:right="90" w:firstLine="64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0"/>
          <w:highlight w:val="none"/>
        </w:rPr>
        <w:t>（2）申报单位必须</w:t>
      </w:r>
      <w:r>
        <w:rPr>
          <w:rFonts w:hint="eastAsia" w:ascii="仿宋_GB2312" w:hAnsi="仿宋_GB2312" w:eastAsia="仿宋_GB2312" w:cs="仿宋_GB2312"/>
          <w:color w:val="auto"/>
          <w:spacing w:val="10"/>
          <w:highlight w:val="none"/>
          <w:lang w:eastAsia="zh-CN"/>
        </w:rPr>
        <w:t>是对</w:t>
      </w:r>
      <w:r>
        <w:rPr>
          <w:rFonts w:hint="eastAsia" w:ascii="仿宋_GB2312" w:hAnsi="仿宋_GB2312" w:eastAsia="仿宋_GB2312" w:cs="仿宋_GB2312"/>
          <w:color w:val="auto"/>
          <w:spacing w:val="10"/>
          <w:highlight w:val="none"/>
          <w:lang w:val="en-US" w:eastAsia="zh-CN"/>
        </w:rPr>
        <w:t>软件相关产业政策相对熟悉，在</w:t>
      </w:r>
      <w:r>
        <w:rPr>
          <w:rFonts w:hint="eastAsia" w:ascii="仿宋_GB2312" w:hAnsi="仿宋_GB2312" w:eastAsia="仿宋_GB2312" w:cs="仿宋_GB2312"/>
          <w:color w:val="auto"/>
          <w:spacing w:val="10"/>
          <w:highlight w:val="none"/>
          <w:lang w:eastAsia="zh-CN"/>
        </w:rPr>
        <w:t>软件和信息技术服务业</w:t>
      </w:r>
      <w:r>
        <w:rPr>
          <w:rFonts w:hint="eastAsia" w:ascii="仿宋_GB2312" w:hAnsi="仿宋_GB2312" w:eastAsia="仿宋_GB2312" w:cs="仿宋_GB2312"/>
          <w:color w:val="auto"/>
          <w:spacing w:val="10"/>
          <w:highlight w:val="none"/>
          <w:lang w:val="en-US" w:eastAsia="zh-CN"/>
        </w:rPr>
        <w:t>领域</w:t>
      </w:r>
      <w:r>
        <w:rPr>
          <w:rFonts w:hint="eastAsia" w:ascii="仿宋_GB2312" w:hAnsi="仿宋_GB2312" w:eastAsia="仿宋_GB2312" w:cs="仿宋_GB2312"/>
          <w:color w:val="auto"/>
          <w:spacing w:val="10"/>
          <w:highlight w:val="none"/>
          <w:lang w:eastAsia="zh-CN"/>
        </w:rPr>
        <w:t>有深入研究，并</w:t>
      </w:r>
      <w:r>
        <w:rPr>
          <w:rFonts w:hint="eastAsia" w:ascii="仿宋_GB2312" w:hAnsi="仿宋_GB2312" w:eastAsia="仿宋_GB2312" w:cs="仿宋_GB2312"/>
          <w:color w:val="auto"/>
          <w:spacing w:val="10"/>
          <w:highlight w:val="none"/>
        </w:rPr>
        <w:t>拥有</w:t>
      </w:r>
      <w:r>
        <w:rPr>
          <w:rFonts w:hint="eastAsia" w:ascii="仿宋_GB2312" w:hAnsi="仿宋_GB2312" w:eastAsia="仿宋_GB2312" w:cs="仿宋_GB2312"/>
          <w:color w:val="auto"/>
          <w:spacing w:val="10"/>
          <w:highlight w:val="none"/>
          <w:lang w:eastAsia="zh-CN"/>
        </w:rPr>
        <w:t>丰富企业</w:t>
      </w:r>
      <w:r>
        <w:rPr>
          <w:rFonts w:hint="eastAsia" w:ascii="仿宋_GB2312" w:hAnsi="仿宋_GB2312" w:eastAsia="仿宋_GB2312" w:cs="仿宋_GB2312"/>
          <w:color w:val="auto"/>
          <w:spacing w:val="10"/>
          <w:highlight w:val="none"/>
          <w:lang w:val="en-US" w:eastAsia="zh-CN"/>
        </w:rPr>
        <w:t>/园区</w:t>
      </w:r>
      <w:r>
        <w:rPr>
          <w:rFonts w:hint="eastAsia" w:ascii="仿宋_GB2312" w:hAnsi="仿宋_GB2312" w:eastAsia="仿宋_GB2312" w:cs="仿宋_GB2312"/>
          <w:color w:val="auto"/>
          <w:spacing w:val="10"/>
          <w:highlight w:val="none"/>
          <w:lang w:eastAsia="zh-CN"/>
        </w:rPr>
        <w:t>资源的行业协会或咨询服务机构</w:t>
      </w:r>
      <w:r>
        <w:rPr>
          <w:rFonts w:hint="eastAsia" w:ascii="仿宋_GB2312" w:hAnsi="仿宋_GB2312" w:eastAsia="仿宋_GB2312" w:cs="仿宋_GB2312"/>
          <w:color w:val="auto"/>
          <w:spacing w:val="8"/>
          <w:highlight w:val="none"/>
        </w:rPr>
        <w:t>。</w:t>
      </w:r>
    </w:p>
    <w:p w14:paraId="1A0F62E9">
      <w:pPr>
        <w:pStyle w:val="2"/>
        <w:keepNext w:val="0"/>
        <w:keepLines w:val="0"/>
        <w:pageBreakBefore w:val="0"/>
        <w:wordWrap/>
        <w:overflowPunct/>
        <w:topLinePunct w:val="0"/>
        <w:bidi w:val="0"/>
        <w:spacing w:before="0" w:beforeLines="50" w:line="560" w:lineRule="exact"/>
        <w:ind w:left="36" w:right="88" w:firstLine="64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（3）具有良好的职业道德、信誉良好，无学术道德问</w:t>
      </w:r>
      <w:r>
        <w:rPr>
          <w:rFonts w:hint="eastAsia" w:ascii="仿宋_GB2312" w:hAnsi="仿宋_GB2312" w:eastAsia="仿宋_GB2312" w:cs="仿宋_GB2312"/>
          <w:color w:val="auto"/>
          <w:spacing w:val="8"/>
          <w:highlight w:val="none"/>
        </w:rPr>
        <w:t>题，无不良科研诚信记录，无违法犯罪记录或被相关行政部</w:t>
      </w:r>
      <w:r>
        <w:rPr>
          <w:rFonts w:hint="eastAsia" w:ascii="仿宋_GB2312" w:hAnsi="仿宋_GB2312" w:eastAsia="仿宋_GB2312" w:cs="仿宋_GB2312"/>
          <w:color w:val="auto"/>
          <w:spacing w:val="4"/>
          <w:highlight w:val="none"/>
        </w:rPr>
        <w:t>门立案调查。</w:t>
      </w:r>
    </w:p>
    <w:p w14:paraId="7972EE7D">
      <w:pPr>
        <w:pStyle w:val="2"/>
        <w:keepNext w:val="0"/>
        <w:keepLines w:val="0"/>
        <w:pageBreakBefore w:val="0"/>
        <w:wordWrap/>
        <w:overflowPunct/>
        <w:topLinePunct w:val="0"/>
        <w:bidi w:val="0"/>
        <w:spacing w:before="0" w:beforeLines="50" w:line="560" w:lineRule="exact"/>
        <w:ind w:left="74" w:right="87" w:firstLine="595"/>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16"/>
          <w:highlight w:val="none"/>
        </w:rPr>
        <w:t>2.服务质量要求：</w:t>
      </w:r>
      <w:r>
        <w:rPr>
          <w:rFonts w:hint="eastAsia" w:ascii="仿宋_GB2312" w:hAnsi="仿宋_GB2312" w:eastAsia="仿宋_GB2312" w:cs="仿宋_GB2312"/>
          <w:color w:val="auto"/>
          <w:spacing w:val="16"/>
          <w:highlight w:val="none"/>
        </w:rPr>
        <w:t>中选单位应在采购单位要求的时间</w:t>
      </w:r>
      <w:r>
        <w:rPr>
          <w:rFonts w:hint="eastAsia" w:ascii="仿宋_GB2312" w:hAnsi="仿宋_GB2312" w:eastAsia="仿宋_GB2312" w:cs="仿宋_GB2312"/>
          <w:color w:val="auto"/>
          <w:spacing w:val="6"/>
          <w:highlight w:val="none"/>
        </w:rPr>
        <w:t>内，完成相应工作事项，达成目标要求</w:t>
      </w:r>
      <w:r>
        <w:rPr>
          <w:rFonts w:hint="eastAsia" w:ascii="仿宋_GB2312" w:hAnsi="仿宋_GB2312" w:eastAsia="仿宋_GB2312" w:cs="仿宋_GB2312"/>
          <w:color w:val="auto"/>
          <w:spacing w:val="6"/>
          <w:highlight w:val="none"/>
          <w:lang w:eastAsia="zh-CN"/>
        </w:rPr>
        <w:t>，并提交详细的工作记录及项目总结报告</w:t>
      </w:r>
      <w:r>
        <w:rPr>
          <w:rFonts w:hint="eastAsia" w:ascii="仿宋_GB2312" w:hAnsi="仿宋_GB2312" w:eastAsia="仿宋_GB2312" w:cs="仿宋_GB2312"/>
          <w:color w:val="auto"/>
          <w:spacing w:val="6"/>
          <w:highlight w:val="none"/>
        </w:rPr>
        <w:t>。</w:t>
      </w:r>
    </w:p>
    <w:p w14:paraId="077BFE65">
      <w:pPr>
        <w:pStyle w:val="2"/>
        <w:keepNext w:val="0"/>
        <w:keepLines w:val="0"/>
        <w:pageBreakBefore w:val="0"/>
        <w:wordWrap/>
        <w:overflowPunct/>
        <w:topLinePunct w:val="0"/>
        <w:bidi w:val="0"/>
        <w:spacing w:before="0" w:beforeLines="50" w:line="560" w:lineRule="exact"/>
        <w:ind w:left="713"/>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四、商务需求</w:t>
      </w:r>
    </w:p>
    <w:p w14:paraId="7E352D29">
      <w:pPr>
        <w:pStyle w:val="2"/>
        <w:keepNext w:val="0"/>
        <w:keepLines w:val="0"/>
        <w:pageBreakBefore w:val="0"/>
        <w:wordWrap/>
        <w:overflowPunct/>
        <w:topLinePunct w:val="0"/>
        <w:bidi w:val="0"/>
        <w:spacing w:before="0" w:beforeLines="50" w:line="560" w:lineRule="exact"/>
        <w:ind w:left="68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6"/>
          <w:highlight w:val="none"/>
        </w:rPr>
        <w:t>1、服务期：</w:t>
      </w:r>
      <w:r>
        <w:rPr>
          <w:rFonts w:hint="eastAsia" w:ascii="仿宋_GB2312" w:hAnsi="仿宋_GB2312" w:eastAsia="仿宋_GB2312" w:cs="仿宋_GB2312"/>
          <w:color w:val="auto"/>
          <w:spacing w:val="6"/>
          <w:highlight w:val="none"/>
        </w:rPr>
        <w:t>合同签订后的</w:t>
      </w:r>
      <w:r>
        <w:rPr>
          <w:rFonts w:hint="eastAsia" w:ascii="仿宋_GB2312" w:hAnsi="仿宋_GB2312" w:eastAsia="仿宋_GB2312" w:cs="仿宋_GB2312"/>
          <w:color w:val="auto"/>
          <w:spacing w:val="6"/>
          <w:highlight w:val="none"/>
          <w:lang w:val="en-US" w:eastAsia="zh-CN"/>
        </w:rPr>
        <w:t>12个月</w:t>
      </w:r>
      <w:r>
        <w:rPr>
          <w:rFonts w:hint="eastAsia" w:ascii="仿宋_GB2312" w:hAnsi="仿宋_GB2312" w:eastAsia="仿宋_GB2312" w:cs="仿宋_GB2312"/>
          <w:color w:val="auto"/>
          <w:spacing w:val="6"/>
          <w:highlight w:val="none"/>
        </w:rPr>
        <w:t>内。</w:t>
      </w:r>
    </w:p>
    <w:p w14:paraId="1632E8A5">
      <w:pPr>
        <w:pStyle w:val="2"/>
        <w:keepNext w:val="0"/>
        <w:keepLines w:val="0"/>
        <w:pageBreakBefore w:val="0"/>
        <w:wordWrap/>
        <w:overflowPunct/>
        <w:topLinePunct w:val="0"/>
        <w:bidi w:val="0"/>
        <w:spacing w:before="0" w:beforeLines="50" w:line="560" w:lineRule="exact"/>
        <w:ind w:left="66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7"/>
          <w:highlight w:val="none"/>
        </w:rPr>
        <w:t>2、服务地点：</w:t>
      </w:r>
      <w:r>
        <w:rPr>
          <w:rFonts w:hint="eastAsia" w:ascii="仿宋_GB2312" w:hAnsi="仿宋_GB2312" w:eastAsia="仿宋_GB2312" w:cs="仿宋_GB2312"/>
          <w:color w:val="auto"/>
          <w:spacing w:val="7"/>
          <w:highlight w:val="none"/>
        </w:rPr>
        <w:t>在采购人指定地点。</w:t>
      </w:r>
    </w:p>
    <w:p w14:paraId="4506796D">
      <w:pPr>
        <w:pStyle w:val="2"/>
        <w:keepNext w:val="0"/>
        <w:keepLines w:val="0"/>
        <w:pageBreakBefore w:val="0"/>
        <w:wordWrap/>
        <w:overflowPunct/>
        <w:topLinePunct w:val="0"/>
        <w:bidi w:val="0"/>
        <w:spacing w:before="0" w:beforeLines="50" w:line="560" w:lineRule="exact"/>
        <w:ind w:left="672"/>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3、预算金额：</w:t>
      </w:r>
      <w:r>
        <w:rPr>
          <w:rFonts w:hint="eastAsia" w:ascii="仿宋_GB2312" w:hAnsi="仿宋_GB2312" w:eastAsia="仿宋_GB2312" w:cs="仿宋_GB2312"/>
          <w:color w:val="auto"/>
          <w:spacing w:val="3"/>
          <w:highlight w:val="none"/>
        </w:rPr>
        <w:t>不超过</w:t>
      </w:r>
      <w:r>
        <w:rPr>
          <w:rFonts w:hint="eastAsia" w:ascii="仿宋_GB2312" w:hAnsi="仿宋_GB2312" w:eastAsia="仿宋_GB2312" w:cs="仿宋_GB2312"/>
          <w:color w:val="auto"/>
          <w:spacing w:val="3"/>
          <w:highlight w:val="none"/>
          <w:lang w:val="en-US" w:eastAsia="zh-CN"/>
        </w:rPr>
        <w:t>19</w:t>
      </w:r>
      <w:r>
        <w:rPr>
          <w:rFonts w:hint="eastAsia" w:ascii="仿宋_GB2312" w:hAnsi="仿宋_GB2312" w:eastAsia="仿宋_GB2312" w:cs="仿宋_GB2312"/>
          <w:color w:val="auto"/>
          <w:spacing w:val="3"/>
          <w:highlight w:val="none"/>
        </w:rPr>
        <w:t>万元。</w:t>
      </w:r>
    </w:p>
    <w:p w14:paraId="3CAFD02F">
      <w:pPr>
        <w:keepNext w:val="0"/>
        <w:keepLines w:val="0"/>
        <w:pageBreakBefore w:val="0"/>
        <w:wordWrap/>
        <w:overflowPunct/>
        <w:topLinePunct w:val="0"/>
        <w:bidi w:val="0"/>
        <w:spacing w:before="0" w:beforeLines="50" w:line="560" w:lineRule="exact"/>
        <w:rPr>
          <w:rFonts w:hint="eastAsia" w:ascii="仿宋_GB2312" w:hAnsi="仿宋_GB2312" w:eastAsia="仿宋_GB2312" w:cs="仿宋_GB2312"/>
          <w:color w:val="auto"/>
          <w:highlight w:val="none"/>
        </w:rPr>
        <w:sectPr>
          <w:pgSz w:w="11906" w:h="16839"/>
          <w:pgMar w:top="1431" w:right="1711" w:bottom="0" w:left="1785" w:header="0" w:footer="0" w:gutter="0"/>
          <w:cols w:space="720" w:num="1"/>
        </w:sectPr>
      </w:pPr>
    </w:p>
    <w:p w14:paraId="2C04A1D7">
      <w:pPr>
        <w:pStyle w:val="2"/>
        <w:keepNext w:val="0"/>
        <w:keepLines w:val="0"/>
        <w:pageBreakBefore w:val="0"/>
        <w:wordWrap/>
        <w:overflowPunct/>
        <w:topLinePunct w:val="0"/>
        <w:bidi w:val="0"/>
        <w:spacing w:before="0" w:beforeLines="50" w:line="560" w:lineRule="exact"/>
        <w:ind w:left="664"/>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4、报价要求：</w:t>
      </w:r>
    </w:p>
    <w:p w14:paraId="2E2D33E0">
      <w:pPr>
        <w:pStyle w:val="2"/>
        <w:keepNext w:val="0"/>
        <w:keepLines w:val="0"/>
        <w:pageBreakBefore w:val="0"/>
        <w:wordWrap/>
        <w:overflowPunct/>
        <w:topLinePunct w:val="0"/>
        <w:bidi w:val="0"/>
        <w:spacing w:before="0" w:beforeLines="50" w:line="560" w:lineRule="exact"/>
        <w:ind w:left="37" w:right="87" w:firstLine="64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（1）本项目服务费采用包干制，应包括服务成本、法</w:t>
      </w:r>
      <w:r>
        <w:rPr>
          <w:rFonts w:hint="eastAsia" w:ascii="仿宋_GB2312" w:hAnsi="仿宋_GB2312" w:eastAsia="仿宋_GB2312" w:cs="仿宋_GB2312"/>
          <w:color w:val="auto"/>
          <w:spacing w:val="8"/>
          <w:highlight w:val="none"/>
        </w:rPr>
        <w:t>定税费和企业的利润。由企业根据采购文件所提供的资料自行测算投标报价；一经中选，报价总价作为中选单位与采购人</w:t>
      </w:r>
      <w:r>
        <w:rPr>
          <w:rFonts w:hint="eastAsia" w:ascii="仿宋_GB2312" w:hAnsi="仿宋_GB2312" w:eastAsia="仿宋_GB2312" w:cs="仿宋_GB2312"/>
          <w:color w:val="auto"/>
          <w:spacing w:val="8"/>
          <w:highlight w:val="none"/>
          <w:lang w:eastAsia="zh-CN"/>
        </w:rPr>
        <w:t>签订的合同</w:t>
      </w:r>
      <w:r>
        <w:rPr>
          <w:rFonts w:hint="eastAsia" w:ascii="仿宋_GB2312" w:hAnsi="仿宋_GB2312" w:eastAsia="仿宋_GB2312" w:cs="仿宋_GB2312"/>
          <w:color w:val="auto"/>
          <w:spacing w:val="8"/>
          <w:highlight w:val="none"/>
        </w:rPr>
        <w:t>金额，合同期限内</w:t>
      </w:r>
      <w:r>
        <w:rPr>
          <w:rFonts w:hint="eastAsia" w:ascii="仿宋_GB2312" w:hAnsi="仿宋_GB2312" w:eastAsia="仿宋_GB2312" w:cs="仿宋_GB2312"/>
          <w:color w:val="auto"/>
          <w:spacing w:val="8"/>
          <w:highlight w:val="none"/>
          <w:lang w:eastAsia="zh-CN"/>
        </w:rPr>
        <w:t>不作</w:t>
      </w:r>
      <w:r>
        <w:rPr>
          <w:rFonts w:hint="eastAsia" w:ascii="仿宋_GB2312" w:hAnsi="仿宋_GB2312" w:eastAsia="仿宋_GB2312" w:cs="仿宋_GB2312"/>
          <w:color w:val="auto"/>
          <w:spacing w:val="8"/>
          <w:highlight w:val="none"/>
        </w:rPr>
        <w:t>调整；</w:t>
      </w:r>
    </w:p>
    <w:p w14:paraId="512E78D5">
      <w:pPr>
        <w:pStyle w:val="2"/>
        <w:keepNext w:val="0"/>
        <w:keepLines w:val="0"/>
        <w:pageBreakBefore w:val="0"/>
        <w:wordWrap/>
        <w:overflowPunct/>
        <w:topLinePunct w:val="0"/>
        <w:bidi w:val="0"/>
        <w:spacing w:before="0" w:beforeLines="50" w:line="560" w:lineRule="exact"/>
        <w:ind w:left="36" w:right="88" w:firstLine="64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（2）响应人应根据本企业的成本自行决定报价，但不</w:t>
      </w:r>
      <w:r>
        <w:rPr>
          <w:rFonts w:hint="eastAsia" w:ascii="仿宋_GB2312" w:hAnsi="仿宋_GB2312" w:eastAsia="仿宋_GB2312" w:cs="仿宋_GB2312"/>
          <w:color w:val="auto"/>
          <w:spacing w:val="7"/>
          <w:highlight w:val="none"/>
        </w:rPr>
        <w:t>得以低于其企业成本的报价投标；</w:t>
      </w:r>
    </w:p>
    <w:p w14:paraId="421F5E67">
      <w:pPr>
        <w:pStyle w:val="2"/>
        <w:keepNext w:val="0"/>
        <w:keepLines w:val="0"/>
        <w:pageBreakBefore w:val="0"/>
        <w:wordWrap/>
        <w:overflowPunct/>
        <w:topLinePunct w:val="0"/>
        <w:bidi w:val="0"/>
        <w:spacing w:before="0" w:beforeLines="50" w:line="560" w:lineRule="exact"/>
        <w:ind w:left="6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7"/>
          <w:highlight w:val="none"/>
        </w:rPr>
        <w:t>（3）响应人的报价不得超过财政预算限额；</w:t>
      </w:r>
    </w:p>
    <w:p w14:paraId="09CB1B57">
      <w:pPr>
        <w:pStyle w:val="2"/>
        <w:keepNext w:val="0"/>
        <w:keepLines w:val="0"/>
        <w:pageBreakBefore w:val="0"/>
        <w:wordWrap/>
        <w:overflowPunct/>
        <w:topLinePunct w:val="0"/>
        <w:bidi w:val="0"/>
        <w:spacing w:before="0" w:beforeLines="50" w:line="560" w:lineRule="exact"/>
        <w:ind w:left="36" w:right="87" w:firstLine="64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（4）响应人的报价，应是本项目采购范围和采购文件</w:t>
      </w:r>
      <w:r>
        <w:rPr>
          <w:rFonts w:hint="eastAsia" w:ascii="仿宋_GB2312" w:hAnsi="仿宋_GB2312" w:eastAsia="仿宋_GB2312" w:cs="仿宋_GB2312"/>
          <w:color w:val="auto"/>
          <w:spacing w:val="8"/>
          <w:highlight w:val="none"/>
        </w:rPr>
        <w:t>及合同条款上所列的各项内容中所述的全部，不得以任何理</w:t>
      </w:r>
      <w:r>
        <w:rPr>
          <w:rFonts w:hint="eastAsia" w:ascii="仿宋_GB2312" w:hAnsi="仿宋_GB2312" w:eastAsia="仿宋_GB2312" w:cs="仿宋_GB2312"/>
          <w:color w:val="auto"/>
          <w:spacing w:val="21"/>
          <w:highlight w:val="none"/>
        </w:rPr>
        <w:t>由予以重复，并以响应人最终提出的综合单价或总价为依</w:t>
      </w:r>
      <w:r>
        <w:rPr>
          <w:rFonts w:hint="eastAsia" w:ascii="仿宋_GB2312" w:hAnsi="仿宋_GB2312" w:eastAsia="仿宋_GB2312" w:cs="仿宋_GB2312"/>
          <w:color w:val="auto"/>
          <w:spacing w:val="-7"/>
          <w:highlight w:val="none"/>
        </w:rPr>
        <w:t>据；</w:t>
      </w:r>
    </w:p>
    <w:p w14:paraId="42C73BA7">
      <w:pPr>
        <w:pStyle w:val="2"/>
        <w:keepNext w:val="0"/>
        <w:keepLines w:val="0"/>
        <w:pageBreakBefore w:val="0"/>
        <w:wordWrap/>
        <w:overflowPunct/>
        <w:topLinePunct w:val="0"/>
        <w:bidi w:val="0"/>
        <w:spacing w:before="0" w:beforeLines="50" w:line="560" w:lineRule="exact"/>
        <w:ind w:left="36" w:right="87" w:firstLine="64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（5）除非采购人通过修改采购文件予以更正，否则，</w:t>
      </w:r>
      <w:r>
        <w:rPr>
          <w:rFonts w:hint="eastAsia" w:ascii="仿宋_GB2312" w:hAnsi="仿宋_GB2312" w:eastAsia="仿宋_GB2312" w:cs="仿宋_GB2312"/>
          <w:color w:val="auto"/>
          <w:spacing w:val="21"/>
          <w:highlight w:val="none"/>
        </w:rPr>
        <w:t>响应人应毫无例外地按响应文件所列的清单中项目和数量</w:t>
      </w:r>
      <w:r>
        <w:rPr>
          <w:rFonts w:hint="eastAsia" w:ascii="仿宋_GB2312" w:hAnsi="仿宋_GB2312" w:eastAsia="仿宋_GB2312" w:cs="仿宋_GB2312"/>
          <w:color w:val="auto"/>
          <w:spacing w:val="8"/>
          <w:highlight w:val="none"/>
        </w:rPr>
        <w:t>填报综合单价和合价。响应人未填综合单价或合价的项目，在实施后，将不得以支付，并视作该项费用已包括在其它有</w:t>
      </w:r>
      <w:r>
        <w:rPr>
          <w:rFonts w:hint="eastAsia" w:ascii="仿宋_GB2312" w:hAnsi="仿宋_GB2312" w:eastAsia="仿宋_GB2312" w:cs="仿宋_GB2312"/>
          <w:color w:val="auto"/>
          <w:spacing w:val="7"/>
          <w:highlight w:val="none"/>
        </w:rPr>
        <w:t>价款的综合单价或合价内；</w:t>
      </w:r>
    </w:p>
    <w:p w14:paraId="468260B2">
      <w:pPr>
        <w:pStyle w:val="2"/>
        <w:keepNext w:val="0"/>
        <w:keepLines w:val="0"/>
        <w:pageBreakBefore w:val="0"/>
        <w:wordWrap/>
        <w:overflowPunct/>
        <w:topLinePunct w:val="0"/>
        <w:bidi w:val="0"/>
        <w:spacing w:before="0" w:beforeLines="50" w:line="560" w:lineRule="exact"/>
        <w:ind w:left="36" w:right="88" w:firstLine="64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（6）响应人应先到项目地点踏勘以充分了解项目的情</w:t>
      </w:r>
      <w:r>
        <w:rPr>
          <w:rFonts w:hint="eastAsia" w:ascii="仿宋_GB2312" w:hAnsi="仿宋_GB2312" w:eastAsia="仿宋_GB2312" w:cs="仿宋_GB2312"/>
          <w:color w:val="auto"/>
          <w:spacing w:val="8"/>
          <w:highlight w:val="none"/>
        </w:rPr>
        <w:t>况及</w:t>
      </w:r>
      <w:r>
        <w:rPr>
          <w:rFonts w:hint="eastAsia" w:ascii="仿宋_GB2312" w:hAnsi="仿宋_GB2312" w:eastAsia="仿宋_GB2312" w:cs="仿宋_GB2312"/>
          <w:color w:val="auto"/>
          <w:spacing w:val="8"/>
          <w:highlight w:val="none"/>
          <w:lang w:eastAsia="zh-CN"/>
        </w:rPr>
        <w:t>任何其他</w:t>
      </w:r>
      <w:r>
        <w:rPr>
          <w:rFonts w:hint="eastAsia" w:ascii="仿宋_GB2312" w:hAnsi="仿宋_GB2312" w:eastAsia="仿宋_GB2312" w:cs="仿宋_GB2312"/>
          <w:color w:val="auto"/>
          <w:spacing w:val="8"/>
          <w:highlight w:val="none"/>
        </w:rPr>
        <w:t>足以影响投标报价的情况，任何因忽视或误解项目情况而导致的索赔或服务期限延长申请将不获批准；</w:t>
      </w:r>
    </w:p>
    <w:p w14:paraId="3E0692C2">
      <w:pPr>
        <w:pStyle w:val="2"/>
        <w:keepNext w:val="0"/>
        <w:keepLines w:val="0"/>
        <w:pageBreakBefore w:val="0"/>
        <w:wordWrap/>
        <w:overflowPunct/>
        <w:topLinePunct w:val="0"/>
        <w:bidi w:val="0"/>
        <w:spacing w:before="0" w:beforeLines="50" w:line="560" w:lineRule="exact"/>
        <w:ind w:left="40"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5"/>
          <w:highlight w:val="none"/>
        </w:rPr>
        <w:t>（7）响应人不得期望通过索赔等方式获取补偿，否则，</w:t>
      </w:r>
      <w:r>
        <w:rPr>
          <w:rFonts w:hint="eastAsia" w:ascii="仿宋_GB2312" w:hAnsi="仿宋_GB2312" w:eastAsia="仿宋_GB2312" w:cs="仿宋_GB2312"/>
          <w:color w:val="auto"/>
          <w:spacing w:val="8"/>
          <w:highlight w:val="none"/>
        </w:rPr>
        <w:t>除可能遭到拒绝外，还可能将被作为不良行为记录在案，并可能影响其以后参加政府采购的项目投标。各响应人在报价</w:t>
      </w:r>
      <w:r>
        <w:rPr>
          <w:rFonts w:hint="eastAsia" w:ascii="仿宋_GB2312" w:hAnsi="仿宋_GB2312" w:eastAsia="仿宋_GB2312" w:cs="仿宋_GB2312"/>
          <w:color w:val="auto"/>
          <w:spacing w:val="7"/>
          <w:highlight w:val="none"/>
        </w:rPr>
        <w:t>时，应充分考虑报价的风险。</w:t>
      </w:r>
    </w:p>
    <w:p w14:paraId="7C70317B">
      <w:pPr>
        <w:keepNext w:val="0"/>
        <w:keepLines w:val="0"/>
        <w:pageBreakBefore w:val="0"/>
        <w:wordWrap/>
        <w:overflowPunct/>
        <w:topLinePunct w:val="0"/>
        <w:bidi w:val="0"/>
        <w:spacing w:before="0" w:beforeLines="50" w:line="560" w:lineRule="exact"/>
        <w:rPr>
          <w:rFonts w:hint="eastAsia" w:ascii="仿宋_GB2312" w:hAnsi="仿宋_GB2312" w:eastAsia="仿宋_GB2312" w:cs="仿宋_GB2312"/>
          <w:color w:val="auto"/>
          <w:highlight w:val="none"/>
        </w:rPr>
        <w:sectPr>
          <w:pgSz w:w="11906" w:h="16839"/>
          <w:pgMar w:top="1431" w:right="1711" w:bottom="0" w:left="1785" w:header="0" w:footer="0" w:gutter="0"/>
          <w:cols w:space="720" w:num="1"/>
        </w:sectPr>
      </w:pPr>
    </w:p>
    <w:p w14:paraId="302F29A9">
      <w:pPr>
        <w:pStyle w:val="2"/>
        <w:keepNext w:val="0"/>
        <w:keepLines w:val="0"/>
        <w:pageBreakBefore w:val="0"/>
        <w:wordWrap/>
        <w:overflowPunct/>
        <w:topLinePunct w:val="0"/>
        <w:bidi w:val="0"/>
        <w:spacing w:before="0" w:beforeLines="50" w:line="560" w:lineRule="exact"/>
        <w:ind w:left="672"/>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6"/>
          <w:highlight w:val="none"/>
        </w:rPr>
        <w:t>5、响应文件组成（具体内容格式自定</w:t>
      </w:r>
      <w:r>
        <w:rPr>
          <w:rFonts w:hint="eastAsia" w:ascii="仿宋_GB2312" w:hAnsi="仿宋_GB2312" w:eastAsia="仿宋_GB2312" w:cs="仿宋_GB2312"/>
          <w:b/>
          <w:bCs/>
          <w:color w:val="auto"/>
          <w:highlight w:val="none"/>
        </w:rPr>
        <w:t>）：</w:t>
      </w:r>
    </w:p>
    <w:p w14:paraId="3292D439">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1</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申请单位基本情况介绍、营业执照、纳税证明、社保证明、企业信用报告、其他相关资质证明（若有）；</w:t>
      </w:r>
    </w:p>
    <w:p w14:paraId="54F1C8A6">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2</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项目详细报价：总价及费用明细；</w:t>
      </w:r>
    </w:p>
    <w:p w14:paraId="59D47A4E">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3</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服务方案：包括但不限于项目服务方案、项目实施进度计划、项目重点难点分析、应对措施及相关的合理化建议、项目管理制度、拟派本项目的服务人数、服务人员素质等；</w:t>
      </w:r>
    </w:p>
    <w:p w14:paraId="61A4037B">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4</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同类业绩证明：同类业绩项目明细及佐证资料，如中标通知书、合同、项目成果图文资料等；</w:t>
      </w:r>
    </w:p>
    <w:p w14:paraId="5C4FD145">
      <w:pPr>
        <w:pStyle w:val="2"/>
        <w:keepNext w:val="0"/>
        <w:keepLines w:val="0"/>
        <w:pageBreakBefore w:val="0"/>
        <w:wordWrap/>
        <w:overflowPunct/>
        <w:topLinePunct w:val="0"/>
        <w:bidi w:val="0"/>
        <w:spacing w:before="0" w:beforeLines="50" w:line="560" w:lineRule="exact"/>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其他申报单位认为有必要的证明文件。</w:t>
      </w:r>
    </w:p>
    <w:p w14:paraId="0E0911EA">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以上材料统一按顺序编制成册,编好页码,按要求签名、盖章,同时加盖骑缝章,一式4份，密封好按照要求报送。</w:t>
      </w:r>
    </w:p>
    <w:p w14:paraId="1406AD6C">
      <w:pPr>
        <w:pStyle w:val="2"/>
        <w:keepNext w:val="0"/>
        <w:keepLines w:val="0"/>
        <w:pageBreakBefore w:val="0"/>
        <w:wordWrap/>
        <w:overflowPunct/>
        <w:topLinePunct w:val="0"/>
        <w:bidi w:val="0"/>
        <w:spacing w:before="0" w:beforeLines="50" w:line="560" w:lineRule="exact"/>
        <w:ind w:firstLine="634"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6、付款方式：</w:t>
      </w:r>
    </w:p>
    <w:p w14:paraId="02689C35">
      <w:pPr>
        <w:pStyle w:val="2"/>
        <w:keepNext w:val="0"/>
        <w:keepLines w:val="0"/>
        <w:pageBreakBefore w:val="0"/>
        <w:wordWrap/>
        <w:overflowPunct/>
        <w:topLinePunct w:val="0"/>
        <w:bidi w:val="0"/>
        <w:spacing w:before="0" w:beforeLines="50" w:line="560" w:lineRule="exact"/>
        <w:ind w:left="36" w:right="16" w:firstLine="64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4"/>
          <w:highlight w:val="none"/>
        </w:rPr>
        <w:t>（1）合同签订后，甲方向乙方支付合同总价款40%的款</w:t>
      </w:r>
      <w:r>
        <w:rPr>
          <w:rFonts w:hint="eastAsia" w:ascii="仿宋_GB2312" w:hAnsi="仿宋_GB2312" w:eastAsia="仿宋_GB2312" w:cs="仿宋_GB2312"/>
          <w:color w:val="auto"/>
          <w:spacing w:val="-7"/>
          <w:highlight w:val="none"/>
        </w:rPr>
        <w:t>项。</w:t>
      </w:r>
    </w:p>
    <w:p w14:paraId="1EB87894">
      <w:pPr>
        <w:pStyle w:val="2"/>
        <w:keepNext w:val="0"/>
        <w:keepLines w:val="0"/>
        <w:pageBreakBefore w:val="0"/>
        <w:wordWrap/>
        <w:overflowPunct/>
        <w:topLinePunct w:val="0"/>
        <w:bidi w:val="0"/>
        <w:spacing w:before="0" w:beforeLines="50" w:line="560" w:lineRule="exact"/>
        <w:ind w:left="52" w:right="14" w:firstLine="627"/>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2"/>
          <w:highlight w:val="none"/>
        </w:rPr>
        <w:t>（2）乙方向甲方递交项目最终成果，并经甲方</w:t>
      </w:r>
      <w:r>
        <w:rPr>
          <w:rFonts w:hint="eastAsia" w:ascii="仿宋_GB2312" w:hAnsi="仿宋_GB2312" w:eastAsia="仿宋_GB2312" w:cs="仿宋_GB2312"/>
          <w:color w:val="auto"/>
          <w:spacing w:val="11"/>
          <w:highlight w:val="none"/>
        </w:rPr>
        <w:t>书面验</w:t>
      </w:r>
      <w:r>
        <w:rPr>
          <w:rFonts w:hint="eastAsia" w:ascii="仿宋_GB2312" w:hAnsi="仿宋_GB2312" w:eastAsia="仿宋_GB2312" w:cs="仿宋_GB2312"/>
          <w:color w:val="auto"/>
          <w:spacing w:val="7"/>
          <w:highlight w:val="none"/>
        </w:rPr>
        <w:t>收通过后，甲方向乙方支付合同总价款的60%。</w:t>
      </w:r>
    </w:p>
    <w:p w14:paraId="769958FA">
      <w:pPr>
        <w:keepNext w:val="0"/>
        <w:keepLines w:val="0"/>
        <w:pageBreakBefore w:val="0"/>
        <w:wordWrap/>
        <w:overflowPunct/>
        <w:topLinePunct w:val="0"/>
        <w:bidi w:val="0"/>
        <w:spacing w:before="0" w:beforeLines="50" w:line="560" w:lineRule="exact"/>
        <w:rPr>
          <w:rFonts w:hint="eastAsia" w:ascii="仿宋_GB2312" w:hAnsi="仿宋_GB2312" w:eastAsia="仿宋_GB2312" w:cs="仿宋_GB2312"/>
          <w:color w:val="auto"/>
          <w:highlight w:val="none"/>
        </w:rPr>
        <w:sectPr>
          <w:pgSz w:w="11906" w:h="16839"/>
          <w:pgMar w:top="1431" w:right="1785" w:bottom="0" w:left="1785" w:header="0" w:footer="0" w:gutter="0"/>
          <w:cols w:space="720" w:num="1"/>
        </w:sectPr>
      </w:pPr>
    </w:p>
    <w:p w14:paraId="62753F2C">
      <w:pPr>
        <w:pStyle w:val="2"/>
        <w:keepNext w:val="0"/>
        <w:keepLines w:val="0"/>
        <w:pageBreakBefore w:val="0"/>
        <w:wordWrap/>
        <w:overflowPunct/>
        <w:topLinePunct w:val="0"/>
        <w:bidi w:val="0"/>
        <w:spacing w:before="0" w:beforeLines="50" w:line="560" w:lineRule="exact"/>
        <w:ind w:left="35" w:right="88" w:firstLine="64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（3）付款条件达成后乙方向甲方开具相应费用的且符</w:t>
      </w:r>
      <w:r>
        <w:rPr>
          <w:rFonts w:hint="eastAsia" w:ascii="仿宋_GB2312" w:hAnsi="仿宋_GB2312" w:eastAsia="仿宋_GB2312" w:cs="仿宋_GB2312"/>
          <w:color w:val="auto"/>
          <w:spacing w:val="6"/>
          <w:highlight w:val="none"/>
        </w:rPr>
        <w:t>合甲方要求的合法票据，甲方收到发票后于15个工作日内</w:t>
      </w:r>
      <w:r>
        <w:rPr>
          <w:rFonts w:hint="eastAsia" w:ascii="仿宋_GB2312" w:hAnsi="仿宋_GB2312" w:eastAsia="仿宋_GB2312" w:cs="仿宋_GB2312"/>
          <w:color w:val="auto"/>
          <w:spacing w:val="21"/>
          <w:highlight w:val="none"/>
        </w:rPr>
        <w:t>依照财务支付流程启动支付程序并支付协议款项至乙方账</w:t>
      </w:r>
      <w:r>
        <w:rPr>
          <w:rFonts w:hint="eastAsia" w:ascii="仿宋_GB2312" w:hAnsi="仿宋_GB2312" w:eastAsia="仿宋_GB2312" w:cs="仿宋_GB2312"/>
          <w:color w:val="auto"/>
          <w:spacing w:val="-7"/>
          <w:highlight w:val="none"/>
        </w:rPr>
        <w:t>户。</w:t>
      </w:r>
    </w:p>
    <w:p w14:paraId="4A7F3EC2">
      <w:pPr>
        <w:pStyle w:val="2"/>
        <w:keepNext w:val="0"/>
        <w:keepLines w:val="0"/>
        <w:pageBreakBefore w:val="0"/>
        <w:wordWrap/>
        <w:overflowPunct/>
        <w:topLinePunct w:val="0"/>
        <w:bidi w:val="0"/>
        <w:spacing w:before="0" w:beforeLines="50" w:line="560" w:lineRule="exact"/>
        <w:ind w:left="34" w:firstLine="64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8"/>
          <w:highlight w:val="none"/>
        </w:rPr>
        <w:t>（4）因乙方未按约定提供增值税发票的，甲方可暂不支付合同款项，乙方不得因此拒绝履行合同义务。因财政拨</w:t>
      </w:r>
      <w:r>
        <w:rPr>
          <w:rFonts w:hint="eastAsia" w:ascii="仿宋_GB2312" w:hAnsi="仿宋_GB2312" w:eastAsia="仿宋_GB2312" w:cs="仿宋_GB2312"/>
          <w:color w:val="auto"/>
          <w:highlight w:val="none"/>
        </w:rPr>
        <w:t>款、支付审批流程等原因导致的付款迟延，不视为甲方违约，</w:t>
      </w:r>
      <w:r>
        <w:rPr>
          <w:rFonts w:hint="eastAsia" w:ascii="仿宋_GB2312" w:hAnsi="仿宋_GB2312" w:eastAsia="仿宋_GB2312" w:cs="仿宋_GB2312"/>
          <w:color w:val="auto"/>
          <w:spacing w:val="3"/>
          <w:highlight w:val="none"/>
        </w:rPr>
        <w:t>甲方免责。</w:t>
      </w:r>
    </w:p>
    <w:p w14:paraId="28ACF2D6">
      <w:pPr>
        <w:pStyle w:val="2"/>
        <w:keepNext w:val="0"/>
        <w:keepLines w:val="0"/>
        <w:pageBreakBefore w:val="0"/>
        <w:wordWrap/>
        <w:overflowPunct/>
        <w:topLinePunct w:val="0"/>
        <w:bidi w:val="0"/>
        <w:spacing w:before="0" w:beforeLines="50" w:line="560" w:lineRule="exact"/>
        <w:ind w:left="673"/>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7、履约担保金：</w:t>
      </w:r>
      <w:r>
        <w:rPr>
          <w:rFonts w:hint="eastAsia" w:ascii="仿宋_GB2312" w:hAnsi="仿宋_GB2312" w:eastAsia="仿宋_GB2312" w:cs="仿宋_GB2312"/>
          <w:color w:val="auto"/>
          <w:highlight w:val="none"/>
        </w:rPr>
        <w:t>由双方协商</w:t>
      </w:r>
    </w:p>
    <w:p w14:paraId="67CC0217">
      <w:pPr>
        <w:pStyle w:val="2"/>
        <w:keepNext w:val="0"/>
        <w:keepLines w:val="0"/>
        <w:pageBreakBefore w:val="0"/>
        <w:wordWrap/>
        <w:overflowPunct/>
        <w:topLinePunct w:val="0"/>
        <w:bidi w:val="0"/>
        <w:spacing w:before="0" w:beforeLines="50" w:line="560" w:lineRule="exact"/>
        <w:ind w:left="667"/>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8、违约责任：</w:t>
      </w:r>
    </w:p>
    <w:p w14:paraId="6D81B8F0">
      <w:pPr>
        <w:pStyle w:val="2"/>
        <w:keepNext w:val="0"/>
        <w:keepLines w:val="0"/>
        <w:pageBreakBefore w:val="0"/>
        <w:wordWrap/>
        <w:overflowPunct/>
        <w:topLinePunct w:val="0"/>
        <w:bidi w:val="0"/>
        <w:spacing w:before="0" w:beforeLines="50" w:line="560" w:lineRule="exact"/>
        <w:ind w:left="35" w:right="87" w:firstLine="64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（1）如甲方未按合同规定期限或金额向乙方支付合同</w:t>
      </w:r>
      <w:r>
        <w:rPr>
          <w:rFonts w:hint="eastAsia" w:ascii="仿宋_GB2312" w:hAnsi="仿宋_GB2312" w:eastAsia="仿宋_GB2312" w:cs="仿宋_GB2312"/>
          <w:color w:val="auto"/>
          <w:spacing w:val="8"/>
          <w:highlight w:val="none"/>
        </w:rPr>
        <w:t>价款且逾期超过二十个工作日的，乙方有权要求甲方支付应付金额并补偿因此造成的损失。因财政拨款、支付审批流程</w:t>
      </w:r>
      <w:r>
        <w:rPr>
          <w:rFonts w:hint="eastAsia" w:ascii="仿宋_GB2312" w:hAnsi="仿宋_GB2312" w:eastAsia="仿宋_GB2312" w:cs="仿宋_GB2312"/>
          <w:color w:val="auto"/>
          <w:spacing w:val="5"/>
          <w:highlight w:val="none"/>
        </w:rPr>
        <w:t>等原因导致的付款迟延，不视为甲方违约，甲方免责。</w:t>
      </w:r>
    </w:p>
    <w:p w14:paraId="4C13D5C3">
      <w:pPr>
        <w:pStyle w:val="2"/>
        <w:keepNext w:val="0"/>
        <w:keepLines w:val="0"/>
        <w:pageBreakBefore w:val="0"/>
        <w:wordWrap/>
        <w:overflowPunct/>
        <w:topLinePunct w:val="0"/>
        <w:bidi w:val="0"/>
        <w:spacing w:before="0" w:beforeLines="50" w:line="560" w:lineRule="exact"/>
        <w:ind w:left="32" w:firstLine="647"/>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3"/>
          <w:highlight w:val="none"/>
        </w:rPr>
        <w:t>（2）如乙方有如下违约行为，甲方可要求解除合同、</w:t>
      </w:r>
      <w:r>
        <w:rPr>
          <w:rFonts w:hint="eastAsia" w:ascii="仿宋_GB2312" w:hAnsi="仿宋_GB2312" w:eastAsia="仿宋_GB2312" w:cs="仿宋_GB2312"/>
          <w:color w:val="auto"/>
          <w:spacing w:val="8"/>
          <w:highlight w:val="none"/>
        </w:rPr>
        <w:t>要求乙方返还其已经支付但未发生的款项（返还款项由甲方视乙方届时的履行情况决定）、要求乙方支付等额于合同价</w:t>
      </w:r>
      <w:r>
        <w:rPr>
          <w:rFonts w:hint="eastAsia" w:ascii="仿宋_GB2312" w:hAnsi="仿宋_GB2312" w:eastAsia="仿宋_GB2312" w:cs="仿宋_GB2312"/>
          <w:color w:val="auto"/>
          <w:spacing w:val="10"/>
          <w:highlight w:val="none"/>
        </w:rPr>
        <w:t>款30%的违约金。若前述违约金不足以弥补甲方的全部损失</w:t>
      </w:r>
      <w:r>
        <w:rPr>
          <w:rFonts w:hint="eastAsia" w:ascii="仿宋_GB2312" w:hAnsi="仿宋_GB2312" w:eastAsia="仿宋_GB2312" w:cs="仿宋_GB2312"/>
          <w:color w:val="auto"/>
          <w:highlight w:val="none"/>
        </w:rPr>
        <w:t>的，乙方应补足。如甲方先行承担责任的，有权向乙方追偿，</w:t>
      </w:r>
      <w:r>
        <w:rPr>
          <w:rFonts w:hint="eastAsia" w:ascii="仿宋_GB2312" w:hAnsi="仿宋_GB2312" w:eastAsia="仿宋_GB2312" w:cs="仿宋_GB2312"/>
          <w:color w:val="auto"/>
          <w:spacing w:val="21"/>
          <w:highlight w:val="none"/>
        </w:rPr>
        <w:t>且甲方有权在应支付给乙方的合同价款中扣除相应的违约</w:t>
      </w:r>
      <w:r>
        <w:rPr>
          <w:rFonts w:hint="eastAsia" w:ascii="仿宋_GB2312" w:hAnsi="仿宋_GB2312" w:eastAsia="仿宋_GB2312" w:cs="仿宋_GB2312"/>
          <w:color w:val="auto"/>
          <w:spacing w:val="-5"/>
          <w:highlight w:val="none"/>
        </w:rPr>
        <w:t>金：</w:t>
      </w:r>
    </w:p>
    <w:p w14:paraId="6E3DB9F7">
      <w:pPr>
        <w:pStyle w:val="2"/>
        <w:keepNext w:val="0"/>
        <w:keepLines w:val="0"/>
        <w:pageBreakBefore w:val="0"/>
        <w:wordWrap/>
        <w:overflowPunct/>
        <w:topLinePunct w:val="0"/>
        <w:bidi w:val="0"/>
        <w:spacing w:before="0" w:beforeLines="50" w:line="560" w:lineRule="exact"/>
        <w:ind w:left="72" w:right="90" w:firstLine="61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8"/>
          <w:highlight w:val="none"/>
        </w:rPr>
        <w:t>i.因乙方原因导致乙方未在约定时间内按要求完成合</w:t>
      </w:r>
      <w:r>
        <w:rPr>
          <w:rFonts w:hint="eastAsia" w:ascii="仿宋_GB2312" w:hAnsi="仿宋_GB2312" w:eastAsia="仿宋_GB2312" w:cs="仿宋_GB2312"/>
          <w:color w:val="auto"/>
          <w:spacing w:val="1"/>
          <w:highlight w:val="none"/>
        </w:rPr>
        <w:t>同义务且逾期超过10个工作日的；</w:t>
      </w:r>
    </w:p>
    <w:p w14:paraId="47F8BE98">
      <w:pPr>
        <w:pStyle w:val="2"/>
        <w:keepNext w:val="0"/>
        <w:keepLines w:val="0"/>
        <w:pageBreakBefore w:val="0"/>
        <w:wordWrap/>
        <w:overflowPunct/>
        <w:topLinePunct w:val="0"/>
        <w:bidi w:val="0"/>
        <w:spacing w:before="0" w:beforeLines="50" w:line="560" w:lineRule="exact"/>
        <w:ind w:left="687"/>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ii</w:t>
      </w:r>
      <w:r>
        <w:rPr>
          <w:rFonts w:hint="eastAsia" w:ascii="仿宋_GB2312" w:hAnsi="仿宋_GB2312" w:eastAsia="仿宋_GB2312" w:cs="仿宋_GB2312"/>
          <w:color w:val="auto"/>
          <w:spacing w:val="8"/>
          <w:highlight w:val="none"/>
        </w:rPr>
        <w:t>.乙方交付的任何研究成果侵犯第三人合法权益的；</w:t>
      </w:r>
    </w:p>
    <w:p w14:paraId="7C5DC286">
      <w:pPr>
        <w:keepNext w:val="0"/>
        <w:keepLines w:val="0"/>
        <w:pageBreakBefore w:val="0"/>
        <w:wordWrap/>
        <w:overflowPunct/>
        <w:topLinePunct w:val="0"/>
        <w:bidi w:val="0"/>
        <w:spacing w:before="0" w:beforeLines="50" w:line="560" w:lineRule="exact"/>
        <w:rPr>
          <w:rFonts w:hint="eastAsia" w:ascii="仿宋_GB2312" w:hAnsi="仿宋_GB2312" w:eastAsia="仿宋_GB2312" w:cs="仿宋_GB2312"/>
          <w:color w:val="auto"/>
          <w:highlight w:val="none"/>
        </w:rPr>
        <w:sectPr>
          <w:pgSz w:w="11906" w:h="16839"/>
          <w:pgMar w:top="1431" w:right="1711" w:bottom="0" w:left="1785" w:header="0" w:footer="0" w:gutter="0"/>
          <w:cols w:space="720" w:num="1"/>
        </w:sectPr>
      </w:pPr>
    </w:p>
    <w:p w14:paraId="14310A1B">
      <w:pPr>
        <w:pStyle w:val="2"/>
        <w:keepNext w:val="0"/>
        <w:keepLines w:val="0"/>
        <w:pageBreakBefore w:val="0"/>
        <w:wordWrap/>
        <w:overflowPunct/>
        <w:topLinePunct w:val="0"/>
        <w:bidi w:val="0"/>
        <w:spacing w:before="0" w:beforeLines="50" w:line="560" w:lineRule="exact"/>
        <w:ind w:left="36" w:right="113" w:firstLine="651"/>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iii</w:t>
      </w:r>
      <w:r>
        <w:rPr>
          <w:rFonts w:hint="eastAsia" w:ascii="仿宋_GB2312" w:hAnsi="仿宋_GB2312" w:eastAsia="仿宋_GB2312" w:cs="仿宋_GB2312"/>
          <w:color w:val="auto"/>
          <w:spacing w:val="22"/>
          <w:highlight w:val="none"/>
        </w:rPr>
        <w:t>.乙方违反本协议约定的保密义务或因其原因造成</w:t>
      </w:r>
      <w:r>
        <w:rPr>
          <w:rFonts w:hint="eastAsia" w:ascii="仿宋_GB2312" w:hAnsi="仿宋_GB2312" w:eastAsia="仿宋_GB2312" w:cs="仿宋_GB2312"/>
          <w:color w:val="auto"/>
          <w:spacing w:val="8"/>
          <w:highlight w:val="none"/>
        </w:rPr>
        <w:t>甲方任何资料泄露致使甲方遭受相关损失或不良后果的。本项违约行为性质严重且造成其他责任的，由相关部门另行依</w:t>
      </w:r>
      <w:r>
        <w:rPr>
          <w:rFonts w:hint="eastAsia" w:ascii="仿宋_GB2312" w:hAnsi="仿宋_GB2312" w:eastAsia="仿宋_GB2312" w:cs="仿宋_GB2312"/>
          <w:color w:val="auto"/>
          <w:spacing w:val="5"/>
          <w:highlight w:val="none"/>
        </w:rPr>
        <w:t>法向乙方追究；</w:t>
      </w:r>
    </w:p>
    <w:p w14:paraId="26EFBEB7">
      <w:pPr>
        <w:pStyle w:val="2"/>
        <w:keepNext w:val="0"/>
        <w:keepLines w:val="0"/>
        <w:pageBreakBefore w:val="0"/>
        <w:wordWrap/>
        <w:overflowPunct/>
        <w:topLinePunct w:val="0"/>
        <w:bidi w:val="0"/>
        <w:spacing w:before="0" w:beforeLines="50" w:line="560" w:lineRule="exact"/>
        <w:ind w:left="45" w:right="114" w:firstLine="64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iv</w:t>
      </w:r>
      <w:r>
        <w:rPr>
          <w:rFonts w:hint="eastAsia" w:ascii="仿宋_GB2312" w:hAnsi="仿宋_GB2312" w:eastAsia="仿宋_GB2312" w:cs="仿宋_GB2312"/>
          <w:color w:val="auto"/>
          <w:spacing w:val="15"/>
          <w:highlight w:val="none"/>
        </w:rPr>
        <w:t>.乙方将本合同项下的义务全部或部分委托、分包或</w:t>
      </w:r>
      <w:r>
        <w:rPr>
          <w:rFonts w:hint="eastAsia" w:ascii="仿宋_GB2312" w:hAnsi="仿宋_GB2312" w:eastAsia="仿宋_GB2312" w:cs="仿宋_GB2312"/>
          <w:color w:val="auto"/>
          <w:spacing w:val="6"/>
          <w:highlight w:val="none"/>
        </w:rPr>
        <w:t>变相分包给第三方履行的。</w:t>
      </w:r>
    </w:p>
    <w:p w14:paraId="23EB1CA1">
      <w:pPr>
        <w:pStyle w:val="2"/>
        <w:keepNext w:val="0"/>
        <w:keepLines w:val="0"/>
        <w:pageBreakBefore w:val="0"/>
        <w:wordWrap/>
        <w:overflowPunct/>
        <w:topLinePunct w:val="0"/>
        <w:bidi w:val="0"/>
        <w:spacing w:before="0" w:beforeLines="50" w:line="560" w:lineRule="exact"/>
        <w:ind w:left="36" w:firstLine="64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6"/>
          <w:highlight w:val="none"/>
        </w:rPr>
        <w:t>（3）除上述约定外，如乙方违反本协议其他约定的，</w:t>
      </w:r>
      <w:r>
        <w:rPr>
          <w:rFonts w:hint="eastAsia" w:ascii="仿宋_GB2312" w:hAnsi="仿宋_GB2312" w:eastAsia="仿宋_GB2312" w:cs="仿宋_GB2312"/>
          <w:color w:val="auto"/>
          <w:spacing w:val="8"/>
          <w:highlight w:val="none"/>
        </w:rPr>
        <w:t>甲方有权告知乙方在指定的期限内进行整改，采取补救措施以防止违约损失的发生或进一步扩大。如乙方未在甲方指定</w:t>
      </w:r>
      <w:r>
        <w:rPr>
          <w:rFonts w:hint="eastAsia" w:ascii="仿宋_GB2312" w:hAnsi="仿宋_GB2312" w:eastAsia="仿宋_GB2312" w:cs="仿宋_GB2312"/>
          <w:color w:val="auto"/>
          <w:spacing w:val="7"/>
          <w:highlight w:val="none"/>
        </w:rPr>
        <w:t>的期限内进行整改，甲方有权依据要求乙方承担违约责任。</w:t>
      </w:r>
      <w:r>
        <w:rPr>
          <w:rFonts w:hint="eastAsia" w:ascii="仿宋_GB2312" w:hAnsi="仿宋_GB2312" w:eastAsia="仿宋_GB2312" w:cs="仿宋_GB2312"/>
          <w:color w:val="auto"/>
          <w:spacing w:val="21"/>
          <w:highlight w:val="none"/>
        </w:rPr>
        <w:t>如甲方因乙方的违约行为而另行委托第三方进行整改或提</w:t>
      </w:r>
      <w:r>
        <w:rPr>
          <w:rFonts w:hint="eastAsia" w:ascii="仿宋_GB2312" w:hAnsi="仿宋_GB2312" w:eastAsia="仿宋_GB2312" w:cs="仿宋_GB2312"/>
          <w:color w:val="auto"/>
          <w:spacing w:val="8"/>
          <w:highlight w:val="none"/>
        </w:rPr>
        <w:t>供本合同相关服务的，因此产生的支付第三方的全部费用及给甲方造成的全部损失均由乙方最终承担。如乙方拒不向甲方支付该费用，甲方通过法律途径向乙方追索该费用而支付</w:t>
      </w:r>
      <w:r>
        <w:rPr>
          <w:rFonts w:hint="eastAsia" w:ascii="仿宋_GB2312" w:hAnsi="仿宋_GB2312" w:eastAsia="仿宋_GB2312" w:cs="仿宋_GB2312"/>
          <w:color w:val="auto"/>
          <w:spacing w:val="1"/>
          <w:highlight w:val="none"/>
        </w:rPr>
        <w:t>的律师费、差旅费、调查费、评估费、诉讼费等由乙方</w:t>
      </w:r>
      <w:r>
        <w:rPr>
          <w:rFonts w:hint="eastAsia" w:ascii="仿宋_GB2312" w:hAnsi="仿宋_GB2312" w:eastAsia="仿宋_GB2312" w:cs="仿宋_GB2312"/>
          <w:color w:val="auto"/>
          <w:highlight w:val="none"/>
        </w:rPr>
        <w:t>承担。</w:t>
      </w:r>
    </w:p>
    <w:p w14:paraId="31F5689F">
      <w:pPr>
        <w:pStyle w:val="2"/>
        <w:keepNext w:val="0"/>
        <w:keepLines w:val="0"/>
        <w:pageBreakBefore w:val="0"/>
        <w:wordWrap/>
        <w:overflowPunct/>
        <w:topLinePunct w:val="0"/>
        <w:bidi w:val="0"/>
        <w:spacing w:before="0" w:beforeLines="50" w:line="560" w:lineRule="exact"/>
        <w:ind w:left="667"/>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7"/>
          <w:highlight w:val="none"/>
        </w:rPr>
        <w:t>9、其他：</w:t>
      </w:r>
      <w:r>
        <w:rPr>
          <w:rFonts w:hint="eastAsia" w:ascii="仿宋_GB2312" w:hAnsi="仿宋_GB2312" w:eastAsia="仿宋_GB2312" w:cs="仿宋_GB2312"/>
          <w:color w:val="auto"/>
          <w:spacing w:val="7"/>
          <w:highlight w:val="none"/>
        </w:rPr>
        <w:t>无</w:t>
      </w:r>
    </w:p>
    <w:sectPr>
      <w:pgSz w:w="11906" w:h="16839"/>
      <w:pgMar w:top="1431" w:right="1688"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FD5EA"/>
    <w:multiLevelType w:val="singleLevel"/>
    <w:tmpl w:val="CFDFD5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JiYzRjZDg4ODIxMmZkMzVjYzYxNzIzMDEwYjJjY2IifQ=="/>
  </w:docVars>
  <w:rsids>
    <w:rsidRoot w:val="00000000"/>
    <w:rsid w:val="07724E37"/>
    <w:rsid w:val="142C636E"/>
    <w:rsid w:val="16AE9E0A"/>
    <w:rsid w:val="22FBF0D4"/>
    <w:rsid w:val="2FDA3894"/>
    <w:rsid w:val="326E7E26"/>
    <w:rsid w:val="35FFEFDE"/>
    <w:rsid w:val="38133295"/>
    <w:rsid w:val="3FDEF40D"/>
    <w:rsid w:val="4DFFAE01"/>
    <w:rsid w:val="4FB708C3"/>
    <w:rsid w:val="548961F8"/>
    <w:rsid w:val="5BEDD451"/>
    <w:rsid w:val="5DFD3FB2"/>
    <w:rsid w:val="61F79581"/>
    <w:rsid w:val="7B6685F1"/>
    <w:rsid w:val="7EB07525"/>
    <w:rsid w:val="7F8F5DFA"/>
    <w:rsid w:val="7FD99BA7"/>
    <w:rsid w:val="7FFA34A7"/>
    <w:rsid w:val="9FF78A1E"/>
    <w:rsid w:val="A7A726DE"/>
    <w:rsid w:val="B79BBC2D"/>
    <w:rsid w:val="BF4E3774"/>
    <w:rsid w:val="DFEAA2F7"/>
    <w:rsid w:val="EBABE479"/>
    <w:rsid w:val="F2E372DE"/>
    <w:rsid w:val="F75F7F06"/>
    <w:rsid w:val="FBFB939C"/>
    <w:rsid w:val="FF7F9261"/>
    <w:rsid w:val="FFB1B2F1"/>
    <w:rsid w:val="FFFF5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2670</Words>
  <Characters>2705</Characters>
  <TotalTime>28</TotalTime>
  <ScaleCrop>false</ScaleCrop>
  <LinksUpToDate>false</LinksUpToDate>
  <CharactersWithSpaces>2705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2024-02-08T17:44:00Z</dcterms:created>
  <dc:creator>Administrator</dc:creator>
  <cp:lastModifiedBy>-Jus</cp:lastModifiedBy>
  <cp:lastPrinted>2024-07-13T17:12:00Z</cp:lastPrinted>
  <dcterms:modified xsi:type="dcterms:W3CDTF">2024-07-26T02:19:04Z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2024-07-01T16:04:03Z</vt:filetime>
  </property>
  <property fmtid="{D5CDD505-2E9C-101B-9397-08002B2CF9AE}" pid="4" name="KSOProductBuildVer">
    <vt:lpwstr>2052-12.1.0.17147</vt:lpwstr>
  </property>
  <property fmtid="{D5CDD505-2E9C-101B-9397-08002B2CF9AE}" pid="5" name="ICV">
    <vt:lpwstr>99776D366A31E17C4BF6906655B5264E</vt:lpwstr>
  </property>
</Properties>
</file>