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本企业已知悉深圳市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有关政策，现自愿申请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符合福田区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申请“个转企”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奖励条件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按期连续申报纳税，无税务异常情况；转型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企业名下有1人以上购买社保；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转型后企业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福田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</w:rPr>
        <w:t>区实际从事经营活动；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未被列入经营异常名录和或严重违法失信名单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奖励资金申请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期间以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自首次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发放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起3年内，企业不具有以下情况：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1.原个体工商户经营者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已不再担任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企业投资人（股东）身份；2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通过登记地址无法联系；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已注销或被吊销、除名、责令关闭、撤销登记。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福田区个体工商户转型升级为企业奖励资金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条件、程序和材料等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在规定的期限内申请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所提供的文件、证件、有关材料及其复印件的真实性、合法性作保证，绝无弄虚作假，并为此承担全部法律责任和后果。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（签名 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37AC8"/>
    <w:multiLevelType w:val="singleLevel"/>
    <w:tmpl w:val="0E337A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70"/>
    <w:rsid w:val="00665570"/>
    <w:rsid w:val="38E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2023-01-05T07:06:00Z</dcterms:created>
  <dc:creator>刘泉</dc:creator>
  <cp:lastModifiedBy>hongbf</cp:lastModifiedBy>
  <dcterms:modified xsi:type="dcterms:W3CDTF">2024-08-14T01:34:32Z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6E754B8E356640D2B913E898C8E16A42</vt:lpwstr>
  </property>
</Properties>
</file>