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D2E53">
      <w:pPr>
        <w:pStyle w:val="4"/>
        <w:jc w:val="center"/>
        <w:outlineLvl w:val="1"/>
        <w:rPr>
          <w:rFonts w:ascii="黑体" w:hAnsi="黑体" w:eastAsia="黑体"/>
          <w:sz w:val="40"/>
          <w:szCs w:val="40"/>
        </w:rPr>
      </w:pPr>
      <w:r>
        <w:rPr>
          <w:rFonts w:hint="eastAsia" w:ascii="黑体" w:hAnsi="黑体" w:eastAsia="黑体"/>
          <w:sz w:val="40"/>
          <w:szCs w:val="40"/>
        </w:rPr>
        <w:t>评标信息</w:t>
      </w:r>
      <w:bookmarkStart w:id="0" w:name="_GoBack"/>
      <w:bookmarkEnd w:id="0"/>
    </w:p>
    <w:tbl>
      <w:tblPr>
        <w:tblStyle w:val="5"/>
        <w:tblW w:w="9072" w:type="dxa"/>
        <w:jc w:val="center"/>
        <w:tblCellSpacing w:w="0" w:type="dxa"/>
        <w:tblLayout w:type="fixed"/>
        <w:tblCellMar>
          <w:top w:w="45" w:type="dxa"/>
          <w:left w:w="45" w:type="dxa"/>
          <w:bottom w:w="45" w:type="dxa"/>
          <w:right w:w="45" w:type="dxa"/>
        </w:tblCellMar>
      </w:tblPr>
      <w:tblGrid>
        <w:gridCol w:w="8962"/>
        <w:gridCol w:w="110"/>
      </w:tblGrid>
      <w:tr w14:paraId="1E982ED3">
        <w:trPr>
          <w:tblCellSpacing w:w="0" w:type="dxa"/>
          <w:jc w:val="center"/>
        </w:trPr>
        <w:tc>
          <w:tcPr>
            <w:tcW w:w="8962" w:type="dxa"/>
            <w:tcBorders>
              <w:top w:val="nil"/>
              <w:left w:val="nil"/>
              <w:bottom w:val="nil"/>
              <w:right w:val="nil"/>
            </w:tcBorders>
            <w:vAlign w:val="center"/>
          </w:tcPr>
          <w:p w14:paraId="4B3A73E2">
            <w:pPr>
              <w:rPr>
                <w:rFonts w:ascii="宋体" w:hAnsi="宋体"/>
                <w:b/>
                <w:bCs/>
              </w:rPr>
            </w:pPr>
            <w:r>
              <w:rPr>
                <w:b/>
                <w:bCs/>
              </w:rPr>
              <w:t>评标方法：综合评分法（价格分算法）</w:t>
            </w:r>
          </w:p>
        </w:tc>
        <w:tc>
          <w:tcPr>
            <w:tcW w:w="110" w:type="dxa"/>
            <w:tcBorders>
              <w:top w:val="nil"/>
              <w:left w:val="nil"/>
              <w:bottom w:val="nil"/>
              <w:right w:val="nil"/>
            </w:tcBorders>
            <w:vAlign w:val="center"/>
          </w:tcPr>
          <w:p w14:paraId="406C6696">
            <w:pPr>
              <w:rPr>
                <w:b/>
                <w:bCs/>
              </w:rPr>
            </w:pPr>
          </w:p>
        </w:tc>
      </w:tr>
      <w:tr w14:paraId="4AF10B9D">
        <w:tblPrEx>
          <w:tblCellMar>
            <w:top w:w="45" w:type="dxa"/>
            <w:left w:w="45" w:type="dxa"/>
            <w:bottom w:w="45" w:type="dxa"/>
            <w:right w:w="45" w:type="dxa"/>
          </w:tblCellMar>
        </w:tblPrEx>
        <w:trPr>
          <w:gridAfter w:val="1"/>
          <w:wAfter w:w="110" w:type="dxa"/>
          <w:tblCellSpacing w:w="0" w:type="dxa"/>
          <w:jc w:val="center"/>
        </w:trPr>
        <w:tc>
          <w:tcPr>
            <w:tcW w:w="8962" w:type="dxa"/>
            <w:tcBorders>
              <w:top w:val="nil"/>
              <w:left w:val="nil"/>
              <w:bottom w:val="nil"/>
              <w:right w:val="nil"/>
            </w:tcBorders>
            <w:vAlign w:val="center"/>
          </w:tcPr>
          <w:p w14:paraId="5C266812">
            <w:pPr>
              <w:pStyle w:val="7"/>
              <w:keepNext w:val="0"/>
              <w:keepLines w:val="0"/>
              <w:pageBreakBefore w:val="0"/>
              <w:widowControl/>
              <w:kinsoku/>
              <w:wordWrap/>
              <w:overflowPunct/>
              <w:topLinePunct w:val="0"/>
              <w:autoSpaceDE/>
              <w:autoSpaceDN/>
              <w:bidi w:val="0"/>
              <w:adjustRightInd/>
              <w:snapToGrid/>
              <w:spacing w:before="71" w:line="288" w:lineRule="auto"/>
              <w:jc w:val="both"/>
              <w:textAlignment w:val="auto"/>
              <w:rPr>
                <w:rFonts w:hint="default"/>
                <w:spacing w:val="-3"/>
                <w:lang w:val="en-US" w:eastAsia="zh-CN"/>
              </w:rPr>
            </w:pPr>
            <w:r>
              <w:rPr>
                <w:rFonts w:hint="eastAsia"/>
                <w:spacing w:val="-3"/>
                <w:lang w:val="en-US" w:eastAsia="zh-CN"/>
              </w:rPr>
              <w:t>一、基准价：</w:t>
            </w:r>
          </w:p>
          <w:p w14:paraId="201F53BC">
            <w:pPr>
              <w:pStyle w:val="7"/>
              <w:keepNext w:val="0"/>
              <w:keepLines w:val="0"/>
              <w:pageBreakBefore w:val="0"/>
              <w:widowControl/>
              <w:kinsoku/>
              <w:wordWrap/>
              <w:overflowPunct/>
              <w:topLinePunct w:val="0"/>
              <w:autoSpaceDE/>
              <w:autoSpaceDN/>
              <w:bidi w:val="0"/>
              <w:adjustRightInd/>
              <w:snapToGrid/>
              <w:spacing w:before="71" w:line="288" w:lineRule="auto"/>
              <w:jc w:val="both"/>
              <w:textAlignment w:val="auto"/>
              <w:rPr>
                <w:rFonts w:hint="eastAsia"/>
                <w:spacing w:val="-3"/>
                <w:lang w:val="en-US" w:eastAsia="zh-CN"/>
              </w:rPr>
            </w:pPr>
            <w:r>
              <w:rPr>
                <w:rFonts w:hint="eastAsia"/>
                <w:spacing w:val="-3"/>
                <w:lang w:val="en-US" w:eastAsia="zh-CN"/>
              </w:rPr>
              <w:t>1.为</w:t>
            </w:r>
            <w:r>
              <w:rPr>
                <w:rFonts w:hint="eastAsia"/>
                <w:spacing w:val="-3"/>
              </w:rPr>
              <w:t>所有有效投标报价（含税）的</w:t>
            </w:r>
            <w:r>
              <w:rPr>
                <w:rFonts w:hint="eastAsia"/>
                <w:spacing w:val="-3"/>
                <w:lang w:val="en-US" w:eastAsia="zh-CN"/>
              </w:rPr>
              <w:t>加权</w:t>
            </w:r>
            <w:r>
              <w:rPr>
                <w:rFonts w:hint="eastAsia"/>
                <w:spacing w:val="-3"/>
              </w:rPr>
              <w:t>平均值</w:t>
            </w:r>
            <w:r>
              <w:rPr>
                <w:rFonts w:hint="eastAsia"/>
                <w:spacing w:val="-3"/>
                <w:lang w:eastAsia="zh-CN"/>
              </w:rPr>
              <w:t>；</w:t>
            </w:r>
          </w:p>
          <w:p w14:paraId="13604B68">
            <w:pPr>
              <w:pStyle w:val="7"/>
              <w:keepNext w:val="0"/>
              <w:keepLines w:val="0"/>
              <w:pageBreakBefore w:val="0"/>
              <w:widowControl/>
              <w:kinsoku/>
              <w:wordWrap/>
              <w:overflowPunct/>
              <w:topLinePunct w:val="0"/>
              <w:autoSpaceDE/>
              <w:autoSpaceDN/>
              <w:bidi w:val="0"/>
              <w:adjustRightInd/>
              <w:snapToGrid/>
              <w:spacing w:before="71" w:line="288" w:lineRule="auto"/>
              <w:jc w:val="both"/>
              <w:textAlignment w:val="auto"/>
              <w:rPr>
                <w:rFonts w:hint="default" w:eastAsia="宋体"/>
                <w:spacing w:val="-3"/>
                <w:lang w:val="en-US" w:eastAsia="zh-CN"/>
              </w:rPr>
            </w:pPr>
            <w:r>
              <w:rPr>
                <w:rFonts w:hint="eastAsia"/>
                <w:spacing w:val="-3"/>
                <w:lang w:val="en-US" w:eastAsia="zh-CN"/>
              </w:rPr>
              <w:t>二、算法计算：</w:t>
            </w:r>
          </w:p>
          <w:p w14:paraId="24D803F4">
            <w:pPr>
              <w:pStyle w:val="7"/>
              <w:keepNext w:val="0"/>
              <w:keepLines w:val="0"/>
              <w:pageBreakBefore w:val="0"/>
              <w:widowControl/>
              <w:kinsoku/>
              <w:wordWrap/>
              <w:overflowPunct/>
              <w:topLinePunct w:val="0"/>
              <w:autoSpaceDE/>
              <w:autoSpaceDN/>
              <w:bidi w:val="0"/>
              <w:adjustRightInd/>
              <w:snapToGrid/>
              <w:spacing w:before="71" w:line="288" w:lineRule="auto"/>
              <w:jc w:val="both"/>
              <w:textAlignment w:val="auto"/>
              <w:rPr>
                <w:rFonts w:hint="eastAsia"/>
                <w:spacing w:val="-3"/>
              </w:rPr>
            </w:pPr>
            <w:r>
              <w:rPr>
                <w:rFonts w:hint="eastAsia"/>
                <w:spacing w:val="-3"/>
                <w:lang w:val="en-US" w:eastAsia="zh-CN"/>
              </w:rPr>
              <w:t>1.</w:t>
            </w:r>
            <w:r>
              <w:rPr>
                <w:rFonts w:hint="eastAsia"/>
                <w:spacing w:val="-3"/>
              </w:rPr>
              <w:t>价格得分=（1-A×｜1-投标报价/Z｜）×M</w:t>
            </w:r>
          </w:p>
          <w:p w14:paraId="6B0265B5">
            <w:pPr>
              <w:pStyle w:val="7"/>
              <w:keepNext w:val="0"/>
              <w:keepLines w:val="0"/>
              <w:pageBreakBefore w:val="0"/>
              <w:widowControl/>
              <w:kinsoku/>
              <w:wordWrap/>
              <w:overflowPunct/>
              <w:topLinePunct w:val="0"/>
              <w:autoSpaceDE/>
              <w:autoSpaceDN/>
              <w:bidi w:val="0"/>
              <w:adjustRightInd/>
              <w:snapToGrid/>
              <w:spacing w:before="71" w:line="288" w:lineRule="auto"/>
              <w:jc w:val="both"/>
              <w:textAlignment w:val="auto"/>
              <w:rPr>
                <w:rFonts w:hint="eastAsia"/>
                <w:spacing w:val="-3"/>
              </w:rPr>
            </w:pPr>
            <w:r>
              <w:rPr>
                <w:rFonts w:hint="eastAsia"/>
                <w:spacing w:val="-3"/>
                <w:lang w:val="en-US" w:eastAsia="zh-CN"/>
              </w:rPr>
              <w:t>2</w:t>
            </w:r>
            <w:r>
              <w:rPr>
                <w:rFonts w:hint="eastAsia"/>
                <w:spacing w:val="-3"/>
              </w:rPr>
              <w:t>.M=</w:t>
            </w:r>
            <w:r>
              <w:rPr>
                <w:rFonts w:hint="eastAsia"/>
                <w:spacing w:val="-3"/>
                <w:u w:val="single"/>
                <w:lang w:val="en-US" w:eastAsia="zh-CN"/>
              </w:rPr>
              <w:t xml:space="preserve"> 30 </w:t>
            </w:r>
            <w:r>
              <w:rPr>
                <w:rFonts w:hint="eastAsia"/>
                <w:spacing w:val="-3"/>
              </w:rPr>
              <w:t>（价格评价分项满分值），Z为本次招标最佳报价（即基准价）；</w:t>
            </w:r>
          </w:p>
          <w:p w14:paraId="6AC05694">
            <w:pPr>
              <w:pStyle w:val="7"/>
              <w:keepNext w:val="0"/>
              <w:keepLines w:val="0"/>
              <w:pageBreakBefore w:val="0"/>
              <w:widowControl/>
              <w:kinsoku/>
              <w:wordWrap/>
              <w:overflowPunct/>
              <w:topLinePunct w:val="0"/>
              <w:autoSpaceDE/>
              <w:autoSpaceDN/>
              <w:bidi w:val="0"/>
              <w:adjustRightInd/>
              <w:snapToGrid/>
              <w:spacing w:before="71" w:line="288" w:lineRule="auto"/>
              <w:jc w:val="both"/>
              <w:textAlignment w:val="auto"/>
              <w:rPr>
                <w:rFonts w:hint="eastAsia"/>
                <w:spacing w:val="-3"/>
              </w:rPr>
            </w:pPr>
            <w:r>
              <w:rPr>
                <w:rFonts w:hint="eastAsia"/>
                <w:spacing w:val="-3"/>
                <w:lang w:val="en-US" w:eastAsia="zh-CN"/>
              </w:rPr>
              <w:t>3</w:t>
            </w:r>
            <w:r>
              <w:rPr>
                <w:rFonts w:hint="eastAsia"/>
                <w:spacing w:val="-3"/>
              </w:rPr>
              <w:t>.A为价格调整系数，当投标报价低于本次招标最佳报价（即基准价）时，A=</w:t>
            </w:r>
            <w:r>
              <w:rPr>
                <w:rFonts w:hint="eastAsia"/>
                <w:spacing w:val="-3"/>
                <w:u w:val="single"/>
              </w:rPr>
              <w:t xml:space="preserve"> 0.</w:t>
            </w:r>
            <w:r>
              <w:rPr>
                <w:rFonts w:hint="eastAsia"/>
                <w:spacing w:val="-3"/>
                <w:u w:val="single"/>
                <w:lang w:val="en-US" w:eastAsia="zh-CN"/>
              </w:rPr>
              <w:t>5</w:t>
            </w:r>
            <w:r>
              <w:rPr>
                <w:rFonts w:hint="eastAsia"/>
                <w:spacing w:val="-3"/>
                <w:u w:val="single"/>
              </w:rPr>
              <w:t xml:space="preserve"> </w:t>
            </w:r>
            <w:r>
              <w:rPr>
                <w:rFonts w:hint="eastAsia"/>
                <w:spacing w:val="-3"/>
              </w:rPr>
              <w:t>；当投标报价高于本次招标最佳报价时，取A=</w:t>
            </w:r>
            <w:r>
              <w:rPr>
                <w:rFonts w:hint="eastAsia"/>
                <w:spacing w:val="-3"/>
                <w:u w:val="single"/>
              </w:rPr>
              <w:t xml:space="preserve"> 1 </w:t>
            </w:r>
            <w:r>
              <w:rPr>
                <w:rFonts w:hint="eastAsia"/>
                <w:spacing w:val="-3"/>
              </w:rPr>
              <w:t>；</w:t>
            </w:r>
          </w:p>
          <w:p w14:paraId="130EFEA4">
            <w:pPr>
              <w:pStyle w:val="4"/>
              <w:spacing w:before="0" w:beforeAutospacing="0" w:after="0" w:afterAutospacing="0" w:line="324" w:lineRule="auto"/>
              <w:rPr>
                <w:sz w:val="21"/>
                <w:szCs w:val="21"/>
              </w:rPr>
            </w:pPr>
            <w:r>
              <w:rPr>
                <w:rFonts w:hint="eastAsia" w:ascii="宋体" w:hAnsi="宋体" w:eastAsia="宋体" w:cs="宋体"/>
                <w:spacing w:val="-3"/>
                <w:sz w:val="21"/>
                <w:szCs w:val="21"/>
                <w:lang w:val="en-US" w:eastAsia="zh-CN" w:bidi="ar-SA"/>
              </w:rPr>
              <w:t>4</w:t>
            </w:r>
            <w:r>
              <w:rPr>
                <w:rFonts w:hint="eastAsia" w:ascii="宋体" w:hAnsi="宋体" w:eastAsia="宋体" w:cs="宋体"/>
                <w:spacing w:val="-3"/>
                <w:sz w:val="21"/>
                <w:szCs w:val="21"/>
                <w:lang w:val="en-US" w:eastAsia="en-US" w:bidi="ar-SA"/>
              </w:rPr>
              <w:t>.计算分数时四舍五入取小数点后两位，当价格分＜0时，取0。</w:t>
            </w:r>
            <w:r>
              <w:rPr>
                <w:rFonts w:ascii="Times New Roman" w:hAnsi="Times New Roman" w:cs="Times New Roman"/>
                <w:sz w:val="21"/>
                <w:szCs w:val="21"/>
              </w:rPr>
              <w:t xml:space="preserve"> </w:t>
            </w:r>
          </w:p>
        </w:tc>
      </w:tr>
    </w:tbl>
    <w:p w14:paraId="2D34507D">
      <w:pPr>
        <w:rPr>
          <w:vanish/>
        </w:rPr>
      </w:pP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077"/>
        <w:gridCol w:w="1230"/>
        <w:gridCol w:w="4405"/>
      </w:tblGrid>
      <w:tr w14:paraId="0AA6C2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5" w:hRule="atLeast"/>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9CBA345">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987"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2106ABE">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405"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4EC0FE2">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分值</w:t>
            </w:r>
          </w:p>
        </w:tc>
      </w:tr>
      <w:tr w14:paraId="043C6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0" w:hRule="atLeast"/>
          <w:jc w:val="center"/>
        </w:trPr>
        <w:tc>
          <w:tcPr>
            <w:tcW w:w="680" w:type="dxa"/>
            <w:tcBorders>
              <w:top w:val="single" w:color="000000" w:sz="8" w:space="0"/>
              <w:left w:val="single" w:color="000000" w:sz="8" w:space="0"/>
              <w:bottom w:val="single" w:color="000000" w:sz="8" w:space="0"/>
              <w:right w:val="single" w:color="000000" w:sz="8" w:space="0"/>
            </w:tcBorders>
          </w:tcPr>
          <w:p w14:paraId="16989AAE">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3987" w:type="dxa"/>
            <w:gridSpan w:val="3"/>
            <w:tcBorders>
              <w:top w:val="single" w:color="000000" w:sz="8" w:space="0"/>
              <w:left w:val="single" w:color="000000" w:sz="8" w:space="0"/>
              <w:bottom w:val="single" w:color="000000" w:sz="8" w:space="0"/>
              <w:right w:val="single" w:color="000000" w:sz="8" w:space="0"/>
            </w:tcBorders>
          </w:tcPr>
          <w:p w14:paraId="2D217277">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价格部分</w:t>
            </w:r>
          </w:p>
        </w:tc>
        <w:tc>
          <w:tcPr>
            <w:tcW w:w="4405" w:type="dxa"/>
            <w:tcBorders>
              <w:top w:val="single" w:color="000000" w:sz="8" w:space="0"/>
              <w:left w:val="single" w:color="000000" w:sz="8" w:space="0"/>
              <w:bottom w:val="single" w:color="000000" w:sz="8" w:space="0"/>
              <w:right w:val="single" w:color="000000" w:sz="8" w:space="0"/>
            </w:tcBorders>
          </w:tcPr>
          <w:p w14:paraId="6A9698D6">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30</w:t>
            </w:r>
          </w:p>
        </w:tc>
      </w:tr>
      <w:tr w14:paraId="20BFC9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0" w:hRule="atLeast"/>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33D2E7C6">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3987" w:type="dxa"/>
            <w:gridSpan w:val="3"/>
            <w:tcBorders>
              <w:top w:val="single" w:color="000000" w:sz="8" w:space="0"/>
              <w:left w:val="single" w:color="000000" w:sz="8" w:space="0"/>
              <w:bottom w:val="single" w:color="000000" w:sz="8" w:space="0"/>
              <w:right w:val="single" w:color="000000" w:sz="8" w:space="0"/>
            </w:tcBorders>
          </w:tcPr>
          <w:p w14:paraId="7937A8B7">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综合实力部分</w:t>
            </w:r>
          </w:p>
        </w:tc>
        <w:tc>
          <w:tcPr>
            <w:tcW w:w="4405" w:type="dxa"/>
            <w:tcBorders>
              <w:top w:val="single" w:color="000000" w:sz="8" w:space="0"/>
              <w:left w:val="single" w:color="000000" w:sz="8" w:space="0"/>
              <w:bottom w:val="single" w:color="000000" w:sz="8" w:space="0"/>
              <w:right w:val="single" w:color="000000" w:sz="8" w:space="0"/>
            </w:tcBorders>
          </w:tcPr>
          <w:p w14:paraId="36D4C650">
            <w:pPr>
              <w:keepNext w:val="0"/>
              <w:keepLines w:val="0"/>
              <w:pageBreakBefore w:val="0"/>
              <w:kinsoku/>
              <w:wordWrap w:val="0"/>
              <w:overflowPunct/>
              <w:topLinePunct w:val="0"/>
              <w:autoSpaceDE/>
              <w:autoSpaceDN/>
              <w:bidi w:val="0"/>
              <w:adjustRightInd/>
              <w:snapToGrid/>
              <w:spacing w:line="360" w:lineRule="exact"/>
              <w:jc w:val="center"/>
              <w:textAlignment w:val="auto"/>
              <w:rPr>
                <w:rFonts w:hint="default"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35</w:t>
            </w:r>
          </w:p>
        </w:tc>
      </w:tr>
      <w:tr w14:paraId="246C5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12DF9FC">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BD6E4C7">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07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E4B3C2A">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123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0E46CBA">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分值</w:t>
            </w:r>
          </w:p>
        </w:tc>
        <w:tc>
          <w:tcPr>
            <w:tcW w:w="440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C39DB89">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258233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1D77BE2">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867B61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w:t>
            </w:r>
          </w:p>
        </w:tc>
        <w:tc>
          <w:tcPr>
            <w:tcW w:w="2077" w:type="dxa"/>
            <w:tcBorders>
              <w:top w:val="single" w:color="000000" w:sz="8" w:space="0"/>
              <w:left w:val="single" w:color="000000" w:sz="8" w:space="0"/>
              <w:bottom w:val="single" w:color="000000" w:sz="8" w:space="0"/>
              <w:right w:val="single" w:color="000000" w:sz="8" w:space="0"/>
            </w:tcBorders>
            <w:vAlign w:val="center"/>
          </w:tcPr>
          <w:p w14:paraId="05E1C3F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有效业绩</w:t>
            </w:r>
          </w:p>
        </w:tc>
        <w:tc>
          <w:tcPr>
            <w:tcW w:w="1230" w:type="dxa"/>
            <w:tcBorders>
              <w:top w:val="single" w:color="000000" w:sz="8" w:space="0"/>
              <w:left w:val="single" w:color="000000" w:sz="8" w:space="0"/>
              <w:bottom w:val="single" w:color="000000" w:sz="8" w:space="0"/>
              <w:right w:val="single" w:color="000000" w:sz="8" w:space="0"/>
            </w:tcBorders>
            <w:vAlign w:val="center"/>
          </w:tcPr>
          <w:p w14:paraId="0833898C">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405" w:type="dxa"/>
            <w:tcBorders>
              <w:top w:val="single" w:color="000000" w:sz="8" w:space="0"/>
              <w:left w:val="single" w:color="000000" w:sz="8" w:space="0"/>
              <w:bottom w:val="single" w:color="000000" w:sz="8" w:space="0"/>
              <w:right w:val="single" w:color="000000" w:sz="8" w:space="0"/>
            </w:tcBorders>
            <w:vAlign w:val="top"/>
          </w:tcPr>
          <w:p w14:paraId="6A9915F0">
            <w:pPr>
              <w:widowControl/>
              <w:jc w:val="left"/>
              <w:rPr>
                <w:rFonts w:hint="eastAsia" w:ascii="宋体" w:hAnsi="宋体" w:eastAsia="宋体" w:cs="宋体"/>
                <w:sz w:val="21"/>
                <w:szCs w:val="21"/>
              </w:rPr>
            </w:pPr>
            <w:r>
              <w:rPr>
                <w:rFonts w:hint="eastAsia" w:ascii="宋体" w:hAnsi="宋体" w:eastAsia="宋体" w:cs="宋体"/>
                <w:b/>
                <w:sz w:val="21"/>
                <w:szCs w:val="21"/>
              </w:rPr>
              <w:t>（一）评分内容</w:t>
            </w:r>
            <w:r>
              <w:rPr>
                <w:rFonts w:hint="eastAsia" w:ascii="宋体" w:hAnsi="宋体" w:eastAsia="宋体" w:cs="宋体"/>
                <w:b/>
                <w:bCs/>
                <w:sz w:val="21"/>
                <w:szCs w:val="21"/>
              </w:rPr>
              <w:t>：</w:t>
            </w:r>
            <w:r>
              <w:rPr>
                <w:rFonts w:hint="eastAsia" w:ascii="宋体" w:hAnsi="宋体" w:eastAsia="宋体" w:cs="宋体"/>
                <w:sz w:val="21"/>
                <w:szCs w:val="21"/>
              </w:rPr>
              <w:t>自2021年1月1日至本项目投标截止之日（以合同签订时间为准），投标人或所投产品制造商具有</w:t>
            </w:r>
            <w:r>
              <w:rPr>
                <w:rFonts w:hint="eastAsia" w:ascii="宋体" w:hAnsi="宋体" w:eastAsia="宋体" w:cs="宋体"/>
                <w:sz w:val="21"/>
                <w:szCs w:val="21"/>
                <w:lang w:val="en-US" w:eastAsia="zh-CN"/>
              </w:rPr>
              <w:t>户外游乐设备项目</w:t>
            </w:r>
            <w:r>
              <w:rPr>
                <w:rFonts w:hint="eastAsia" w:ascii="宋体" w:hAnsi="宋体" w:eastAsia="宋体" w:cs="宋体"/>
                <w:sz w:val="21"/>
                <w:szCs w:val="21"/>
              </w:rPr>
              <w:t>业绩，每提供1项得</w:t>
            </w:r>
            <w:r>
              <w:rPr>
                <w:rFonts w:hint="eastAsia" w:ascii="宋体" w:hAnsi="宋体" w:eastAsia="宋体" w:cs="宋体"/>
                <w:sz w:val="21"/>
                <w:szCs w:val="21"/>
                <w:lang w:val="en-US" w:eastAsia="zh-CN"/>
              </w:rPr>
              <w:t>2</w:t>
            </w:r>
            <w:r>
              <w:rPr>
                <w:rFonts w:hint="eastAsia" w:ascii="宋体" w:hAnsi="宋体" w:eastAsia="宋体" w:cs="宋体"/>
                <w:sz w:val="21"/>
                <w:szCs w:val="21"/>
              </w:rPr>
              <w:t>分，本项最高</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0200988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b/>
                <w:sz w:val="21"/>
                <w:szCs w:val="21"/>
              </w:rPr>
              <w:t>（二）</w:t>
            </w:r>
            <w:r>
              <w:rPr>
                <w:rFonts w:hint="eastAsia" w:ascii="宋体" w:hAnsi="宋体" w:eastAsia="宋体" w:cs="宋体"/>
                <w:b/>
                <w:bCs/>
                <w:sz w:val="21"/>
                <w:szCs w:val="21"/>
                <w:lang w:val="en-US" w:eastAsia="zh-CN"/>
              </w:rPr>
              <w:t>评分标准：</w:t>
            </w:r>
            <w:r>
              <w:rPr>
                <w:rFonts w:hint="eastAsia" w:ascii="宋体" w:hAnsi="宋体" w:eastAsia="宋体" w:cs="宋体"/>
                <w:sz w:val="21"/>
                <w:szCs w:val="21"/>
              </w:rPr>
              <w:t>同时提供中标通知书（或通过公示期的中标公告扫描件）和合同关键页（合同关键信息需包含合同首页、体现项目采购内容页、签字盖章页、签订日期页）扫描件。原件备查，未提供或未按要求提供或提供的不清晰导致专家无法判断的不得分。</w:t>
            </w:r>
          </w:p>
        </w:tc>
      </w:tr>
      <w:tr w14:paraId="302EE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FD8FD92">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00D8DA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2</w:t>
            </w:r>
          </w:p>
        </w:tc>
        <w:tc>
          <w:tcPr>
            <w:tcW w:w="2077" w:type="dxa"/>
            <w:tcBorders>
              <w:top w:val="single" w:color="000000" w:sz="8" w:space="0"/>
              <w:left w:val="single" w:color="000000" w:sz="8" w:space="0"/>
              <w:bottom w:val="single" w:color="000000" w:sz="8" w:space="0"/>
              <w:right w:val="single" w:color="000000" w:sz="8" w:space="0"/>
            </w:tcBorders>
            <w:vAlign w:val="center"/>
          </w:tcPr>
          <w:p w14:paraId="47B1F0EE">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认证</w:t>
            </w:r>
            <w:r>
              <w:rPr>
                <w:rFonts w:hint="eastAsia" w:ascii="宋体" w:hAnsi="宋体" w:eastAsia="宋体" w:cs="宋体"/>
                <w:sz w:val="21"/>
                <w:szCs w:val="21"/>
              </w:rPr>
              <w:t>证书</w:t>
            </w:r>
          </w:p>
        </w:tc>
        <w:tc>
          <w:tcPr>
            <w:tcW w:w="1230" w:type="dxa"/>
            <w:tcBorders>
              <w:top w:val="single" w:color="000000" w:sz="8" w:space="0"/>
              <w:left w:val="single" w:color="000000" w:sz="8" w:space="0"/>
              <w:bottom w:val="single" w:color="000000" w:sz="8" w:space="0"/>
              <w:right w:val="single" w:color="000000" w:sz="8" w:space="0"/>
            </w:tcBorders>
            <w:vAlign w:val="center"/>
          </w:tcPr>
          <w:p w14:paraId="3F274AE3">
            <w:pPr>
              <w:keepNext w:val="0"/>
              <w:keepLines w:val="0"/>
              <w:pageBreakBefore w:val="0"/>
              <w:numPr>
                <w:ilvl w:val="255"/>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jc w:val="center"/>
              <w:textAlignment w:val="auto"/>
              <w:rPr>
                <w:rFonts w:hint="default" w:ascii="宋体" w:hAnsi="宋体" w:eastAsia="宋体" w:cs="宋体"/>
                <w:sz w:val="21"/>
                <w:szCs w:val="21"/>
                <w:lang w:val="en-US"/>
              </w:rPr>
            </w:pPr>
            <w:r>
              <w:rPr>
                <w:rFonts w:hint="eastAsia" w:ascii="宋体" w:hAnsi="宋体" w:eastAsia="宋体" w:cs="宋体"/>
                <w:b w:val="0"/>
                <w:bCs w:val="0"/>
                <w:sz w:val="21"/>
                <w:szCs w:val="21"/>
                <w:lang w:val="en-US" w:eastAsia="zh-CN"/>
              </w:rPr>
              <w:t>17</w:t>
            </w:r>
          </w:p>
        </w:tc>
        <w:tc>
          <w:tcPr>
            <w:tcW w:w="4405" w:type="dxa"/>
            <w:tcBorders>
              <w:top w:val="single" w:color="000000" w:sz="8" w:space="0"/>
              <w:left w:val="single" w:color="000000" w:sz="8" w:space="0"/>
              <w:bottom w:val="single" w:color="000000" w:sz="8" w:space="0"/>
              <w:right w:val="single" w:color="000000" w:sz="8" w:space="0"/>
            </w:tcBorders>
            <w:vAlign w:val="top"/>
          </w:tcPr>
          <w:p w14:paraId="79B390B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（一）评分内容：</w:t>
            </w:r>
          </w:p>
          <w:p w14:paraId="1F380DA7">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投标人或所投产品制造商提供①质量管理体系认证证书②职业健康安全管理体系认证证书③环境管理体系认证证书，每提供一个得1分，满分3分。</w:t>
            </w:r>
          </w:p>
          <w:p w14:paraId="0E9A6BA7">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2、投标人或所投产品制造商提供售后服务体系认证证书的得4分</w:t>
            </w:r>
            <w:r>
              <w:rPr>
                <w:rFonts w:hint="eastAsia" w:ascii="宋体" w:hAnsi="宋体" w:eastAsia="宋体" w:cs="宋体"/>
                <w:b w:val="0"/>
                <w:bCs w:val="0"/>
                <w:sz w:val="21"/>
                <w:szCs w:val="21"/>
                <w:highlight w:val="none"/>
                <w:lang w:val="en-US" w:eastAsia="zh-CN"/>
              </w:rPr>
              <w:t>；</w:t>
            </w:r>
          </w:p>
          <w:p w14:paraId="33506A1A">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3、投标人或所投产品制造商提供经国家认可的质量认证机构出具的儿童乐园或滑梯或组合滑梯产品认证证书的得5分；</w:t>
            </w:r>
          </w:p>
          <w:p w14:paraId="2AC206C3">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4、投标人或所投产品制造商提供经国家认可的质量认证机构出具的跷跷板产品认证证书的得5分。</w:t>
            </w:r>
          </w:p>
          <w:p w14:paraId="378987EE">
            <w:pPr>
              <w:keepNext w:val="0"/>
              <w:keepLines w:val="0"/>
              <w:pageBreakBefore w:val="0"/>
              <w:numPr>
                <w:ilvl w:val="255"/>
                <w:numId w:val="0"/>
              </w:numPr>
              <w:suppressLineNumbers w:val="0"/>
              <w:kinsoku/>
              <w:overflowPunct/>
              <w:topLinePunct w:val="0"/>
              <w:autoSpaceDE/>
              <w:autoSpaceDN/>
              <w:bidi w:val="0"/>
              <w:spacing w:before="0" w:beforeAutospacing="0" w:after="0" w:afterAutospacing="0" w:line="320" w:lineRule="exact"/>
              <w:ind w:left="0" w:leftChars="0" w:right="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（二）评分标准：</w:t>
            </w:r>
            <w:r>
              <w:rPr>
                <w:rFonts w:hint="eastAsia" w:ascii="宋体" w:hAnsi="宋体" w:eastAsia="宋体" w:cs="宋体"/>
                <w:b w:val="0"/>
                <w:bCs w:val="0"/>
                <w:sz w:val="21"/>
                <w:szCs w:val="21"/>
                <w:lang w:val="en-US" w:eastAsia="zh-CN"/>
              </w:rPr>
              <w:t xml:space="preserve"> </w:t>
            </w:r>
          </w:p>
          <w:p w14:paraId="64E53567">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提供认证证书扫描件以及证书在全国认证认可信息公共服务平台（认e云）（http://cx.cnca.cn）查询截图（显示有效且编号与证书一致）；</w:t>
            </w:r>
          </w:p>
          <w:p w14:paraId="525AF3BA">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评分中出现无证明资料或者专家无法凭所提供资料判断是否得分的情况，一律作不得分处理。</w:t>
            </w:r>
          </w:p>
        </w:tc>
      </w:tr>
      <w:tr w14:paraId="0E930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0" w:hRule="atLeast"/>
          <w:jc w:val="center"/>
        </w:trPr>
        <w:tc>
          <w:tcPr>
            <w:tcW w:w="680" w:type="dxa"/>
            <w:tcBorders>
              <w:top w:val="single" w:color="000000" w:sz="8" w:space="0"/>
              <w:left w:val="single" w:color="000000" w:sz="8" w:space="0"/>
              <w:bottom w:val="single" w:color="000000" w:sz="8" w:space="0"/>
              <w:right w:val="single" w:color="000000" w:sz="8" w:space="0"/>
            </w:tcBorders>
            <w:vAlign w:val="center"/>
          </w:tcPr>
          <w:p w14:paraId="35F7C92B">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DF4221C">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p>
        </w:tc>
        <w:tc>
          <w:tcPr>
            <w:tcW w:w="2077" w:type="dxa"/>
            <w:tcBorders>
              <w:top w:val="single" w:color="000000" w:sz="8" w:space="0"/>
              <w:left w:val="single" w:color="000000" w:sz="8" w:space="0"/>
              <w:bottom w:val="single" w:color="000000" w:sz="8" w:space="0"/>
              <w:right w:val="single" w:color="000000" w:sz="8" w:space="0"/>
            </w:tcBorders>
            <w:vAlign w:val="center"/>
          </w:tcPr>
          <w:p w14:paraId="061C384C">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售后服务</w:t>
            </w:r>
          </w:p>
        </w:tc>
        <w:tc>
          <w:tcPr>
            <w:tcW w:w="1230" w:type="dxa"/>
            <w:tcBorders>
              <w:top w:val="single" w:color="000000" w:sz="8" w:space="0"/>
              <w:left w:val="single" w:color="000000" w:sz="8" w:space="0"/>
              <w:bottom w:val="single" w:color="000000" w:sz="8" w:space="0"/>
              <w:right w:val="single" w:color="000000" w:sz="8" w:space="0"/>
            </w:tcBorders>
            <w:vAlign w:val="center"/>
          </w:tcPr>
          <w:p w14:paraId="4967001D">
            <w:pPr>
              <w:keepNext w:val="0"/>
              <w:keepLines w:val="0"/>
              <w:pageBreakBefore w:val="0"/>
              <w:numPr>
                <w:ilvl w:val="255"/>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jc w:val="center"/>
              <w:textAlignment w:val="auto"/>
              <w:rPr>
                <w:rFonts w:hint="default"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10</w:t>
            </w:r>
          </w:p>
        </w:tc>
        <w:tc>
          <w:tcPr>
            <w:tcW w:w="4405" w:type="dxa"/>
            <w:tcBorders>
              <w:top w:val="single" w:color="000000" w:sz="8" w:space="0"/>
              <w:left w:val="single" w:color="000000" w:sz="8" w:space="0"/>
              <w:bottom w:val="single" w:color="000000" w:sz="8" w:space="0"/>
              <w:right w:val="single" w:color="000000" w:sz="8" w:space="0"/>
            </w:tcBorders>
            <w:vAlign w:val="top"/>
          </w:tcPr>
          <w:p w14:paraId="71FE764F">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评</w:t>
            </w:r>
            <w:r>
              <w:rPr>
                <w:rFonts w:hint="eastAsia" w:ascii="宋体" w:hAnsi="宋体" w:eastAsia="宋体" w:cs="宋体"/>
                <w:b/>
                <w:bCs/>
                <w:sz w:val="21"/>
                <w:szCs w:val="21"/>
                <w:lang w:val="en-US" w:eastAsia="zh-CN"/>
              </w:rPr>
              <w:t>分内容</w:t>
            </w:r>
            <w:r>
              <w:rPr>
                <w:rFonts w:hint="eastAsia" w:ascii="宋体" w:hAnsi="宋体" w:eastAsia="宋体" w:cs="宋体"/>
                <w:b/>
                <w:bCs/>
                <w:sz w:val="21"/>
                <w:szCs w:val="21"/>
              </w:rPr>
              <w:t>：</w:t>
            </w:r>
          </w:p>
          <w:p w14:paraId="7E8300B8">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1、投标人在深圳市设有常驻售后服务机构或承诺中标后在深圳市设立售后服务机构的得2分；</w:t>
            </w:r>
          </w:p>
          <w:p w14:paraId="4F3A26EB">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2、投标人或所投产品制造商具备售后服务网络管理系统的得8分。</w:t>
            </w:r>
          </w:p>
          <w:p w14:paraId="2A132C86">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评分标准</w:t>
            </w:r>
            <w:r>
              <w:rPr>
                <w:rFonts w:hint="eastAsia" w:ascii="宋体" w:hAnsi="宋体" w:eastAsia="宋体" w:cs="宋体"/>
                <w:b/>
                <w:bCs/>
                <w:sz w:val="21"/>
                <w:szCs w:val="21"/>
              </w:rPr>
              <w:t>：</w:t>
            </w:r>
          </w:p>
          <w:p w14:paraId="0C96852C">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1、投标人提供房屋租赁合同或房产证扫描件；承诺中标后在深圳市设立售后服务机构的，提供承诺函（格式自拟）；</w:t>
            </w:r>
          </w:p>
          <w:p w14:paraId="492E88F3">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2、投标人或所投产品制造商提供计算机软件著作权登记证书。</w:t>
            </w:r>
          </w:p>
          <w:p w14:paraId="03770A6F">
            <w:pPr>
              <w:pStyle w:val="2"/>
              <w:rPr>
                <w:rFonts w:hint="eastAsia"/>
                <w:lang w:val="en-US" w:eastAsia="zh-CN"/>
              </w:rPr>
            </w:pPr>
            <w:r>
              <w:rPr>
                <w:rFonts w:hint="eastAsia"/>
                <w:lang w:val="en-US" w:eastAsia="zh-CN"/>
              </w:rPr>
              <w:t>原件备查，未提供或未按要求提供或提供的不清晰导致专家无法判断的不得分。</w:t>
            </w:r>
          </w:p>
        </w:tc>
      </w:tr>
      <w:tr w14:paraId="42D26F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0" w:hRule="atLeast"/>
          <w:jc w:val="center"/>
        </w:trPr>
        <w:tc>
          <w:tcPr>
            <w:tcW w:w="680" w:type="dxa"/>
            <w:vMerge w:val="restart"/>
            <w:tcBorders>
              <w:top w:val="single" w:color="000000" w:sz="8" w:space="0"/>
              <w:left w:val="single" w:color="000000" w:sz="8" w:space="0"/>
              <w:right w:val="single" w:color="000000" w:sz="8" w:space="0"/>
            </w:tcBorders>
          </w:tcPr>
          <w:p w14:paraId="53C614FA">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3987" w:type="dxa"/>
            <w:gridSpan w:val="3"/>
            <w:tcBorders>
              <w:top w:val="single" w:color="000000" w:sz="8" w:space="0"/>
              <w:left w:val="single" w:color="000000" w:sz="8" w:space="0"/>
              <w:bottom w:val="single" w:color="000000" w:sz="8" w:space="0"/>
              <w:right w:val="single" w:color="000000" w:sz="8" w:space="0"/>
            </w:tcBorders>
          </w:tcPr>
          <w:p w14:paraId="1BB26657">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4405" w:type="dxa"/>
            <w:tcBorders>
              <w:top w:val="single" w:color="000000" w:sz="8" w:space="0"/>
              <w:left w:val="single" w:color="000000" w:sz="8" w:space="0"/>
              <w:bottom w:val="single" w:color="000000" w:sz="8" w:space="0"/>
              <w:right w:val="single" w:color="000000" w:sz="8" w:space="0"/>
            </w:tcBorders>
          </w:tcPr>
          <w:p w14:paraId="7EADFF9E">
            <w:pPr>
              <w:keepNext w:val="0"/>
              <w:keepLines w:val="0"/>
              <w:pageBreakBefore w:val="0"/>
              <w:kinsoku/>
              <w:wordWrap w:val="0"/>
              <w:overflowPunct/>
              <w:topLinePunct w:val="0"/>
              <w:autoSpaceDE/>
              <w:autoSpaceDN/>
              <w:bidi w:val="0"/>
              <w:adjustRightInd/>
              <w:snapToGrid/>
              <w:spacing w:line="360" w:lineRule="exact"/>
              <w:jc w:val="center"/>
              <w:textAlignment w:val="auto"/>
              <w:rPr>
                <w:rFonts w:hint="default"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30</w:t>
            </w:r>
          </w:p>
        </w:tc>
      </w:tr>
      <w:tr w14:paraId="681F8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0" w:hRule="atLeast"/>
          <w:jc w:val="center"/>
        </w:trPr>
        <w:tc>
          <w:tcPr>
            <w:tcW w:w="680" w:type="dxa"/>
            <w:vMerge w:val="continue"/>
            <w:tcBorders>
              <w:left w:val="single" w:color="000000" w:sz="8" w:space="0"/>
              <w:right w:val="single" w:color="000000" w:sz="8" w:space="0"/>
            </w:tcBorders>
            <w:shd w:val="clear" w:color="auto" w:fill="E6EFFA"/>
            <w:vAlign w:val="center"/>
          </w:tcPr>
          <w:p w14:paraId="28F070DD">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B964591">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07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557BF51">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123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C0F3D98">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分值</w:t>
            </w:r>
          </w:p>
        </w:tc>
        <w:tc>
          <w:tcPr>
            <w:tcW w:w="440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C187306">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45A7A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0" w:hRule="atLeast"/>
          <w:jc w:val="center"/>
        </w:trPr>
        <w:tc>
          <w:tcPr>
            <w:tcW w:w="680" w:type="dxa"/>
            <w:vMerge w:val="continue"/>
            <w:tcBorders>
              <w:left w:val="single" w:color="000000" w:sz="8" w:space="0"/>
              <w:right w:val="single" w:color="000000" w:sz="8" w:space="0"/>
            </w:tcBorders>
            <w:vAlign w:val="center"/>
          </w:tcPr>
          <w:p w14:paraId="0403DEC6">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8DFF3E8">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rPr>
              <w:t>1</w:t>
            </w:r>
          </w:p>
        </w:tc>
        <w:tc>
          <w:tcPr>
            <w:tcW w:w="2077" w:type="dxa"/>
            <w:tcBorders>
              <w:top w:val="single" w:color="000000" w:sz="8" w:space="0"/>
              <w:left w:val="single" w:color="000000" w:sz="8" w:space="0"/>
              <w:bottom w:val="single" w:color="000000" w:sz="8" w:space="0"/>
              <w:right w:val="single" w:color="000000" w:sz="8" w:space="0"/>
            </w:tcBorders>
            <w:vAlign w:val="center"/>
          </w:tcPr>
          <w:p w14:paraId="0DA2207E">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sz w:val="21"/>
                <w:szCs w:val="21"/>
                <w:lang w:eastAsia="zh-CN"/>
              </w:rPr>
              <w:t>重要技术参数响应</w:t>
            </w:r>
            <w:r>
              <w:rPr>
                <w:rFonts w:hint="eastAsia" w:ascii="宋体" w:hAnsi="宋体" w:eastAsia="宋体" w:cs="宋体"/>
                <w:sz w:val="21"/>
                <w:szCs w:val="21"/>
                <w:lang w:val="en-US" w:eastAsia="zh-CN"/>
              </w:rPr>
              <w:t>情况</w:t>
            </w:r>
          </w:p>
        </w:tc>
        <w:tc>
          <w:tcPr>
            <w:tcW w:w="1230" w:type="dxa"/>
            <w:tcBorders>
              <w:top w:val="single" w:color="000000" w:sz="8" w:space="0"/>
              <w:left w:val="single" w:color="000000" w:sz="8" w:space="0"/>
              <w:bottom w:val="single" w:color="000000" w:sz="8" w:space="0"/>
              <w:right w:val="single" w:color="000000" w:sz="8" w:space="0"/>
            </w:tcBorders>
            <w:vAlign w:val="center"/>
          </w:tcPr>
          <w:p w14:paraId="4D02F06A">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宋体" w:hAnsi="宋体" w:eastAsia="宋体" w:cs="宋体"/>
                <w:bCs/>
                <w:color w:val="auto"/>
                <w:sz w:val="21"/>
                <w:szCs w:val="21"/>
                <w:highlight w:val="none"/>
                <w:lang w:val="en-US" w:eastAsia="zh-CN" w:bidi="ar-SA"/>
              </w:rPr>
            </w:pPr>
            <w:r>
              <w:rPr>
                <w:rFonts w:hint="eastAsia" w:ascii="宋体" w:hAnsi="宋体" w:eastAsia="宋体" w:cs="宋体"/>
                <w:sz w:val="21"/>
                <w:szCs w:val="21"/>
                <w:lang w:val="en-US" w:eastAsia="zh-CN"/>
              </w:rPr>
              <w:t>15</w:t>
            </w:r>
          </w:p>
        </w:tc>
        <w:tc>
          <w:tcPr>
            <w:tcW w:w="4405" w:type="dxa"/>
            <w:tcBorders>
              <w:top w:val="single" w:color="000000" w:sz="8" w:space="0"/>
              <w:left w:val="single" w:color="000000" w:sz="8" w:space="0"/>
              <w:bottom w:val="single" w:color="000000" w:sz="8" w:space="0"/>
              <w:right w:val="single" w:color="000000" w:sz="8" w:space="0"/>
            </w:tcBorders>
            <w:vAlign w:val="top"/>
          </w:tcPr>
          <w:p w14:paraId="7047B59E">
            <w:pPr>
              <w:keepNext w:val="0"/>
              <w:keepLines w:val="0"/>
              <w:suppressLineNumbers w:val="0"/>
              <w:wordWrap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评分内容：</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需如实填写《技术</w:t>
            </w:r>
            <w:r>
              <w:rPr>
                <w:rFonts w:hint="eastAsia" w:ascii="宋体" w:hAnsi="宋体" w:eastAsia="宋体" w:cs="宋体"/>
                <w:color w:val="auto"/>
                <w:sz w:val="21"/>
                <w:szCs w:val="21"/>
                <w:highlight w:val="none"/>
                <w:lang w:val="en-US" w:eastAsia="zh-CN"/>
              </w:rPr>
              <w:t>规格</w:t>
            </w:r>
            <w:r>
              <w:rPr>
                <w:rFonts w:hint="eastAsia" w:ascii="宋体" w:hAnsi="宋体" w:eastAsia="宋体" w:cs="宋体"/>
                <w:color w:val="auto"/>
                <w:sz w:val="21"/>
                <w:szCs w:val="21"/>
                <w:highlight w:val="none"/>
              </w:rPr>
              <w:t>偏离表》，评审委员会根据技术条款响应情况进行打分，带有▲的重要技术</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项负偏离，扣</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重复项不重复计分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9EE369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20" w:lineRule="exact"/>
              <w:ind w:left="0" w:leftChars="0" w:right="0" w:righ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二</w:t>
            </w:r>
            <w:r>
              <w:rPr>
                <w:rFonts w:hint="eastAsia" w:ascii="宋体" w:hAnsi="宋体" w:eastAsia="宋体" w:cs="宋体"/>
                <w:b/>
                <w:bCs/>
                <w:kern w:val="0"/>
                <w:sz w:val="21"/>
                <w:szCs w:val="21"/>
                <w:lang w:eastAsia="zh-CN"/>
              </w:rPr>
              <w:t>）</w:t>
            </w:r>
            <w:r>
              <w:rPr>
                <w:rFonts w:hint="eastAsia" w:ascii="宋体" w:hAnsi="宋体" w:eastAsia="宋体" w:cs="宋体"/>
                <w:b/>
                <w:bCs/>
                <w:sz w:val="21"/>
                <w:szCs w:val="21"/>
                <w:lang w:val="en-US" w:eastAsia="zh-CN"/>
              </w:rPr>
              <w:t>评分标准</w:t>
            </w:r>
            <w:r>
              <w:rPr>
                <w:rFonts w:hint="eastAsia" w:ascii="宋体" w:hAnsi="宋体" w:eastAsia="宋体" w:cs="宋体"/>
                <w:b/>
                <w:bCs/>
                <w:kern w:val="0"/>
                <w:sz w:val="21"/>
                <w:szCs w:val="21"/>
              </w:rPr>
              <w:t>：</w:t>
            </w:r>
            <w:r>
              <w:rPr>
                <w:rFonts w:hint="eastAsia" w:ascii="宋体" w:hAnsi="宋体" w:eastAsia="宋体" w:cs="宋体"/>
                <w:kern w:val="0"/>
                <w:sz w:val="21"/>
                <w:szCs w:val="21"/>
              </w:rPr>
              <w:t>根据招标文件技术要求提供对应的证明材料；</w:t>
            </w:r>
            <w:r>
              <w:rPr>
                <w:rFonts w:hint="eastAsia" w:ascii="宋体" w:hAnsi="宋体" w:eastAsia="宋体" w:cs="宋体"/>
                <w:sz w:val="21"/>
                <w:szCs w:val="21"/>
              </w:rPr>
              <w:t>原件备查，未提供或未按要求提供或提供的不清晰导致专家无法判断的不得分。</w:t>
            </w:r>
          </w:p>
        </w:tc>
      </w:tr>
      <w:tr w14:paraId="301A0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0" w:hRule="atLeast"/>
          <w:jc w:val="center"/>
        </w:trPr>
        <w:tc>
          <w:tcPr>
            <w:tcW w:w="680" w:type="dxa"/>
            <w:vMerge w:val="continue"/>
            <w:tcBorders>
              <w:left w:val="single" w:color="000000" w:sz="8" w:space="0"/>
              <w:right w:val="single" w:color="000000" w:sz="8" w:space="0"/>
            </w:tcBorders>
            <w:vAlign w:val="center"/>
          </w:tcPr>
          <w:p w14:paraId="2B98293B">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3808B9F">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2077" w:type="dxa"/>
            <w:tcBorders>
              <w:top w:val="single" w:color="000000" w:sz="8" w:space="0"/>
              <w:left w:val="single" w:color="000000" w:sz="8" w:space="0"/>
              <w:bottom w:val="single" w:color="000000" w:sz="8" w:space="0"/>
              <w:right w:val="single" w:color="000000" w:sz="8" w:space="0"/>
            </w:tcBorders>
            <w:vAlign w:val="center"/>
          </w:tcPr>
          <w:p w14:paraId="64FE50B2">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项目实施方案</w:t>
            </w:r>
          </w:p>
        </w:tc>
        <w:tc>
          <w:tcPr>
            <w:tcW w:w="1230" w:type="dxa"/>
            <w:tcBorders>
              <w:top w:val="single" w:color="000000" w:sz="8" w:space="0"/>
              <w:left w:val="single" w:color="000000" w:sz="8" w:space="0"/>
              <w:bottom w:val="single" w:color="000000" w:sz="8" w:space="0"/>
              <w:right w:val="single" w:color="000000" w:sz="8" w:space="0"/>
            </w:tcBorders>
            <w:vAlign w:val="center"/>
          </w:tcPr>
          <w:p w14:paraId="4EB9471B">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15</w:t>
            </w:r>
          </w:p>
        </w:tc>
        <w:tc>
          <w:tcPr>
            <w:tcW w:w="4405" w:type="dxa"/>
            <w:tcBorders>
              <w:top w:val="single" w:color="000000" w:sz="8" w:space="0"/>
              <w:left w:val="single" w:color="000000" w:sz="8" w:space="0"/>
              <w:bottom w:val="single" w:color="000000" w:sz="8" w:space="0"/>
              <w:right w:val="single" w:color="000000" w:sz="8" w:space="0"/>
            </w:tcBorders>
            <w:vAlign w:val="top"/>
          </w:tcPr>
          <w:p w14:paraId="3D7E143D">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（一）评分内容：</w:t>
            </w:r>
          </w:p>
          <w:p w14:paraId="04727A41">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在投标文件中详细说明实施方案，方案内容应包含：</w:t>
            </w:r>
          </w:p>
          <w:p w14:paraId="55D57815">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1、产品制作工艺；</w:t>
            </w:r>
          </w:p>
          <w:p w14:paraId="253AB1A7">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2、项目实施进度、方案；</w:t>
            </w:r>
          </w:p>
          <w:p w14:paraId="31687865">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3、质量、施工安全保障措施；</w:t>
            </w:r>
          </w:p>
          <w:p w14:paraId="4FFDCD44">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4、安装调试；</w:t>
            </w:r>
          </w:p>
          <w:p w14:paraId="52A543F2">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5、验收安排。</w:t>
            </w:r>
          </w:p>
          <w:p w14:paraId="30792CA1">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（二）评分标准：</w:t>
            </w:r>
          </w:p>
          <w:p w14:paraId="37176F34">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1.投标人每提供上述一项内容得1分，最高不超过5分。</w:t>
            </w:r>
          </w:p>
          <w:p w14:paraId="0C177956">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2.在此基础上，由评审委员进行评分：</w:t>
            </w:r>
          </w:p>
          <w:p w14:paraId="21224575">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优：实施方案科学可行、合理、先进，保证措施具体，工期计划目标明确，得10分。</w:t>
            </w:r>
          </w:p>
          <w:p w14:paraId="6551262C">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良：实施方案可行、较合理、较先进、保证措施一般，工期计划目标较明确，得6分。</w:t>
            </w:r>
          </w:p>
          <w:p w14:paraId="0232EA98">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中：实施方案满足招标文件要求，进度计划较可行、较合理、保证措施较差，得3分。</w:t>
            </w:r>
          </w:p>
          <w:p w14:paraId="4D35AFAD">
            <w:pPr>
              <w:pStyle w:val="3"/>
              <w:keepNext w:val="0"/>
              <w:keepLines w:val="0"/>
              <w:pageBreakBefore w:val="0"/>
              <w:numPr>
                <w:ilvl w:val="0"/>
                <w:numId w:val="0"/>
              </w:numPr>
              <w:suppressLineNumbers w:val="0"/>
              <w:kinsoku/>
              <w:overflowPunct/>
              <w:topLinePunct w:val="0"/>
              <w:autoSpaceDE/>
              <w:autoSpaceDN/>
              <w:bidi w:val="0"/>
              <w:spacing w:before="0" w:beforeAutospacing="0" w:after="0" w:afterAutospacing="0" w:line="320" w:lineRule="exact"/>
              <w:ind w:left="0" w:leftChars="0" w:right="0" w:righ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差：未提供实施方案，得0分。</w:t>
            </w:r>
          </w:p>
        </w:tc>
      </w:tr>
      <w:tr w14:paraId="04E693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0" w:hRule="atLeast"/>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1C150C7">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3987" w:type="dxa"/>
            <w:gridSpan w:val="3"/>
            <w:tcBorders>
              <w:top w:val="single" w:color="000000" w:sz="8" w:space="0"/>
              <w:left w:val="single" w:color="000000" w:sz="8" w:space="0"/>
              <w:bottom w:val="single" w:color="000000" w:sz="8" w:space="0"/>
              <w:right w:val="single" w:color="000000" w:sz="8" w:space="0"/>
            </w:tcBorders>
          </w:tcPr>
          <w:p w14:paraId="6497C205">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诚信部分</w:t>
            </w:r>
          </w:p>
        </w:tc>
        <w:tc>
          <w:tcPr>
            <w:tcW w:w="4405" w:type="dxa"/>
            <w:tcBorders>
              <w:top w:val="single" w:color="000000" w:sz="8" w:space="0"/>
              <w:left w:val="single" w:color="000000" w:sz="8" w:space="0"/>
              <w:bottom w:val="single" w:color="000000" w:sz="8" w:space="0"/>
              <w:right w:val="single" w:color="000000" w:sz="8" w:space="0"/>
            </w:tcBorders>
          </w:tcPr>
          <w:p w14:paraId="476630CF">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w:t>
            </w:r>
          </w:p>
        </w:tc>
      </w:tr>
      <w:tr w14:paraId="76D0F0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CE0DF92">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855ED7A">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07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8EAE98F">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123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5F5AAC6">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分值</w:t>
            </w:r>
          </w:p>
        </w:tc>
        <w:tc>
          <w:tcPr>
            <w:tcW w:w="440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50597D1">
            <w:pPr>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251BDF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4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54537D6">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01720841">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p w14:paraId="6CDE7A27">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p w14:paraId="14404151">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p w14:paraId="5EE305AF">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077" w:type="dxa"/>
            <w:tcBorders>
              <w:top w:val="single" w:color="000000" w:sz="8" w:space="0"/>
              <w:left w:val="single" w:color="000000" w:sz="8" w:space="0"/>
              <w:bottom w:val="single" w:color="000000" w:sz="8" w:space="0"/>
              <w:right w:val="single" w:color="000000" w:sz="8" w:space="0"/>
            </w:tcBorders>
          </w:tcPr>
          <w:p w14:paraId="66E924ED">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p w14:paraId="7B85452E">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p w14:paraId="5FA7BCCC">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p w14:paraId="101974D3">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诚信情况</w:t>
            </w:r>
          </w:p>
        </w:tc>
        <w:tc>
          <w:tcPr>
            <w:tcW w:w="1230" w:type="dxa"/>
            <w:tcBorders>
              <w:top w:val="single" w:color="000000" w:sz="8" w:space="0"/>
              <w:left w:val="single" w:color="000000" w:sz="8" w:space="0"/>
              <w:bottom w:val="single" w:color="000000" w:sz="8" w:space="0"/>
              <w:right w:val="single" w:color="000000" w:sz="8" w:space="0"/>
            </w:tcBorders>
          </w:tcPr>
          <w:p w14:paraId="5620D82B">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p w14:paraId="786B2E6F">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p w14:paraId="3FDE0054">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p w14:paraId="44BB0BEB">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405" w:type="dxa"/>
            <w:tcBorders>
              <w:top w:val="single" w:color="000000" w:sz="8" w:space="0"/>
              <w:left w:val="single" w:color="000000" w:sz="8" w:space="0"/>
              <w:bottom w:val="single" w:color="000000" w:sz="8" w:space="0"/>
              <w:right w:val="single" w:color="000000" w:sz="8" w:space="0"/>
            </w:tcBorders>
          </w:tcPr>
          <w:p w14:paraId="00A18541">
            <w:pPr>
              <w:keepNext w:val="0"/>
              <w:keepLines w:val="0"/>
              <w:pageBreakBefore w:val="0"/>
              <w:kinsoku/>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投标人在参与政府采购活动中存在被记入诚信档案的情形（被禁止参与政府采购活动除外）且在主管部门相关处理措施实施期限内的，本项不得分，否则得满分。投标人无需提供任何证明材料，由工作人员向评审委员会提供相关信息。</w:t>
            </w:r>
          </w:p>
        </w:tc>
      </w:tr>
    </w:tbl>
    <w:p w14:paraId="38BA11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NTdhMmE3NzVhZjM4ZDE0NTZmM2M2ZjY3MzUxYTYifQ=="/>
  </w:docVars>
  <w:rsids>
    <w:rsidRoot w:val="7B4C011F"/>
    <w:rsid w:val="047C785A"/>
    <w:rsid w:val="0DC679A9"/>
    <w:rsid w:val="2E89643F"/>
    <w:rsid w:val="32824455"/>
    <w:rsid w:val="3E371A14"/>
    <w:rsid w:val="474433F3"/>
    <w:rsid w:val="64110BA3"/>
    <w:rsid w:val="6CC14B42"/>
    <w:rsid w:val="73294B88"/>
    <w:rsid w:val="7B4C011F"/>
    <w:rsid w:val="7C74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kern w:val="2"/>
      <w:sz w:val="21"/>
    </w:rPr>
  </w:style>
  <w:style w:type="paragraph" w:styleId="3">
    <w:name w:val="Normal Indent"/>
    <w:basedOn w:val="1"/>
    <w:next w:val="2"/>
    <w:qFormat/>
    <w:uiPriority w:val="0"/>
    <w:pPr>
      <w:ind w:firstLine="420"/>
    </w:pPr>
  </w:style>
  <w:style w:type="paragraph" w:styleId="4">
    <w:name w:val="Normal (Web)"/>
    <w:basedOn w:val="1"/>
    <w:unhideWhenUsed/>
    <w:qFormat/>
    <w:uiPriority w:val="99"/>
    <w:pPr>
      <w:spacing w:before="100" w:beforeAutospacing="1" w:after="100" w:afterAutospacing="1"/>
    </w:pPr>
    <w:rPr>
      <w:rFonts w:ascii="宋体" w:hAnsi="宋体" w:cs="宋体"/>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1672</Words>
  <Characters>1718</Characters>
  <Lines>0</Lines>
  <Paragraphs>0</Paragraphs>
  <TotalTime>85</TotalTime>
  <ScaleCrop>false</ScaleCrop>
  <LinksUpToDate>false</LinksUpToDate>
  <CharactersWithSpaces>1734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2024-06-26T06:14:00Z</dcterms:created>
  <dc:creator>WPS_168532211</dc:creator>
  <cp:lastModifiedBy>WPS_168532211</cp:lastModifiedBy>
  <cp:lastPrinted>2024-08-22T05:45:05Z</cp:lastPrinted>
  <dcterms:modified xsi:type="dcterms:W3CDTF">2024-08-22T07:23:25Z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62FA393810E741A9A0185981B9AE0E5E_11</vt:lpwstr>
  </property>
</Properties>
</file>