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pPr>
    </w:p>
    <w:p>
      <w:pPr>
        <w:ind w:firstLine="640"/>
      </w:pPr>
      <w:bookmarkStart w:id="53" w:name="_GoBack"/>
    </w:p>
    <w:bookmarkEnd w:id="53"/>
    <w:p>
      <w:pPr>
        <w:ind w:firstLine="640"/>
      </w:pPr>
    </w:p>
    <w:p>
      <w:pPr>
        <w:ind w:firstLine="640"/>
      </w:pPr>
    </w:p>
    <w:p>
      <w:pPr>
        <w:ind w:firstLine="640"/>
      </w:pPr>
    </w:p>
    <w:p>
      <w:pPr>
        <w:ind w:firstLine="640"/>
      </w:pPr>
    </w:p>
    <w:p>
      <w:pPr>
        <w:ind w:firstLine="640"/>
      </w:pPr>
    </w:p>
    <w:p>
      <w:pPr>
        <w:ind w:firstLine="0" w:firstLineChars="0"/>
        <w:jc w:val="center"/>
        <w:rPr>
          <w:rFonts w:ascii="方正小标宋简体" w:hAnsi="宋体" w:eastAsia="方正小标宋简体" w:cs="Arial"/>
          <w:sz w:val="44"/>
          <w:szCs w:val="44"/>
        </w:rPr>
      </w:pPr>
      <w:r>
        <w:rPr>
          <w:rFonts w:hint="eastAsia" w:ascii="方正小标宋简体" w:hAnsi="宋体" w:eastAsia="方正小标宋简体" w:cs="Arial"/>
          <w:sz w:val="44"/>
          <w:szCs w:val="44"/>
        </w:rPr>
        <w:t>2</w:t>
      </w:r>
      <w:r>
        <w:rPr>
          <w:rFonts w:ascii="方正小标宋简体" w:hAnsi="宋体" w:eastAsia="方正小标宋简体" w:cs="Arial"/>
          <w:sz w:val="44"/>
          <w:szCs w:val="44"/>
        </w:rPr>
        <w:t>021</w:t>
      </w:r>
      <w:r>
        <w:rPr>
          <w:rFonts w:hint="eastAsia" w:ascii="方正小标宋简体" w:hAnsi="宋体" w:eastAsia="方正小标宋简体" w:cs="Arial"/>
          <w:sz w:val="44"/>
          <w:szCs w:val="44"/>
        </w:rPr>
        <w:t>年度信息系统维护项目支出</w:t>
      </w:r>
    </w:p>
    <w:p>
      <w:pPr>
        <w:ind w:firstLine="0" w:firstLineChars="0"/>
        <w:jc w:val="center"/>
        <w:rPr>
          <w:rFonts w:ascii="方正小标宋简体" w:hAnsi="Arial" w:eastAsia="方正小标宋简体" w:cs="Arial"/>
          <w:sz w:val="44"/>
          <w:szCs w:val="44"/>
        </w:rPr>
      </w:pPr>
      <w:r>
        <w:rPr>
          <w:rFonts w:hint="eastAsia" w:ascii="方正小标宋简体" w:hAnsi="宋体" w:eastAsia="方正小标宋简体" w:cs="Arial"/>
          <w:sz w:val="44"/>
          <w:szCs w:val="44"/>
        </w:rPr>
        <w:t>绩效评价报告</w:t>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1280" w:firstLineChars="400"/>
        <w:jc w:val="left"/>
        <w:rPr>
          <w:rFonts w:ascii="黑体" w:hAnsi="黑体" w:eastAsia="黑体"/>
          <w:szCs w:val="32"/>
        </w:rPr>
      </w:pPr>
      <w:r>
        <w:rPr>
          <w:rFonts w:hint="eastAsia" w:ascii="黑体" w:hAnsi="黑体" w:eastAsia="黑体"/>
          <w:szCs w:val="32"/>
        </w:rPr>
        <w:t>项目名称：信息系统维护</w:t>
      </w:r>
    </w:p>
    <w:p>
      <w:pPr>
        <w:ind w:firstLine="1280" w:firstLineChars="400"/>
        <w:jc w:val="left"/>
        <w:rPr>
          <w:rFonts w:ascii="黑体" w:hAnsi="黑体" w:eastAsia="黑体"/>
          <w:szCs w:val="32"/>
        </w:rPr>
      </w:pPr>
      <w:r>
        <w:rPr>
          <w:rFonts w:hint="eastAsia" w:ascii="黑体" w:hAnsi="黑体" w:eastAsia="黑体"/>
          <w:szCs w:val="32"/>
        </w:rPr>
        <w:t>项目单位：深圳市福田区国库支付中心</w:t>
      </w:r>
    </w:p>
    <w:p>
      <w:pPr>
        <w:ind w:firstLine="640"/>
      </w:pPr>
    </w:p>
    <w:p>
      <w:pPr>
        <w:ind w:firstLine="640"/>
      </w:pPr>
    </w:p>
    <w:p>
      <w:pPr>
        <w:widowControl/>
        <w:spacing w:line="240" w:lineRule="auto"/>
        <w:ind w:firstLine="0" w:firstLineChars="0"/>
        <w:jc w:val="left"/>
      </w:pPr>
      <w:r>
        <w:br w:type="page"/>
      </w:r>
    </w:p>
    <w:sdt>
      <w:sdtPr>
        <w:rPr>
          <w:rFonts w:eastAsia="仿宋_GB2312" w:asciiTheme="minorHAnsi" w:hAnsiTheme="minorHAnsi" w:cstheme="minorBidi"/>
          <w:color w:val="auto"/>
          <w:kern w:val="2"/>
          <w:szCs w:val="22"/>
          <w:lang w:val="zh-CN"/>
        </w:rPr>
        <w:id w:val="-176728477"/>
        <w:docPartObj>
          <w:docPartGallery w:val="Table of Contents"/>
          <w:docPartUnique/>
        </w:docPartObj>
      </w:sdtPr>
      <w:sdtEndPr>
        <w:rPr>
          <w:rFonts w:eastAsia="仿宋_GB2312" w:asciiTheme="minorHAnsi" w:hAnsiTheme="minorHAnsi" w:cstheme="minorBidi"/>
          <w:b/>
          <w:bCs/>
          <w:color w:val="auto"/>
          <w:kern w:val="2"/>
          <w:szCs w:val="22"/>
          <w:lang w:val="zh-CN"/>
        </w:rPr>
      </w:sdtEndPr>
      <w:sdtContent>
        <w:p>
          <w:pPr>
            <w:pStyle w:val="24"/>
            <w:jc w:val="center"/>
            <w:rPr>
              <w:rFonts w:ascii="黑体" w:hAnsi="黑体" w:eastAsia="黑体"/>
              <w:color w:val="auto"/>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录</w:t>
          </w:r>
        </w:p>
        <w:p>
          <w:pPr>
            <w:pStyle w:val="11"/>
            <w:tabs>
              <w:tab w:val="right" w:leader="dot" w:pos="8296"/>
            </w:tabs>
            <w:ind w:firstLine="0" w:firstLineChars="0"/>
            <w:rPr>
              <w:rStyle w:val="16"/>
              <w:rFonts w:ascii="仿宋_GB2312"/>
              <w:szCs w:val="32"/>
            </w:rPr>
          </w:pPr>
          <w:r>
            <w:rPr>
              <w:rStyle w:val="16"/>
              <w:rFonts w:hint="eastAsia" w:ascii="仿宋_GB2312"/>
              <w:b/>
              <w:bCs/>
              <w:szCs w:val="32"/>
            </w:rPr>
            <w:fldChar w:fldCharType="begin"/>
          </w:r>
          <w:r>
            <w:rPr>
              <w:rStyle w:val="16"/>
              <w:rFonts w:ascii="仿宋_GB2312"/>
              <w:b/>
              <w:bCs/>
              <w:szCs w:val="32"/>
            </w:rPr>
            <w:instrText xml:space="preserve"> TOC \o "1-3" \h \z \u </w:instrText>
          </w:r>
          <w:r>
            <w:rPr>
              <w:rStyle w:val="16"/>
              <w:rFonts w:hint="eastAsia" w:ascii="仿宋_GB2312"/>
              <w:b/>
              <w:bCs/>
              <w:szCs w:val="32"/>
            </w:rPr>
            <w:fldChar w:fldCharType="separate"/>
          </w:r>
          <w:r>
            <w:fldChar w:fldCharType="begin"/>
          </w:r>
          <w:r>
            <w:instrText xml:space="preserve"> HYPERLINK \l "_Toc111637864" </w:instrText>
          </w:r>
          <w:r>
            <w:fldChar w:fldCharType="separate"/>
          </w:r>
          <w:r>
            <w:rPr>
              <w:rStyle w:val="16"/>
              <w:rFonts w:ascii="仿宋_GB2312"/>
              <w:szCs w:val="32"/>
            </w:rPr>
            <w:t>一、基本情况</w:t>
          </w:r>
          <w:r>
            <w:rPr>
              <w:rStyle w:val="16"/>
              <w:rFonts w:ascii="仿宋_GB2312"/>
              <w:szCs w:val="32"/>
            </w:rPr>
            <w:tab/>
          </w:r>
          <w:r>
            <w:rPr>
              <w:rStyle w:val="16"/>
              <w:rFonts w:ascii="仿宋_GB2312"/>
              <w:szCs w:val="32"/>
            </w:rPr>
            <w:fldChar w:fldCharType="begin"/>
          </w:r>
          <w:r>
            <w:rPr>
              <w:rStyle w:val="16"/>
              <w:rFonts w:ascii="仿宋_GB2312"/>
              <w:szCs w:val="32"/>
            </w:rPr>
            <w:instrText xml:space="preserve"> PAGEREF _Toc111637864 \h </w:instrText>
          </w:r>
          <w:r>
            <w:rPr>
              <w:rStyle w:val="16"/>
              <w:rFonts w:ascii="仿宋_GB2312"/>
              <w:szCs w:val="32"/>
            </w:rPr>
            <w:fldChar w:fldCharType="separate"/>
          </w:r>
          <w:r>
            <w:rPr>
              <w:rStyle w:val="16"/>
              <w:rFonts w:ascii="仿宋_GB2312"/>
              <w:szCs w:val="32"/>
            </w:rPr>
            <w:t>1</w:t>
          </w:r>
          <w:r>
            <w:rPr>
              <w:rStyle w:val="16"/>
              <w:rFonts w:ascii="仿宋_GB2312"/>
              <w:szCs w:val="32"/>
            </w:rPr>
            <w:fldChar w:fldCharType="end"/>
          </w:r>
          <w:r>
            <w:rPr>
              <w:rStyle w:val="16"/>
              <w:rFonts w:ascii="仿宋_GB2312"/>
              <w:szCs w:val="32"/>
            </w:rPr>
            <w:fldChar w:fldCharType="end"/>
          </w:r>
        </w:p>
        <w:p>
          <w:pPr>
            <w:pStyle w:val="11"/>
            <w:tabs>
              <w:tab w:val="right" w:leader="dot" w:pos="8296"/>
            </w:tabs>
            <w:ind w:firstLine="640"/>
            <w:rPr>
              <w:rStyle w:val="16"/>
              <w:rFonts w:ascii="仿宋_GB2312"/>
              <w:szCs w:val="32"/>
            </w:rPr>
          </w:pPr>
          <w:r>
            <w:fldChar w:fldCharType="begin"/>
          </w:r>
          <w:r>
            <w:instrText xml:space="preserve"> HYPERLINK \l "_Toc111637865" </w:instrText>
          </w:r>
          <w:r>
            <w:fldChar w:fldCharType="separate"/>
          </w:r>
          <w:r>
            <w:rPr>
              <w:rStyle w:val="16"/>
              <w:rFonts w:ascii="仿宋_GB2312"/>
              <w:szCs w:val="32"/>
            </w:rPr>
            <w:t>（一）项目概况</w:t>
          </w:r>
          <w:r>
            <w:rPr>
              <w:rStyle w:val="16"/>
              <w:rFonts w:ascii="仿宋_GB2312"/>
              <w:szCs w:val="32"/>
            </w:rPr>
            <w:tab/>
          </w:r>
          <w:r>
            <w:rPr>
              <w:rStyle w:val="16"/>
              <w:rFonts w:ascii="仿宋_GB2312"/>
              <w:szCs w:val="32"/>
            </w:rPr>
            <w:fldChar w:fldCharType="begin"/>
          </w:r>
          <w:r>
            <w:rPr>
              <w:rStyle w:val="16"/>
              <w:rFonts w:ascii="仿宋_GB2312"/>
              <w:szCs w:val="32"/>
            </w:rPr>
            <w:instrText xml:space="preserve"> PAGEREF _Toc111637865 \h </w:instrText>
          </w:r>
          <w:r>
            <w:rPr>
              <w:rStyle w:val="16"/>
              <w:rFonts w:ascii="仿宋_GB2312"/>
              <w:szCs w:val="32"/>
            </w:rPr>
            <w:fldChar w:fldCharType="separate"/>
          </w:r>
          <w:r>
            <w:rPr>
              <w:rStyle w:val="16"/>
              <w:rFonts w:ascii="仿宋_GB2312"/>
              <w:szCs w:val="32"/>
            </w:rPr>
            <w:t>1</w:t>
          </w:r>
          <w:r>
            <w:rPr>
              <w:rStyle w:val="16"/>
              <w:rFonts w:ascii="仿宋_GB2312"/>
              <w:szCs w:val="32"/>
            </w:rPr>
            <w:fldChar w:fldCharType="end"/>
          </w:r>
          <w:r>
            <w:rPr>
              <w:rStyle w:val="16"/>
              <w:rFonts w:ascii="仿宋_GB2312"/>
              <w:szCs w:val="32"/>
            </w:rPr>
            <w:fldChar w:fldCharType="end"/>
          </w:r>
        </w:p>
        <w:p>
          <w:pPr>
            <w:pStyle w:val="11"/>
            <w:tabs>
              <w:tab w:val="right" w:leader="dot" w:pos="8296"/>
            </w:tabs>
            <w:ind w:firstLine="0" w:firstLineChars="0"/>
            <w:rPr>
              <w:rStyle w:val="16"/>
              <w:rFonts w:ascii="仿宋_GB2312"/>
              <w:szCs w:val="32"/>
            </w:rPr>
          </w:pPr>
          <w:r>
            <w:rPr>
              <w:rStyle w:val="16"/>
              <w:rFonts w:ascii="仿宋_GB2312"/>
              <w:szCs w:val="32"/>
              <w:u w:val="none"/>
            </w:rPr>
            <w:t xml:space="preserve">    </w:t>
          </w:r>
          <w:r>
            <w:fldChar w:fldCharType="begin"/>
          </w:r>
          <w:r>
            <w:instrText xml:space="preserve"> HYPERLINK \l "_Toc111637869" </w:instrText>
          </w:r>
          <w:r>
            <w:fldChar w:fldCharType="separate"/>
          </w:r>
          <w:r>
            <w:rPr>
              <w:rStyle w:val="16"/>
              <w:rFonts w:ascii="仿宋_GB2312"/>
              <w:szCs w:val="32"/>
            </w:rPr>
            <w:t>（二）项目绩效目标</w:t>
          </w:r>
          <w:r>
            <w:rPr>
              <w:rStyle w:val="16"/>
              <w:rFonts w:ascii="仿宋_GB2312"/>
              <w:szCs w:val="32"/>
            </w:rPr>
            <w:tab/>
          </w:r>
          <w:r>
            <w:rPr>
              <w:rStyle w:val="16"/>
              <w:rFonts w:ascii="仿宋_GB2312"/>
              <w:szCs w:val="32"/>
            </w:rPr>
            <w:fldChar w:fldCharType="begin"/>
          </w:r>
          <w:r>
            <w:rPr>
              <w:rStyle w:val="16"/>
              <w:rFonts w:ascii="仿宋_GB2312"/>
              <w:szCs w:val="32"/>
            </w:rPr>
            <w:instrText xml:space="preserve"> PAGEREF _Toc111637869 \h </w:instrText>
          </w:r>
          <w:r>
            <w:rPr>
              <w:rStyle w:val="16"/>
              <w:rFonts w:ascii="仿宋_GB2312"/>
              <w:szCs w:val="32"/>
            </w:rPr>
            <w:fldChar w:fldCharType="separate"/>
          </w:r>
          <w:r>
            <w:rPr>
              <w:rStyle w:val="16"/>
              <w:rFonts w:ascii="仿宋_GB2312"/>
              <w:szCs w:val="32"/>
            </w:rPr>
            <w:t>2</w:t>
          </w:r>
          <w:r>
            <w:rPr>
              <w:rStyle w:val="16"/>
              <w:rFonts w:ascii="仿宋_GB2312"/>
              <w:szCs w:val="32"/>
            </w:rPr>
            <w:fldChar w:fldCharType="end"/>
          </w:r>
          <w:r>
            <w:rPr>
              <w:rStyle w:val="16"/>
              <w:rFonts w:ascii="仿宋_GB2312"/>
              <w:szCs w:val="32"/>
            </w:rPr>
            <w:fldChar w:fldCharType="end"/>
          </w:r>
        </w:p>
        <w:p>
          <w:pPr>
            <w:pStyle w:val="11"/>
            <w:tabs>
              <w:tab w:val="right" w:leader="dot" w:pos="8296"/>
            </w:tabs>
            <w:ind w:firstLine="0" w:firstLineChars="0"/>
            <w:rPr>
              <w:rStyle w:val="16"/>
              <w:rFonts w:ascii="仿宋_GB2312"/>
              <w:szCs w:val="32"/>
            </w:rPr>
          </w:pPr>
          <w:r>
            <w:fldChar w:fldCharType="begin"/>
          </w:r>
          <w:r>
            <w:instrText xml:space="preserve"> HYPERLINK \l "_Toc111637870" </w:instrText>
          </w:r>
          <w:r>
            <w:fldChar w:fldCharType="separate"/>
          </w:r>
          <w:r>
            <w:rPr>
              <w:rStyle w:val="16"/>
              <w:rFonts w:ascii="仿宋_GB2312"/>
              <w:szCs w:val="32"/>
            </w:rPr>
            <w:t>二、绩效评价工作开展情况</w:t>
          </w:r>
          <w:r>
            <w:rPr>
              <w:rStyle w:val="16"/>
              <w:rFonts w:ascii="仿宋_GB2312"/>
              <w:szCs w:val="32"/>
            </w:rPr>
            <w:tab/>
          </w:r>
          <w:r>
            <w:rPr>
              <w:rStyle w:val="16"/>
              <w:rFonts w:ascii="仿宋_GB2312"/>
              <w:szCs w:val="32"/>
            </w:rPr>
            <w:fldChar w:fldCharType="begin"/>
          </w:r>
          <w:r>
            <w:rPr>
              <w:rStyle w:val="16"/>
              <w:rFonts w:ascii="仿宋_GB2312"/>
              <w:szCs w:val="32"/>
            </w:rPr>
            <w:instrText xml:space="preserve"> PAGEREF _Toc111637870 \h </w:instrText>
          </w:r>
          <w:r>
            <w:rPr>
              <w:rStyle w:val="16"/>
              <w:rFonts w:ascii="仿宋_GB2312"/>
              <w:szCs w:val="32"/>
            </w:rPr>
            <w:fldChar w:fldCharType="separate"/>
          </w:r>
          <w:r>
            <w:rPr>
              <w:rStyle w:val="16"/>
              <w:rFonts w:ascii="仿宋_GB2312"/>
              <w:szCs w:val="32"/>
            </w:rPr>
            <w:t>2</w:t>
          </w:r>
          <w:r>
            <w:rPr>
              <w:rStyle w:val="16"/>
              <w:rFonts w:ascii="仿宋_GB2312"/>
              <w:szCs w:val="32"/>
            </w:rPr>
            <w:fldChar w:fldCharType="end"/>
          </w:r>
          <w:r>
            <w:rPr>
              <w:rStyle w:val="16"/>
              <w:rFonts w:ascii="仿宋_GB2312"/>
              <w:szCs w:val="32"/>
            </w:rPr>
            <w:fldChar w:fldCharType="end"/>
          </w:r>
        </w:p>
        <w:p>
          <w:pPr>
            <w:pStyle w:val="11"/>
            <w:tabs>
              <w:tab w:val="right" w:leader="dot" w:pos="8296"/>
            </w:tabs>
            <w:ind w:firstLine="640"/>
            <w:rPr>
              <w:rStyle w:val="16"/>
              <w:rFonts w:ascii="仿宋_GB2312"/>
              <w:szCs w:val="32"/>
            </w:rPr>
          </w:pPr>
          <w:r>
            <w:fldChar w:fldCharType="begin"/>
          </w:r>
          <w:r>
            <w:instrText xml:space="preserve"> HYPERLINK \l "_Toc111637871" </w:instrText>
          </w:r>
          <w:r>
            <w:fldChar w:fldCharType="separate"/>
          </w:r>
          <w:r>
            <w:rPr>
              <w:rStyle w:val="16"/>
              <w:rFonts w:ascii="仿宋_GB2312"/>
              <w:szCs w:val="32"/>
            </w:rPr>
            <w:t>（一）绩效评价目的、对象和范围</w:t>
          </w:r>
          <w:r>
            <w:rPr>
              <w:rStyle w:val="16"/>
              <w:rFonts w:ascii="仿宋_GB2312"/>
              <w:szCs w:val="32"/>
            </w:rPr>
            <w:tab/>
          </w:r>
          <w:r>
            <w:rPr>
              <w:rStyle w:val="16"/>
              <w:rFonts w:ascii="仿宋_GB2312"/>
              <w:szCs w:val="32"/>
            </w:rPr>
            <w:fldChar w:fldCharType="begin"/>
          </w:r>
          <w:r>
            <w:rPr>
              <w:rStyle w:val="16"/>
              <w:rFonts w:ascii="仿宋_GB2312"/>
              <w:szCs w:val="32"/>
            </w:rPr>
            <w:instrText xml:space="preserve"> PAGEREF _Toc111637871 \h </w:instrText>
          </w:r>
          <w:r>
            <w:rPr>
              <w:rStyle w:val="16"/>
              <w:rFonts w:ascii="仿宋_GB2312"/>
              <w:szCs w:val="32"/>
            </w:rPr>
            <w:fldChar w:fldCharType="separate"/>
          </w:r>
          <w:r>
            <w:rPr>
              <w:rStyle w:val="16"/>
              <w:rFonts w:ascii="仿宋_GB2312"/>
              <w:szCs w:val="32"/>
            </w:rPr>
            <w:t>2</w:t>
          </w:r>
          <w:r>
            <w:rPr>
              <w:rStyle w:val="16"/>
              <w:rFonts w:ascii="仿宋_GB2312"/>
              <w:szCs w:val="32"/>
            </w:rPr>
            <w:fldChar w:fldCharType="end"/>
          </w:r>
          <w:r>
            <w:rPr>
              <w:rStyle w:val="16"/>
              <w:rFonts w:ascii="仿宋_GB2312"/>
              <w:szCs w:val="32"/>
            </w:rPr>
            <w:fldChar w:fldCharType="end"/>
          </w:r>
        </w:p>
        <w:p>
          <w:pPr>
            <w:pStyle w:val="11"/>
            <w:tabs>
              <w:tab w:val="right" w:leader="dot" w:pos="8296"/>
            </w:tabs>
            <w:ind w:firstLine="0" w:firstLineChars="0"/>
            <w:rPr>
              <w:rStyle w:val="16"/>
              <w:rFonts w:ascii="仿宋_GB2312"/>
              <w:szCs w:val="32"/>
            </w:rPr>
          </w:pPr>
          <w:r>
            <w:rPr>
              <w:rStyle w:val="16"/>
              <w:rFonts w:ascii="仿宋_GB2312"/>
              <w:szCs w:val="32"/>
              <w:u w:val="none"/>
            </w:rPr>
            <w:t xml:space="preserve">    </w:t>
          </w:r>
          <w:r>
            <w:fldChar w:fldCharType="begin"/>
          </w:r>
          <w:r>
            <w:instrText xml:space="preserve"> HYPERLINK \l "_Toc111637874" </w:instrText>
          </w:r>
          <w:r>
            <w:fldChar w:fldCharType="separate"/>
          </w:r>
          <w:r>
            <w:rPr>
              <w:rStyle w:val="16"/>
              <w:rFonts w:ascii="仿宋_GB2312"/>
              <w:szCs w:val="32"/>
            </w:rPr>
            <w:t>（二）绩效评价原则、评价指标体系、评价方法、评价标准等</w:t>
          </w:r>
          <w:r>
            <w:rPr>
              <w:rStyle w:val="16"/>
              <w:rFonts w:ascii="仿宋_GB2312"/>
              <w:szCs w:val="32"/>
            </w:rPr>
            <w:tab/>
          </w:r>
          <w:r>
            <w:rPr>
              <w:rStyle w:val="16"/>
              <w:rFonts w:ascii="仿宋_GB2312"/>
              <w:szCs w:val="32"/>
            </w:rPr>
            <w:fldChar w:fldCharType="begin"/>
          </w:r>
          <w:r>
            <w:rPr>
              <w:rStyle w:val="16"/>
              <w:rFonts w:ascii="仿宋_GB2312"/>
              <w:szCs w:val="32"/>
            </w:rPr>
            <w:instrText xml:space="preserve"> PAGEREF _Toc111637874 \h </w:instrText>
          </w:r>
          <w:r>
            <w:rPr>
              <w:rStyle w:val="16"/>
              <w:rFonts w:ascii="仿宋_GB2312"/>
              <w:szCs w:val="32"/>
            </w:rPr>
            <w:fldChar w:fldCharType="separate"/>
          </w:r>
          <w:r>
            <w:rPr>
              <w:rStyle w:val="16"/>
              <w:rFonts w:ascii="仿宋_GB2312"/>
              <w:szCs w:val="32"/>
            </w:rPr>
            <w:t>3</w:t>
          </w:r>
          <w:r>
            <w:rPr>
              <w:rStyle w:val="16"/>
              <w:rFonts w:ascii="仿宋_GB2312"/>
              <w:szCs w:val="32"/>
            </w:rPr>
            <w:fldChar w:fldCharType="end"/>
          </w:r>
          <w:r>
            <w:rPr>
              <w:rStyle w:val="16"/>
              <w:rFonts w:ascii="仿宋_GB2312"/>
              <w:szCs w:val="32"/>
            </w:rPr>
            <w:fldChar w:fldCharType="end"/>
          </w:r>
        </w:p>
        <w:p>
          <w:pPr>
            <w:pStyle w:val="11"/>
            <w:tabs>
              <w:tab w:val="right" w:leader="dot" w:pos="8296"/>
            </w:tabs>
            <w:ind w:firstLine="640"/>
            <w:rPr>
              <w:rStyle w:val="16"/>
              <w:rFonts w:ascii="仿宋_GB2312"/>
              <w:szCs w:val="32"/>
            </w:rPr>
          </w:pPr>
          <w:r>
            <w:fldChar w:fldCharType="begin"/>
          </w:r>
          <w:r>
            <w:instrText xml:space="preserve"> HYPERLINK \l "_Toc111637875" </w:instrText>
          </w:r>
          <w:r>
            <w:fldChar w:fldCharType="separate"/>
          </w:r>
          <w:r>
            <w:rPr>
              <w:rStyle w:val="16"/>
              <w:rFonts w:ascii="仿宋_GB2312"/>
              <w:szCs w:val="32"/>
            </w:rPr>
            <w:t>（三）绩效评价工作过程</w:t>
          </w:r>
          <w:r>
            <w:rPr>
              <w:rStyle w:val="16"/>
              <w:rFonts w:ascii="仿宋_GB2312"/>
              <w:szCs w:val="32"/>
            </w:rPr>
            <w:tab/>
          </w:r>
          <w:r>
            <w:rPr>
              <w:rStyle w:val="16"/>
              <w:rFonts w:ascii="仿宋_GB2312"/>
              <w:szCs w:val="32"/>
            </w:rPr>
            <w:fldChar w:fldCharType="begin"/>
          </w:r>
          <w:r>
            <w:rPr>
              <w:rStyle w:val="16"/>
              <w:rFonts w:ascii="仿宋_GB2312"/>
              <w:szCs w:val="32"/>
            </w:rPr>
            <w:instrText xml:space="preserve"> PAGEREF _Toc111637875 \h </w:instrText>
          </w:r>
          <w:r>
            <w:rPr>
              <w:rStyle w:val="16"/>
              <w:rFonts w:ascii="仿宋_GB2312"/>
              <w:szCs w:val="32"/>
            </w:rPr>
            <w:fldChar w:fldCharType="separate"/>
          </w:r>
          <w:r>
            <w:rPr>
              <w:rStyle w:val="16"/>
              <w:rFonts w:ascii="仿宋_GB2312"/>
              <w:szCs w:val="32"/>
            </w:rPr>
            <w:t>4</w:t>
          </w:r>
          <w:r>
            <w:rPr>
              <w:rStyle w:val="16"/>
              <w:rFonts w:ascii="仿宋_GB2312"/>
              <w:szCs w:val="32"/>
            </w:rPr>
            <w:fldChar w:fldCharType="end"/>
          </w:r>
          <w:r>
            <w:rPr>
              <w:rStyle w:val="16"/>
              <w:rFonts w:ascii="仿宋_GB2312"/>
              <w:szCs w:val="32"/>
            </w:rPr>
            <w:fldChar w:fldCharType="end"/>
          </w:r>
        </w:p>
        <w:p>
          <w:pPr>
            <w:pStyle w:val="11"/>
            <w:tabs>
              <w:tab w:val="right" w:leader="dot" w:pos="8296"/>
            </w:tabs>
            <w:ind w:firstLine="0" w:firstLineChars="0"/>
            <w:rPr>
              <w:rStyle w:val="16"/>
              <w:rFonts w:ascii="仿宋_GB2312"/>
              <w:szCs w:val="32"/>
            </w:rPr>
          </w:pPr>
          <w:r>
            <w:fldChar w:fldCharType="begin"/>
          </w:r>
          <w:r>
            <w:instrText xml:space="preserve"> HYPERLINK \l "_Toc111637879" </w:instrText>
          </w:r>
          <w:r>
            <w:fldChar w:fldCharType="separate"/>
          </w:r>
          <w:r>
            <w:rPr>
              <w:rStyle w:val="16"/>
              <w:rFonts w:ascii="仿宋_GB2312"/>
              <w:szCs w:val="32"/>
            </w:rPr>
            <w:t>三、综合评价情况及评价结论</w:t>
          </w:r>
          <w:r>
            <w:rPr>
              <w:rStyle w:val="16"/>
              <w:rFonts w:ascii="仿宋_GB2312"/>
              <w:szCs w:val="32"/>
            </w:rPr>
            <w:tab/>
          </w:r>
          <w:r>
            <w:rPr>
              <w:rStyle w:val="16"/>
              <w:rFonts w:ascii="仿宋_GB2312"/>
              <w:szCs w:val="32"/>
            </w:rPr>
            <w:fldChar w:fldCharType="begin"/>
          </w:r>
          <w:r>
            <w:rPr>
              <w:rStyle w:val="16"/>
              <w:rFonts w:ascii="仿宋_GB2312"/>
              <w:szCs w:val="32"/>
            </w:rPr>
            <w:instrText xml:space="preserve"> PAGEREF _Toc111637879 \h </w:instrText>
          </w:r>
          <w:r>
            <w:rPr>
              <w:rStyle w:val="16"/>
              <w:rFonts w:ascii="仿宋_GB2312"/>
              <w:szCs w:val="32"/>
            </w:rPr>
            <w:fldChar w:fldCharType="separate"/>
          </w:r>
          <w:r>
            <w:rPr>
              <w:rStyle w:val="16"/>
              <w:rFonts w:ascii="仿宋_GB2312"/>
              <w:szCs w:val="32"/>
            </w:rPr>
            <w:t>5</w:t>
          </w:r>
          <w:r>
            <w:rPr>
              <w:rStyle w:val="16"/>
              <w:rFonts w:ascii="仿宋_GB2312"/>
              <w:szCs w:val="32"/>
            </w:rPr>
            <w:fldChar w:fldCharType="end"/>
          </w:r>
          <w:r>
            <w:rPr>
              <w:rStyle w:val="16"/>
              <w:rFonts w:ascii="仿宋_GB2312"/>
              <w:szCs w:val="32"/>
            </w:rPr>
            <w:fldChar w:fldCharType="end"/>
          </w:r>
        </w:p>
        <w:p>
          <w:pPr>
            <w:pStyle w:val="11"/>
            <w:tabs>
              <w:tab w:val="right" w:leader="dot" w:pos="8296"/>
            </w:tabs>
            <w:ind w:firstLine="0" w:firstLineChars="0"/>
            <w:rPr>
              <w:rStyle w:val="16"/>
              <w:rFonts w:ascii="仿宋_GB2312"/>
              <w:szCs w:val="32"/>
            </w:rPr>
          </w:pPr>
          <w:r>
            <w:fldChar w:fldCharType="begin"/>
          </w:r>
          <w:r>
            <w:instrText xml:space="preserve"> HYPERLINK \l "_Toc111637880" </w:instrText>
          </w:r>
          <w:r>
            <w:fldChar w:fldCharType="separate"/>
          </w:r>
          <w:r>
            <w:rPr>
              <w:rStyle w:val="16"/>
              <w:rFonts w:ascii="仿宋_GB2312"/>
              <w:szCs w:val="32"/>
            </w:rPr>
            <w:t>四、绩效评价指标分析</w:t>
          </w:r>
          <w:r>
            <w:rPr>
              <w:rStyle w:val="16"/>
              <w:rFonts w:ascii="仿宋_GB2312"/>
              <w:szCs w:val="32"/>
            </w:rPr>
            <w:tab/>
          </w:r>
          <w:r>
            <w:rPr>
              <w:rStyle w:val="16"/>
              <w:rFonts w:ascii="仿宋_GB2312"/>
              <w:szCs w:val="32"/>
            </w:rPr>
            <w:fldChar w:fldCharType="begin"/>
          </w:r>
          <w:r>
            <w:rPr>
              <w:rStyle w:val="16"/>
              <w:rFonts w:ascii="仿宋_GB2312"/>
              <w:szCs w:val="32"/>
            </w:rPr>
            <w:instrText xml:space="preserve"> PAGEREF _Toc111637880 \h </w:instrText>
          </w:r>
          <w:r>
            <w:rPr>
              <w:rStyle w:val="16"/>
              <w:rFonts w:ascii="仿宋_GB2312"/>
              <w:szCs w:val="32"/>
            </w:rPr>
            <w:fldChar w:fldCharType="separate"/>
          </w:r>
          <w:r>
            <w:rPr>
              <w:rStyle w:val="16"/>
              <w:rFonts w:ascii="仿宋_GB2312"/>
              <w:szCs w:val="32"/>
            </w:rPr>
            <w:t>6</w:t>
          </w:r>
          <w:r>
            <w:rPr>
              <w:rStyle w:val="16"/>
              <w:rFonts w:ascii="仿宋_GB2312"/>
              <w:szCs w:val="32"/>
            </w:rPr>
            <w:fldChar w:fldCharType="end"/>
          </w:r>
          <w:r>
            <w:rPr>
              <w:rStyle w:val="16"/>
              <w:rFonts w:ascii="仿宋_GB2312"/>
              <w:szCs w:val="32"/>
            </w:rPr>
            <w:fldChar w:fldCharType="end"/>
          </w:r>
        </w:p>
        <w:p>
          <w:pPr>
            <w:pStyle w:val="11"/>
            <w:tabs>
              <w:tab w:val="right" w:leader="dot" w:pos="8296"/>
            </w:tabs>
            <w:ind w:firstLine="640"/>
            <w:rPr>
              <w:rStyle w:val="16"/>
              <w:rFonts w:ascii="仿宋_GB2312"/>
              <w:szCs w:val="32"/>
            </w:rPr>
          </w:pPr>
          <w:r>
            <w:fldChar w:fldCharType="begin"/>
          </w:r>
          <w:r>
            <w:instrText xml:space="preserve"> HYPERLINK \l "_Toc111637881" </w:instrText>
          </w:r>
          <w:r>
            <w:fldChar w:fldCharType="separate"/>
          </w:r>
          <w:r>
            <w:rPr>
              <w:rStyle w:val="16"/>
              <w:rFonts w:ascii="仿宋_GB2312"/>
              <w:szCs w:val="32"/>
            </w:rPr>
            <w:t>（一）项目决策</w:t>
          </w:r>
          <w:r>
            <w:rPr>
              <w:rStyle w:val="16"/>
              <w:rFonts w:ascii="仿宋_GB2312"/>
              <w:szCs w:val="32"/>
            </w:rPr>
            <w:tab/>
          </w:r>
          <w:r>
            <w:rPr>
              <w:rStyle w:val="16"/>
              <w:rFonts w:ascii="仿宋_GB2312"/>
              <w:szCs w:val="32"/>
            </w:rPr>
            <w:fldChar w:fldCharType="begin"/>
          </w:r>
          <w:r>
            <w:rPr>
              <w:rStyle w:val="16"/>
              <w:rFonts w:ascii="仿宋_GB2312"/>
              <w:szCs w:val="32"/>
            </w:rPr>
            <w:instrText xml:space="preserve"> PAGEREF _Toc111637881 \h </w:instrText>
          </w:r>
          <w:r>
            <w:rPr>
              <w:rStyle w:val="16"/>
              <w:rFonts w:ascii="仿宋_GB2312"/>
              <w:szCs w:val="32"/>
            </w:rPr>
            <w:fldChar w:fldCharType="separate"/>
          </w:r>
          <w:r>
            <w:rPr>
              <w:rStyle w:val="16"/>
              <w:rFonts w:ascii="仿宋_GB2312"/>
              <w:szCs w:val="32"/>
            </w:rPr>
            <w:t>6</w:t>
          </w:r>
          <w:r>
            <w:rPr>
              <w:rStyle w:val="16"/>
              <w:rFonts w:ascii="仿宋_GB2312"/>
              <w:szCs w:val="32"/>
            </w:rPr>
            <w:fldChar w:fldCharType="end"/>
          </w:r>
          <w:r>
            <w:rPr>
              <w:rStyle w:val="16"/>
              <w:rFonts w:ascii="仿宋_GB2312"/>
              <w:szCs w:val="32"/>
            </w:rPr>
            <w:fldChar w:fldCharType="end"/>
          </w:r>
        </w:p>
        <w:p>
          <w:pPr>
            <w:pStyle w:val="11"/>
            <w:tabs>
              <w:tab w:val="right" w:leader="dot" w:pos="8296"/>
            </w:tabs>
            <w:ind w:firstLine="0" w:firstLineChars="0"/>
            <w:rPr>
              <w:rStyle w:val="16"/>
              <w:rFonts w:ascii="仿宋_GB2312"/>
              <w:szCs w:val="32"/>
            </w:rPr>
          </w:pPr>
          <w:r>
            <w:rPr>
              <w:rStyle w:val="16"/>
              <w:rFonts w:ascii="仿宋_GB2312"/>
              <w:szCs w:val="32"/>
              <w:u w:val="none"/>
            </w:rPr>
            <w:t xml:space="preserve">    </w:t>
          </w:r>
          <w:r>
            <w:fldChar w:fldCharType="begin"/>
          </w:r>
          <w:r>
            <w:instrText xml:space="preserve"> HYPERLINK \l "_Toc111637885" </w:instrText>
          </w:r>
          <w:r>
            <w:fldChar w:fldCharType="separate"/>
          </w:r>
          <w:r>
            <w:rPr>
              <w:rStyle w:val="16"/>
              <w:rFonts w:ascii="仿宋_GB2312"/>
              <w:szCs w:val="32"/>
            </w:rPr>
            <w:t>（二）项目过程</w:t>
          </w:r>
          <w:r>
            <w:rPr>
              <w:rStyle w:val="16"/>
              <w:rFonts w:ascii="仿宋_GB2312"/>
              <w:szCs w:val="32"/>
            </w:rPr>
            <w:tab/>
          </w:r>
          <w:r>
            <w:rPr>
              <w:rStyle w:val="16"/>
              <w:rFonts w:ascii="仿宋_GB2312"/>
              <w:szCs w:val="32"/>
            </w:rPr>
            <w:fldChar w:fldCharType="begin"/>
          </w:r>
          <w:r>
            <w:rPr>
              <w:rStyle w:val="16"/>
              <w:rFonts w:ascii="仿宋_GB2312"/>
              <w:szCs w:val="32"/>
            </w:rPr>
            <w:instrText xml:space="preserve"> PAGEREF _Toc111637885 \h </w:instrText>
          </w:r>
          <w:r>
            <w:rPr>
              <w:rStyle w:val="16"/>
              <w:rFonts w:ascii="仿宋_GB2312"/>
              <w:szCs w:val="32"/>
            </w:rPr>
            <w:fldChar w:fldCharType="separate"/>
          </w:r>
          <w:r>
            <w:rPr>
              <w:rStyle w:val="16"/>
              <w:rFonts w:ascii="仿宋_GB2312"/>
              <w:szCs w:val="32"/>
            </w:rPr>
            <w:t>8</w:t>
          </w:r>
          <w:r>
            <w:rPr>
              <w:rStyle w:val="16"/>
              <w:rFonts w:ascii="仿宋_GB2312"/>
              <w:szCs w:val="32"/>
            </w:rPr>
            <w:fldChar w:fldCharType="end"/>
          </w:r>
          <w:r>
            <w:rPr>
              <w:rStyle w:val="16"/>
              <w:rFonts w:ascii="仿宋_GB2312"/>
              <w:szCs w:val="32"/>
            </w:rPr>
            <w:fldChar w:fldCharType="end"/>
          </w:r>
        </w:p>
        <w:p>
          <w:pPr>
            <w:pStyle w:val="11"/>
            <w:tabs>
              <w:tab w:val="right" w:leader="dot" w:pos="8296"/>
            </w:tabs>
            <w:ind w:firstLine="0" w:firstLineChars="0"/>
            <w:rPr>
              <w:rStyle w:val="16"/>
              <w:rFonts w:ascii="仿宋_GB2312"/>
              <w:szCs w:val="32"/>
            </w:rPr>
          </w:pPr>
          <w:r>
            <w:rPr>
              <w:rStyle w:val="16"/>
              <w:rFonts w:ascii="仿宋_GB2312"/>
              <w:szCs w:val="32"/>
              <w:u w:val="none"/>
            </w:rPr>
            <w:t xml:space="preserve">    </w:t>
          </w:r>
          <w:r>
            <w:fldChar w:fldCharType="begin"/>
          </w:r>
          <w:r>
            <w:instrText xml:space="preserve"> HYPERLINK \l "_Toc111637888" </w:instrText>
          </w:r>
          <w:r>
            <w:fldChar w:fldCharType="separate"/>
          </w:r>
          <w:r>
            <w:rPr>
              <w:rStyle w:val="16"/>
              <w:rFonts w:ascii="仿宋_GB2312"/>
              <w:szCs w:val="32"/>
            </w:rPr>
            <w:t>（三）项目产出</w:t>
          </w:r>
          <w:r>
            <w:rPr>
              <w:rStyle w:val="16"/>
              <w:rFonts w:ascii="仿宋_GB2312"/>
              <w:szCs w:val="32"/>
            </w:rPr>
            <w:tab/>
          </w:r>
          <w:r>
            <w:rPr>
              <w:rStyle w:val="16"/>
              <w:rFonts w:ascii="仿宋_GB2312"/>
              <w:szCs w:val="32"/>
            </w:rPr>
            <w:fldChar w:fldCharType="begin"/>
          </w:r>
          <w:r>
            <w:rPr>
              <w:rStyle w:val="16"/>
              <w:rFonts w:ascii="仿宋_GB2312"/>
              <w:szCs w:val="32"/>
            </w:rPr>
            <w:instrText xml:space="preserve"> PAGEREF _Toc111637888 \h </w:instrText>
          </w:r>
          <w:r>
            <w:rPr>
              <w:rStyle w:val="16"/>
              <w:rFonts w:ascii="仿宋_GB2312"/>
              <w:szCs w:val="32"/>
            </w:rPr>
            <w:fldChar w:fldCharType="separate"/>
          </w:r>
          <w:r>
            <w:rPr>
              <w:rStyle w:val="16"/>
              <w:rFonts w:ascii="仿宋_GB2312"/>
              <w:szCs w:val="32"/>
            </w:rPr>
            <w:t>9</w:t>
          </w:r>
          <w:r>
            <w:rPr>
              <w:rStyle w:val="16"/>
              <w:rFonts w:ascii="仿宋_GB2312"/>
              <w:szCs w:val="32"/>
            </w:rPr>
            <w:fldChar w:fldCharType="end"/>
          </w:r>
          <w:r>
            <w:rPr>
              <w:rStyle w:val="16"/>
              <w:rFonts w:ascii="仿宋_GB2312"/>
              <w:szCs w:val="32"/>
            </w:rPr>
            <w:fldChar w:fldCharType="end"/>
          </w:r>
        </w:p>
        <w:p>
          <w:pPr>
            <w:pStyle w:val="11"/>
            <w:tabs>
              <w:tab w:val="right" w:leader="dot" w:pos="8296"/>
            </w:tabs>
            <w:ind w:firstLine="0" w:firstLineChars="0"/>
            <w:rPr>
              <w:rStyle w:val="16"/>
              <w:rFonts w:ascii="仿宋_GB2312"/>
              <w:szCs w:val="32"/>
            </w:rPr>
          </w:pPr>
          <w:r>
            <w:rPr>
              <w:rStyle w:val="16"/>
              <w:rFonts w:ascii="仿宋_GB2312"/>
              <w:szCs w:val="32"/>
              <w:u w:val="none"/>
            </w:rPr>
            <w:t xml:space="preserve">    </w:t>
          </w:r>
          <w:r>
            <w:fldChar w:fldCharType="begin"/>
          </w:r>
          <w:r>
            <w:instrText xml:space="preserve"> HYPERLINK \l "_Toc111637893" </w:instrText>
          </w:r>
          <w:r>
            <w:fldChar w:fldCharType="separate"/>
          </w:r>
          <w:r>
            <w:rPr>
              <w:rStyle w:val="16"/>
              <w:rFonts w:ascii="仿宋_GB2312"/>
              <w:szCs w:val="32"/>
              <w:u w:val="none"/>
            </w:rPr>
            <w:t>（四）项目效益</w:t>
          </w:r>
          <w:r>
            <w:rPr>
              <w:rStyle w:val="16"/>
              <w:rFonts w:ascii="仿宋_GB2312"/>
              <w:szCs w:val="32"/>
              <w:u w:val="none"/>
            </w:rPr>
            <w:tab/>
          </w:r>
          <w:r>
            <w:rPr>
              <w:rStyle w:val="16"/>
              <w:rFonts w:ascii="仿宋_GB2312"/>
              <w:szCs w:val="32"/>
              <w:u w:val="none"/>
            </w:rPr>
            <w:fldChar w:fldCharType="begin"/>
          </w:r>
          <w:r>
            <w:rPr>
              <w:rStyle w:val="16"/>
              <w:rFonts w:ascii="仿宋_GB2312"/>
              <w:szCs w:val="32"/>
              <w:u w:val="none"/>
            </w:rPr>
            <w:instrText xml:space="preserve"> PAGEREF _Toc111637893 \h </w:instrText>
          </w:r>
          <w:r>
            <w:rPr>
              <w:rStyle w:val="16"/>
              <w:rFonts w:ascii="仿宋_GB2312"/>
              <w:szCs w:val="32"/>
              <w:u w:val="none"/>
            </w:rPr>
            <w:fldChar w:fldCharType="separate"/>
          </w:r>
          <w:r>
            <w:rPr>
              <w:rStyle w:val="16"/>
              <w:rFonts w:ascii="仿宋_GB2312"/>
              <w:szCs w:val="32"/>
              <w:u w:val="none"/>
            </w:rPr>
            <w:t>12</w:t>
          </w:r>
          <w:r>
            <w:rPr>
              <w:rStyle w:val="16"/>
              <w:rFonts w:ascii="仿宋_GB2312"/>
              <w:szCs w:val="32"/>
              <w:u w:val="none"/>
            </w:rPr>
            <w:fldChar w:fldCharType="end"/>
          </w:r>
          <w:r>
            <w:rPr>
              <w:rStyle w:val="16"/>
              <w:rFonts w:ascii="仿宋_GB2312"/>
              <w:szCs w:val="32"/>
              <w:u w:val="none"/>
            </w:rPr>
            <w:fldChar w:fldCharType="end"/>
          </w:r>
        </w:p>
        <w:p>
          <w:pPr>
            <w:pStyle w:val="11"/>
            <w:tabs>
              <w:tab w:val="right" w:leader="dot" w:pos="8296"/>
            </w:tabs>
            <w:ind w:firstLine="0" w:firstLineChars="0"/>
            <w:rPr>
              <w:rStyle w:val="16"/>
              <w:rFonts w:ascii="仿宋_GB2312"/>
              <w:szCs w:val="32"/>
            </w:rPr>
          </w:pPr>
          <w:r>
            <w:fldChar w:fldCharType="begin"/>
          </w:r>
          <w:r>
            <w:instrText xml:space="preserve"> HYPERLINK \l "_Toc111637896" </w:instrText>
          </w:r>
          <w:r>
            <w:fldChar w:fldCharType="separate"/>
          </w:r>
          <w:r>
            <w:rPr>
              <w:rStyle w:val="16"/>
              <w:rFonts w:ascii="仿宋_GB2312"/>
              <w:szCs w:val="32"/>
            </w:rPr>
            <w:t>五、主要经验及做法</w:t>
          </w:r>
          <w:r>
            <w:rPr>
              <w:rStyle w:val="16"/>
              <w:rFonts w:ascii="仿宋_GB2312"/>
              <w:szCs w:val="32"/>
            </w:rPr>
            <w:tab/>
          </w:r>
          <w:r>
            <w:rPr>
              <w:rStyle w:val="16"/>
              <w:rFonts w:ascii="仿宋_GB2312"/>
              <w:szCs w:val="32"/>
            </w:rPr>
            <w:fldChar w:fldCharType="begin"/>
          </w:r>
          <w:r>
            <w:rPr>
              <w:rStyle w:val="16"/>
              <w:rFonts w:ascii="仿宋_GB2312"/>
              <w:szCs w:val="32"/>
            </w:rPr>
            <w:instrText xml:space="preserve"> PAGEREF _Toc111637896 \h </w:instrText>
          </w:r>
          <w:r>
            <w:rPr>
              <w:rStyle w:val="16"/>
              <w:rFonts w:ascii="仿宋_GB2312"/>
              <w:szCs w:val="32"/>
            </w:rPr>
            <w:fldChar w:fldCharType="separate"/>
          </w:r>
          <w:r>
            <w:rPr>
              <w:rStyle w:val="16"/>
              <w:rFonts w:ascii="仿宋_GB2312"/>
              <w:szCs w:val="32"/>
            </w:rPr>
            <w:t>14</w:t>
          </w:r>
          <w:r>
            <w:rPr>
              <w:rStyle w:val="16"/>
              <w:rFonts w:ascii="仿宋_GB2312"/>
              <w:szCs w:val="32"/>
            </w:rPr>
            <w:fldChar w:fldCharType="end"/>
          </w:r>
          <w:r>
            <w:rPr>
              <w:rStyle w:val="16"/>
              <w:rFonts w:ascii="仿宋_GB2312"/>
              <w:szCs w:val="32"/>
            </w:rPr>
            <w:fldChar w:fldCharType="end"/>
          </w:r>
        </w:p>
        <w:p>
          <w:pPr>
            <w:pStyle w:val="11"/>
            <w:tabs>
              <w:tab w:val="right" w:leader="dot" w:pos="8296"/>
            </w:tabs>
            <w:ind w:firstLine="0" w:firstLineChars="0"/>
            <w:rPr>
              <w:rStyle w:val="16"/>
              <w:rFonts w:ascii="仿宋_GB2312"/>
              <w:szCs w:val="32"/>
            </w:rPr>
          </w:pPr>
          <w:r>
            <w:fldChar w:fldCharType="begin"/>
          </w:r>
          <w:r>
            <w:instrText xml:space="preserve"> HYPERLINK \l "_Toc111637900" </w:instrText>
          </w:r>
          <w:r>
            <w:fldChar w:fldCharType="separate"/>
          </w:r>
          <w:r>
            <w:rPr>
              <w:rStyle w:val="16"/>
              <w:rFonts w:ascii="仿宋_GB2312"/>
              <w:szCs w:val="32"/>
            </w:rPr>
            <w:t>六、问题分析与总结</w:t>
          </w:r>
          <w:r>
            <w:rPr>
              <w:rStyle w:val="16"/>
              <w:rFonts w:ascii="仿宋_GB2312"/>
              <w:szCs w:val="32"/>
            </w:rPr>
            <w:tab/>
          </w:r>
          <w:r>
            <w:rPr>
              <w:rStyle w:val="16"/>
              <w:rFonts w:ascii="仿宋_GB2312"/>
              <w:szCs w:val="32"/>
            </w:rPr>
            <w:fldChar w:fldCharType="begin"/>
          </w:r>
          <w:r>
            <w:rPr>
              <w:rStyle w:val="16"/>
              <w:rFonts w:ascii="仿宋_GB2312"/>
              <w:szCs w:val="32"/>
            </w:rPr>
            <w:instrText xml:space="preserve"> PAGEREF _Toc111637900 \h </w:instrText>
          </w:r>
          <w:r>
            <w:rPr>
              <w:rStyle w:val="16"/>
              <w:rFonts w:ascii="仿宋_GB2312"/>
              <w:szCs w:val="32"/>
            </w:rPr>
            <w:fldChar w:fldCharType="separate"/>
          </w:r>
          <w:r>
            <w:rPr>
              <w:rStyle w:val="16"/>
              <w:rFonts w:ascii="仿宋_GB2312"/>
              <w:szCs w:val="32"/>
            </w:rPr>
            <w:t>15</w:t>
          </w:r>
          <w:r>
            <w:rPr>
              <w:rStyle w:val="16"/>
              <w:rFonts w:ascii="仿宋_GB2312"/>
              <w:szCs w:val="32"/>
            </w:rPr>
            <w:fldChar w:fldCharType="end"/>
          </w:r>
          <w:r>
            <w:rPr>
              <w:rStyle w:val="16"/>
              <w:rFonts w:ascii="仿宋_GB2312"/>
              <w:szCs w:val="32"/>
            </w:rPr>
            <w:fldChar w:fldCharType="end"/>
          </w:r>
        </w:p>
        <w:p>
          <w:pPr>
            <w:pStyle w:val="11"/>
            <w:tabs>
              <w:tab w:val="right" w:leader="dot" w:pos="8296"/>
            </w:tabs>
            <w:ind w:firstLine="0" w:firstLineChars="0"/>
            <w:rPr>
              <w:rStyle w:val="16"/>
              <w:rFonts w:ascii="仿宋_GB2312"/>
              <w:szCs w:val="32"/>
            </w:rPr>
          </w:pPr>
          <w:r>
            <w:fldChar w:fldCharType="begin"/>
          </w:r>
          <w:r>
            <w:instrText xml:space="preserve"> HYPERLINK \l "_Toc111637904" </w:instrText>
          </w:r>
          <w:r>
            <w:fldChar w:fldCharType="separate"/>
          </w:r>
          <w:r>
            <w:rPr>
              <w:rStyle w:val="16"/>
              <w:rFonts w:ascii="仿宋_GB2312"/>
              <w:szCs w:val="32"/>
            </w:rPr>
            <w:t>七、改进建议</w:t>
          </w:r>
          <w:r>
            <w:rPr>
              <w:rStyle w:val="16"/>
              <w:rFonts w:ascii="仿宋_GB2312"/>
              <w:szCs w:val="32"/>
            </w:rPr>
            <w:tab/>
          </w:r>
          <w:r>
            <w:rPr>
              <w:rStyle w:val="16"/>
              <w:rFonts w:ascii="仿宋_GB2312"/>
              <w:szCs w:val="32"/>
            </w:rPr>
            <w:fldChar w:fldCharType="begin"/>
          </w:r>
          <w:r>
            <w:rPr>
              <w:rStyle w:val="16"/>
              <w:rFonts w:ascii="仿宋_GB2312"/>
              <w:szCs w:val="32"/>
            </w:rPr>
            <w:instrText xml:space="preserve"> PAGEREF _Toc111637904 \h </w:instrText>
          </w:r>
          <w:r>
            <w:rPr>
              <w:rStyle w:val="16"/>
              <w:rFonts w:ascii="仿宋_GB2312"/>
              <w:szCs w:val="32"/>
            </w:rPr>
            <w:fldChar w:fldCharType="separate"/>
          </w:r>
          <w:r>
            <w:rPr>
              <w:rStyle w:val="16"/>
              <w:rFonts w:ascii="仿宋_GB2312"/>
              <w:szCs w:val="32"/>
            </w:rPr>
            <w:t>16</w:t>
          </w:r>
          <w:r>
            <w:rPr>
              <w:rStyle w:val="16"/>
              <w:rFonts w:ascii="仿宋_GB2312"/>
              <w:szCs w:val="32"/>
            </w:rPr>
            <w:fldChar w:fldCharType="end"/>
          </w:r>
          <w:r>
            <w:rPr>
              <w:rStyle w:val="16"/>
              <w:rFonts w:ascii="仿宋_GB2312"/>
              <w:szCs w:val="32"/>
            </w:rPr>
            <w:fldChar w:fldCharType="end"/>
          </w:r>
        </w:p>
        <w:p>
          <w:pPr>
            <w:pStyle w:val="11"/>
            <w:tabs>
              <w:tab w:val="right" w:leader="dot" w:pos="8296"/>
            </w:tabs>
            <w:ind w:firstLine="0" w:firstLineChars="0"/>
            <w:rPr>
              <w:rStyle w:val="16"/>
              <w:rFonts w:ascii="仿宋_GB2312"/>
              <w:b/>
              <w:bCs/>
              <w:szCs w:val="32"/>
            </w:rPr>
          </w:pPr>
          <w:r>
            <w:rPr>
              <w:rStyle w:val="16"/>
              <w:rFonts w:hint="eastAsia" w:ascii="仿宋_GB2312"/>
              <w:color w:val="auto"/>
              <w:szCs w:val="32"/>
              <w:u w:val="none"/>
            </w:rPr>
            <w:t>附件：中心</w:t>
          </w:r>
          <w:r>
            <w:rPr>
              <w:rStyle w:val="16"/>
              <w:rFonts w:ascii="仿宋_GB2312"/>
              <w:color w:val="auto"/>
              <w:szCs w:val="32"/>
              <w:u w:val="none"/>
            </w:rPr>
            <w:t>2021年度信息系统维护项目支出绩效评价指标体系</w:t>
          </w:r>
          <w:r>
            <w:fldChar w:fldCharType="begin"/>
          </w:r>
          <w:r>
            <w:instrText xml:space="preserve"> HYPERLINK \l "_Toc111637904" </w:instrText>
          </w:r>
          <w:r>
            <w:fldChar w:fldCharType="separate"/>
          </w:r>
          <w:r>
            <w:rPr>
              <w:rStyle w:val="16"/>
              <w:rFonts w:ascii="仿宋_GB2312"/>
              <w:szCs w:val="32"/>
            </w:rPr>
            <w:tab/>
          </w:r>
          <w:r>
            <w:rPr>
              <w:rStyle w:val="16"/>
              <w:rFonts w:ascii="仿宋_GB2312"/>
              <w:szCs w:val="32"/>
            </w:rPr>
            <w:fldChar w:fldCharType="begin"/>
          </w:r>
          <w:r>
            <w:rPr>
              <w:rStyle w:val="16"/>
              <w:rFonts w:ascii="仿宋_GB2312"/>
              <w:szCs w:val="32"/>
            </w:rPr>
            <w:instrText xml:space="preserve"> PAGEREF _Toc111637904 \h </w:instrText>
          </w:r>
          <w:r>
            <w:rPr>
              <w:rStyle w:val="16"/>
              <w:rFonts w:ascii="仿宋_GB2312"/>
              <w:szCs w:val="32"/>
            </w:rPr>
            <w:fldChar w:fldCharType="separate"/>
          </w:r>
          <w:r>
            <w:rPr>
              <w:rStyle w:val="16"/>
              <w:rFonts w:ascii="仿宋_GB2312"/>
              <w:szCs w:val="32"/>
            </w:rPr>
            <w:t>18</w:t>
          </w:r>
          <w:r>
            <w:rPr>
              <w:rStyle w:val="16"/>
              <w:rFonts w:ascii="仿宋_GB2312"/>
              <w:szCs w:val="32"/>
            </w:rPr>
            <w:fldChar w:fldCharType="end"/>
          </w:r>
          <w:r>
            <w:rPr>
              <w:rStyle w:val="16"/>
              <w:rFonts w:ascii="仿宋_GB2312"/>
              <w:szCs w:val="32"/>
            </w:rPr>
            <w:fldChar w:fldCharType="end"/>
          </w:r>
        </w:p>
        <w:p>
          <w:pPr>
            <w:pStyle w:val="11"/>
            <w:tabs>
              <w:tab w:val="right" w:leader="dot" w:pos="8296"/>
            </w:tabs>
            <w:ind w:firstLine="0" w:firstLineChars="0"/>
          </w:pPr>
          <w:r>
            <w:rPr>
              <w:rStyle w:val="16"/>
              <w:rFonts w:hint="eastAsia" w:ascii="仿宋_GB2312"/>
              <w:b/>
              <w:bCs/>
              <w:szCs w:val="32"/>
            </w:rPr>
            <w:fldChar w:fldCharType="end"/>
          </w:r>
        </w:p>
      </w:sdtContent>
    </w:sdt>
    <w:p>
      <w:pPr>
        <w:ind w:firstLine="640"/>
      </w:pPr>
    </w:p>
    <w:p>
      <w:pPr>
        <w:widowControl/>
        <w:ind w:firstLine="198" w:firstLineChars="62"/>
        <w:jc w:val="left"/>
        <w:rPr>
          <w:rFonts w:ascii="黑体" w:hAnsi="黑体" w:eastAsia="黑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2"/>
        <w:ind w:firstLine="640"/>
      </w:pPr>
      <w:bookmarkStart w:id="0" w:name="_Toc111637864"/>
      <w:r>
        <w:rPr>
          <w:rFonts w:hint="eastAsia"/>
        </w:rPr>
        <w:t>一、基本情况</w:t>
      </w:r>
      <w:bookmarkEnd w:id="0"/>
    </w:p>
    <w:p>
      <w:pPr>
        <w:pStyle w:val="2"/>
        <w:ind w:firstLine="643"/>
        <w:rPr>
          <w:rFonts w:eastAsia="楷体_GB2312"/>
          <w:b/>
          <w:szCs w:val="40"/>
        </w:rPr>
      </w:pPr>
      <w:bookmarkStart w:id="1" w:name="_Toc111637865"/>
      <w:r>
        <w:rPr>
          <w:rFonts w:hint="eastAsia" w:eastAsia="楷体_GB2312"/>
          <w:b/>
          <w:szCs w:val="40"/>
        </w:rPr>
        <w:t>（一）项目概况</w:t>
      </w:r>
      <w:bookmarkEnd w:id="1"/>
    </w:p>
    <w:p>
      <w:pPr>
        <w:pStyle w:val="4"/>
        <w:ind w:firstLine="643"/>
        <w:rPr>
          <w:rFonts w:ascii="仿宋_GB2312"/>
        </w:rPr>
      </w:pPr>
      <w:bookmarkStart w:id="2" w:name="_Toc111637866"/>
      <w:r>
        <w:rPr>
          <w:rFonts w:hint="eastAsia" w:ascii="仿宋_GB2312"/>
        </w:rPr>
        <w:t>1.项目背景</w:t>
      </w:r>
      <w:bookmarkEnd w:id="2"/>
    </w:p>
    <w:p>
      <w:pPr>
        <w:ind w:firstLine="640"/>
      </w:pPr>
      <w:r>
        <w:rPr>
          <w:rFonts w:hint="eastAsia"/>
        </w:rPr>
        <w:t>为了适应深圳特区经济发展以及深化政府会计改革的深化，在现行会计制度的基础上，财政部明确规定财政资金</w:t>
      </w:r>
    </w:p>
    <w:p>
      <w:pPr>
        <w:ind w:firstLine="0" w:firstLineChars="0"/>
      </w:pPr>
      <w:r>
        <w:rPr>
          <w:rFonts w:hint="eastAsia" w:ascii="仿宋_GB2312"/>
        </w:rPr>
        <w:t>实行收支两条线的管理模式，单位支出严格按照预算规定执行，在保证单位资金所有权、使用权不变的前提下，理顺并加强了财政部门在单位财务管理中的事前预测、事中管理权限，规范了相应的审批程序。自2009年</w:t>
      </w:r>
      <w:r>
        <w:rPr>
          <w:rFonts w:ascii="仿宋_GB2312"/>
        </w:rPr>
        <w:t>1</w:t>
      </w:r>
      <w:r>
        <w:rPr>
          <w:rFonts w:hint="eastAsia" w:ascii="仿宋_GB2312"/>
        </w:rPr>
        <w:t>月由市财政委员会牵头建设的市、区“金财工程”、“国库集中支付系统”核心业务系统全面上线以来，部门预算编制系统、指标管理系统、国库集中支付系统、总账系统、综合查询系统也全部开通，这为各政府机关单位财务集中监督管理工作搭建了硬件基础。深圳市福田区国库支付中心为响应集中支付改革的精神，在认真调研分析后，于2012年开发完成了新的财务电算化系统，每年对该系统进行维护，并根据政策或职能的需求对系统功能进行改进升级。</w:t>
      </w:r>
    </w:p>
    <w:p>
      <w:pPr>
        <w:pStyle w:val="4"/>
        <w:ind w:firstLine="643"/>
        <w:rPr>
          <w:rFonts w:ascii="仿宋_GB2312"/>
        </w:rPr>
      </w:pPr>
      <w:bookmarkStart w:id="3" w:name="_Toc111637867"/>
      <w:r>
        <w:rPr>
          <w:rFonts w:hint="eastAsia" w:ascii="仿宋_GB2312"/>
        </w:rPr>
        <w:t>2</w:t>
      </w:r>
      <w:r>
        <w:rPr>
          <w:rFonts w:ascii="仿宋_GB2312"/>
        </w:rPr>
        <w:t>.</w:t>
      </w:r>
      <w:r>
        <w:rPr>
          <w:rFonts w:hint="eastAsia" w:ascii="仿宋_GB2312"/>
        </w:rPr>
        <w:t>项目主要内容及实施情况</w:t>
      </w:r>
      <w:bookmarkEnd w:id="3"/>
    </w:p>
    <w:p>
      <w:pPr>
        <w:ind w:firstLine="640"/>
        <w:rPr>
          <w:rFonts w:ascii="仿宋_GB2312"/>
        </w:rPr>
      </w:pPr>
      <w:r>
        <w:rPr>
          <w:rFonts w:hint="eastAsia" w:ascii="仿宋_GB2312"/>
        </w:rPr>
        <w:t>2</w:t>
      </w:r>
      <w:r>
        <w:rPr>
          <w:rFonts w:ascii="仿宋_GB2312"/>
        </w:rPr>
        <w:t>021</w:t>
      </w:r>
      <w:r>
        <w:rPr>
          <w:rFonts w:hint="eastAsia" w:ascii="仿宋_GB2312"/>
        </w:rPr>
        <w:t>年度“信息系统维护”项目工作包含：财务电算化系统、财务服务平台系统的运维及升级。</w:t>
      </w:r>
    </w:p>
    <w:p>
      <w:pPr>
        <w:ind w:firstLine="640"/>
        <w:rPr>
          <w:rFonts w:ascii="仿宋_GB2312"/>
        </w:rPr>
      </w:pPr>
      <w:r>
        <w:rPr>
          <w:rFonts w:hint="eastAsia" w:ascii="仿宋_GB2312"/>
        </w:rPr>
        <w:t>（1）系统运维的主要内容是：一是计算机及相关设备变更带来的环境适配对系统的调整。二是操作系统与软件适配带来对系统的调整。三是系统重新安装、数据修复。四是系统故障排除和数据调整。五是系统日常运行过程中的技术咨询。</w:t>
      </w:r>
    </w:p>
    <w:p>
      <w:pPr>
        <w:ind w:firstLine="640"/>
        <w:rPr>
          <w:rFonts w:ascii="仿宋_GB2312"/>
        </w:rPr>
      </w:pPr>
      <w:r>
        <w:rPr>
          <w:rFonts w:hint="eastAsia" w:ascii="仿宋_GB2312"/>
        </w:rPr>
        <w:t>系统升级的主要内容为：一是对系统进行升级安装、调试完成并按时上线。二是新增功能模块：①区内资产无偿调拨提醒；②报表批量生成；③凭证审核退单统计关联记账凭证查询。三是现场维护。四是数据维护需求技术服务。</w:t>
      </w:r>
    </w:p>
    <w:p>
      <w:pPr>
        <w:pStyle w:val="4"/>
        <w:ind w:firstLine="643"/>
        <w:rPr>
          <w:rFonts w:ascii="仿宋_GB2312"/>
        </w:rPr>
      </w:pPr>
      <w:bookmarkStart w:id="4" w:name="_Toc111637868"/>
      <w:r>
        <w:rPr>
          <w:rFonts w:hint="eastAsia" w:ascii="仿宋_GB2312"/>
        </w:rPr>
        <w:t>3.项目资金投入和使用情况</w:t>
      </w:r>
      <w:bookmarkEnd w:id="4"/>
    </w:p>
    <w:p>
      <w:pPr>
        <w:ind w:firstLine="640"/>
        <w:rPr>
          <w:rFonts w:ascii="仿宋_GB2312"/>
        </w:rPr>
      </w:pPr>
      <w:r>
        <w:rPr>
          <w:rFonts w:hint="eastAsia" w:ascii="仿宋_GB2312"/>
        </w:rPr>
        <w:t>20</w:t>
      </w:r>
      <w:r>
        <w:rPr>
          <w:rFonts w:ascii="仿宋_GB2312"/>
        </w:rPr>
        <w:t>2</w:t>
      </w:r>
      <w:r>
        <w:rPr>
          <w:rFonts w:hint="eastAsia" w:ascii="仿宋_GB2312"/>
        </w:rPr>
        <w:t>1年度“信息系统维护”项目年初预算安排44.2万元，全年预算安排43.</w:t>
      </w:r>
      <w:r>
        <w:rPr>
          <w:rFonts w:ascii="仿宋_GB2312"/>
        </w:rPr>
        <w:t>90</w:t>
      </w:r>
      <w:r>
        <w:rPr>
          <w:rFonts w:hint="eastAsia" w:ascii="仿宋_GB2312"/>
        </w:rPr>
        <w:t>万元。截至20</w:t>
      </w:r>
      <w:r>
        <w:rPr>
          <w:rFonts w:ascii="仿宋_GB2312"/>
        </w:rPr>
        <w:t>2</w:t>
      </w:r>
      <w:r>
        <w:rPr>
          <w:rFonts w:hint="eastAsia" w:ascii="仿宋_GB2312"/>
        </w:rPr>
        <w:t>1年年底，项目实际支出43.68万元，预算执行率为99.</w:t>
      </w:r>
      <w:r>
        <w:rPr>
          <w:rFonts w:ascii="仿宋_GB2312"/>
        </w:rPr>
        <w:t>50</w:t>
      </w:r>
      <w:r>
        <w:rPr>
          <w:rFonts w:hint="eastAsia" w:ascii="仿宋_GB2312"/>
        </w:rPr>
        <w:t>%。</w:t>
      </w:r>
    </w:p>
    <w:p>
      <w:pPr>
        <w:pStyle w:val="2"/>
        <w:ind w:firstLine="643"/>
        <w:rPr>
          <w:rFonts w:eastAsia="楷体_GB2312"/>
          <w:b/>
          <w:szCs w:val="40"/>
        </w:rPr>
      </w:pPr>
      <w:bookmarkStart w:id="5" w:name="_Toc111637869"/>
      <w:r>
        <w:rPr>
          <w:rFonts w:hint="eastAsia" w:eastAsia="楷体_GB2312"/>
          <w:b/>
          <w:szCs w:val="40"/>
        </w:rPr>
        <w:t>（二）项目绩效目标</w:t>
      </w:r>
      <w:bookmarkEnd w:id="5"/>
    </w:p>
    <w:p>
      <w:pPr>
        <w:spacing w:line="600" w:lineRule="exact"/>
        <w:ind w:firstLine="640"/>
        <w:rPr>
          <w:rFonts w:ascii="仿宋_GB2312"/>
        </w:rPr>
      </w:pPr>
      <w:r>
        <w:rPr>
          <w:rFonts w:hint="eastAsia" w:ascii="仿宋_GB2312"/>
        </w:rPr>
        <w:t>项目的总体目标为：（1）升级信息化系统，更好地满足业务发展需要；（2）保障信息系统安全稳定运行，延长设备使用寿命；（3）促进办公信息化建设，提高工作效率。</w:t>
      </w:r>
    </w:p>
    <w:p>
      <w:pPr>
        <w:spacing w:line="600" w:lineRule="exact"/>
        <w:ind w:firstLine="640"/>
        <w:rPr>
          <w:rFonts w:ascii="仿宋_GB2312"/>
        </w:rPr>
      </w:pPr>
      <w:r>
        <w:rPr>
          <w:rFonts w:hint="eastAsia" w:ascii="仿宋_GB2312"/>
        </w:rPr>
        <w:t>阶段性目标为：（1）完成财务软件维护及升级；（2）保障信息系统正常运转，为业务开展提供支撑。</w:t>
      </w:r>
    </w:p>
    <w:p>
      <w:pPr>
        <w:pStyle w:val="2"/>
        <w:ind w:firstLine="640"/>
      </w:pPr>
      <w:bookmarkStart w:id="6" w:name="_Toc111637870"/>
      <w:r>
        <w:rPr>
          <w:rFonts w:hint="eastAsia"/>
        </w:rPr>
        <w:t>二、绩效评价工作开展情况</w:t>
      </w:r>
      <w:bookmarkEnd w:id="6"/>
    </w:p>
    <w:p>
      <w:pPr>
        <w:pStyle w:val="2"/>
        <w:ind w:firstLine="643"/>
        <w:rPr>
          <w:rFonts w:eastAsia="楷体_GB2312"/>
          <w:b/>
          <w:szCs w:val="40"/>
        </w:rPr>
      </w:pPr>
      <w:bookmarkStart w:id="7" w:name="_Toc111637871"/>
      <w:r>
        <w:rPr>
          <w:rFonts w:hint="eastAsia" w:eastAsia="楷体_GB2312"/>
          <w:b/>
          <w:szCs w:val="40"/>
        </w:rPr>
        <w:t>（一）绩效评价目的、对象和范围</w:t>
      </w:r>
      <w:bookmarkEnd w:id="7"/>
    </w:p>
    <w:p>
      <w:pPr>
        <w:pStyle w:val="4"/>
        <w:ind w:firstLine="643"/>
        <w:rPr>
          <w:rFonts w:ascii="仿宋_GB2312"/>
        </w:rPr>
      </w:pPr>
      <w:bookmarkStart w:id="8" w:name="_Toc111637872"/>
      <w:r>
        <w:rPr>
          <w:rFonts w:hint="eastAsia" w:ascii="仿宋_GB2312"/>
        </w:rPr>
        <w:t>1</w:t>
      </w:r>
      <w:r>
        <w:rPr>
          <w:rFonts w:ascii="仿宋_GB2312"/>
        </w:rPr>
        <w:t>.</w:t>
      </w:r>
      <w:r>
        <w:rPr>
          <w:rFonts w:hint="eastAsia" w:ascii="仿宋_GB2312"/>
        </w:rPr>
        <w:t>绩效评价目的</w:t>
      </w:r>
      <w:bookmarkEnd w:id="8"/>
    </w:p>
    <w:p>
      <w:pPr>
        <w:spacing w:line="600" w:lineRule="exact"/>
        <w:ind w:firstLine="640"/>
        <w:rPr>
          <w:rFonts w:ascii="仿宋_GB2312"/>
        </w:rPr>
      </w:pPr>
      <w:r>
        <w:rPr>
          <w:rFonts w:hint="eastAsia" w:ascii="仿宋_GB2312"/>
        </w:rPr>
        <w:t>本次绩效评价旨在通过对2</w:t>
      </w:r>
      <w:r>
        <w:rPr>
          <w:rFonts w:ascii="仿宋_GB2312"/>
        </w:rPr>
        <w:t>021</w:t>
      </w:r>
      <w:r>
        <w:rPr>
          <w:rFonts w:hint="eastAsia" w:ascii="仿宋_GB2312"/>
        </w:rPr>
        <w:t>年度“信息系统维护”项目决策、过程、产出和效益进行全面分析，作为完善内部管理以及提高财政资金使用效益的重要手段。一是发现项目管理存在的问题，为后续我中心改进内部管理提出建议，二是分析项目资金使用绩效，着力提高财政资源配置效率和使用效益。此次绩效评价结果将作为中心以后年度部门预算安排、政策完善和管理改进的重要依据。</w:t>
      </w:r>
    </w:p>
    <w:p>
      <w:pPr>
        <w:pStyle w:val="4"/>
        <w:ind w:firstLine="643"/>
        <w:rPr>
          <w:rFonts w:ascii="仿宋_GB2312"/>
        </w:rPr>
      </w:pPr>
      <w:bookmarkStart w:id="9" w:name="_Toc111637873"/>
      <w:r>
        <w:rPr>
          <w:rFonts w:ascii="仿宋_GB2312"/>
        </w:rPr>
        <w:t>2.</w:t>
      </w:r>
      <w:r>
        <w:rPr>
          <w:rFonts w:hint="eastAsia" w:ascii="仿宋_GB2312"/>
        </w:rPr>
        <w:t>绩效评价对象</w:t>
      </w:r>
      <w:bookmarkEnd w:id="9"/>
    </w:p>
    <w:p>
      <w:pPr>
        <w:spacing w:line="600" w:lineRule="exact"/>
        <w:ind w:firstLine="640"/>
        <w:rPr>
          <w:rFonts w:ascii="仿宋_GB2312"/>
        </w:rPr>
      </w:pPr>
      <w:r>
        <w:rPr>
          <w:rFonts w:hint="eastAsia" w:ascii="仿宋_GB2312"/>
        </w:rPr>
        <w:t>本次评价对象为中心2021年度“信息系统维护”项目，是中心的重要履职项目。</w:t>
      </w:r>
    </w:p>
    <w:p>
      <w:pPr>
        <w:pStyle w:val="4"/>
        <w:ind w:firstLine="643"/>
        <w:rPr>
          <w:rFonts w:ascii="仿宋_GB2312"/>
        </w:rPr>
      </w:pPr>
      <w:r>
        <w:rPr>
          <w:rFonts w:ascii="仿宋_GB2312"/>
        </w:rPr>
        <w:t>3.</w:t>
      </w:r>
      <w:r>
        <w:rPr>
          <w:rFonts w:hint="eastAsia" w:ascii="仿宋_GB2312"/>
        </w:rPr>
        <w:t>绩效评价范围</w:t>
      </w:r>
    </w:p>
    <w:p>
      <w:pPr>
        <w:spacing w:line="600" w:lineRule="exact"/>
        <w:ind w:firstLine="640"/>
        <w:rPr>
          <w:rFonts w:ascii="仿宋_GB2312"/>
        </w:rPr>
      </w:pPr>
      <w:r>
        <w:rPr>
          <w:rFonts w:hint="eastAsia" w:ascii="仿宋_GB2312"/>
        </w:rPr>
        <w:t>“信息系统维护”项目作为此次重点项目绩效评价的对象，评价小组从项目的决策情况、资金管理和使用情况、相关管理制度办法的健全性及执行情况、项目实现的产出和取得的效益情况等方面对项目开展绩效评价。</w:t>
      </w:r>
    </w:p>
    <w:p>
      <w:pPr>
        <w:pStyle w:val="2"/>
        <w:ind w:firstLine="643"/>
        <w:rPr>
          <w:rFonts w:eastAsia="楷体_GB2312"/>
          <w:b/>
          <w:szCs w:val="40"/>
        </w:rPr>
      </w:pPr>
      <w:bookmarkStart w:id="10" w:name="_Toc111637874"/>
      <w:r>
        <w:rPr>
          <w:rFonts w:hint="eastAsia" w:eastAsia="楷体_GB2312"/>
          <w:b/>
          <w:szCs w:val="40"/>
        </w:rPr>
        <w:t>（二）绩效评价原则、评价指标体系、评价方法、评价标准等</w:t>
      </w:r>
      <w:bookmarkEnd w:id="10"/>
    </w:p>
    <w:p>
      <w:pPr>
        <w:pStyle w:val="4"/>
        <w:ind w:firstLine="643"/>
        <w:rPr>
          <w:rFonts w:ascii="仿宋_GB2312"/>
        </w:rPr>
      </w:pPr>
      <w:bookmarkStart w:id="11" w:name="_Toc107312447"/>
      <w:r>
        <w:rPr>
          <w:rFonts w:ascii="仿宋_GB2312"/>
        </w:rPr>
        <w:t>1.</w:t>
      </w:r>
      <w:r>
        <w:rPr>
          <w:rFonts w:hint="eastAsia" w:ascii="仿宋_GB2312"/>
        </w:rPr>
        <w:t>绩效评价原则</w:t>
      </w:r>
      <w:bookmarkEnd w:id="11"/>
    </w:p>
    <w:p>
      <w:pPr>
        <w:ind w:firstLine="640"/>
        <w:rPr>
          <w:rFonts w:ascii="仿宋_GB2312"/>
        </w:rPr>
      </w:pPr>
      <w:r>
        <w:rPr>
          <w:rFonts w:hint="eastAsia" w:ascii="仿宋_GB2312" w:hAnsi="仿宋_GB2312"/>
        </w:rPr>
        <w:t>评价小组遵循</w:t>
      </w:r>
      <w:r>
        <w:rPr>
          <w:rFonts w:hint="eastAsia"/>
          <w:szCs w:val="40"/>
        </w:rPr>
        <w:t>科学公正、统筹兼顾、激励约束和公开透明</w:t>
      </w:r>
      <w:r>
        <w:rPr>
          <w:rFonts w:hint="eastAsia" w:ascii="仿宋_GB2312" w:hAnsi="仿宋_GB2312"/>
        </w:rPr>
        <w:t>的基本原则，</w:t>
      </w:r>
      <w:r>
        <w:rPr>
          <w:rFonts w:hint="eastAsia" w:ascii="仿宋_GB2312"/>
        </w:rPr>
        <w:t>对中心2021年度开展的“信息系统维护”项目</w:t>
      </w:r>
      <w:r>
        <w:rPr>
          <w:rFonts w:ascii="仿宋_GB2312"/>
        </w:rPr>
        <w:t>进行绩效评价</w:t>
      </w:r>
      <w:r>
        <w:rPr>
          <w:rFonts w:hint="eastAsia" w:ascii="仿宋_GB2312"/>
        </w:rPr>
        <w:t>。</w:t>
      </w:r>
    </w:p>
    <w:p>
      <w:pPr>
        <w:pStyle w:val="4"/>
        <w:ind w:firstLine="643"/>
        <w:rPr>
          <w:rFonts w:ascii="仿宋_GB2312"/>
        </w:rPr>
      </w:pPr>
      <w:r>
        <w:rPr>
          <w:rFonts w:hint="eastAsia" w:ascii="仿宋_GB2312"/>
        </w:rPr>
        <w:t>2</w:t>
      </w:r>
      <w:r>
        <w:rPr>
          <w:rFonts w:ascii="仿宋_GB2312"/>
        </w:rPr>
        <w:t>.</w:t>
      </w:r>
      <w:r>
        <w:rPr>
          <w:rFonts w:hint="eastAsia" w:ascii="仿宋_GB2312"/>
        </w:rPr>
        <w:t>评价指标体系及评价标准</w:t>
      </w:r>
    </w:p>
    <w:p>
      <w:pPr>
        <w:ind w:firstLine="640"/>
        <w:rPr>
          <w:szCs w:val="40"/>
        </w:rPr>
      </w:pPr>
      <w:r>
        <w:rPr>
          <w:rFonts w:hint="eastAsia" w:ascii="仿宋_GB2312" w:hAnsi="仿宋_GB2312"/>
        </w:rPr>
        <w:t>评价小组根据外部政策有关要求，结合项目工作实际，</w:t>
      </w:r>
      <w:r>
        <w:rPr>
          <w:rFonts w:hint="eastAsia"/>
          <w:szCs w:val="40"/>
        </w:rPr>
        <w:t>设置了与评价对象密切相关，能够综合反映项目决策、项目及资金管理、产出和效益的评价指标体系</w:t>
      </w:r>
      <w:r>
        <w:rPr>
          <w:rFonts w:hint="eastAsia" w:ascii="仿宋_GB2312" w:hAnsi="仿宋_GB2312"/>
        </w:rPr>
        <w:t>，</w:t>
      </w:r>
      <w:r>
        <w:rPr>
          <w:rFonts w:hint="eastAsia"/>
          <w:szCs w:val="40"/>
        </w:rPr>
        <w:t>指标设置精简实用且具有代表性，能直接反映产出和效益；指标内涵明确、具体、可衡量；数据及佐证资料可采集、可获得。</w:t>
      </w:r>
    </w:p>
    <w:p>
      <w:pPr>
        <w:ind w:firstLine="640"/>
        <w:rPr>
          <w:rFonts w:ascii="仿宋_GB2312" w:hAnsi="仿宋_GB2312"/>
        </w:rPr>
      </w:pPr>
      <w:r>
        <w:rPr>
          <w:rFonts w:hint="eastAsia" w:ascii="仿宋_GB2312" w:hAnsi="仿宋_GB2312"/>
        </w:rPr>
        <w:t>本次绩效评价指标体系共分为三级，包括一级指标4项、二级指标</w:t>
      </w:r>
      <w:r>
        <w:rPr>
          <w:rFonts w:ascii="仿宋_GB2312" w:hAnsi="仿宋_GB2312"/>
        </w:rPr>
        <w:t>11</w:t>
      </w:r>
      <w:r>
        <w:rPr>
          <w:rFonts w:hint="eastAsia" w:ascii="仿宋_GB2312" w:hAnsi="仿宋_GB2312"/>
        </w:rPr>
        <w:t>项、三级指标</w:t>
      </w:r>
      <w:r>
        <w:rPr>
          <w:rFonts w:ascii="仿宋_GB2312" w:hAnsi="仿宋_GB2312"/>
        </w:rPr>
        <w:t>24</w:t>
      </w:r>
      <w:r>
        <w:rPr>
          <w:rFonts w:hint="eastAsia" w:ascii="仿宋_GB2312" w:hAnsi="仿宋_GB2312"/>
        </w:rPr>
        <w:t>项，总分100分，主要从项目决策、过程、产出、效益等四个部分开展项目绩效评价工作。</w:t>
      </w:r>
    </w:p>
    <w:p>
      <w:pPr>
        <w:pStyle w:val="4"/>
        <w:ind w:firstLine="643"/>
        <w:rPr>
          <w:rFonts w:ascii="仿宋_GB2312"/>
        </w:rPr>
      </w:pPr>
      <w:bookmarkStart w:id="12" w:name="_Toc107312449"/>
      <w:r>
        <w:rPr>
          <w:rFonts w:ascii="仿宋_GB2312"/>
        </w:rPr>
        <w:t>3.</w:t>
      </w:r>
      <w:r>
        <w:rPr>
          <w:rFonts w:hint="eastAsia" w:ascii="仿宋_GB2312"/>
        </w:rPr>
        <w:t>绩效评价方法</w:t>
      </w:r>
      <w:bookmarkEnd w:id="12"/>
    </w:p>
    <w:p>
      <w:pPr>
        <w:ind w:firstLine="640"/>
        <w:rPr>
          <w:rFonts w:ascii="仿宋_GB2312" w:hAnsi="仿宋_GB2312"/>
        </w:rPr>
      </w:pPr>
      <w:r>
        <w:rPr>
          <w:rFonts w:hint="eastAsia" w:ascii="仿宋_GB2312" w:hAnsi="仿宋_GB2312"/>
        </w:rPr>
        <w:t>评价小组在构建指标体系的基础上，通过参考计划标准、行业标准、历史标准等评价标准对项目绩效指标完成情况进行比较，采用比较法、因素分析法等评价方法对项目进行综合评价，评价项目绩效目标完成情况和项目实施的绩效情况，分析评价中发现的问题并提出改善建议。</w:t>
      </w:r>
    </w:p>
    <w:p>
      <w:pPr>
        <w:pStyle w:val="4"/>
        <w:ind w:firstLine="643"/>
        <w:rPr>
          <w:rFonts w:ascii="仿宋_GB2312"/>
        </w:rPr>
      </w:pPr>
      <w:bookmarkStart w:id="13" w:name="_Toc107312450"/>
      <w:r>
        <w:rPr>
          <w:rFonts w:ascii="仿宋_GB2312"/>
        </w:rPr>
        <w:t>4.</w:t>
      </w:r>
      <w:r>
        <w:rPr>
          <w:rFonts w:hint="eastAsia" w:ascii="仿宋_GB2312"/>
        </w:rPr>
        <w:t>绩效评价标准</w:t>
      </w:r>
      <w:bookmarkEnd w:id="13"/>
    </w:p>
    <w:p>
      <w:pPr>
        <w:spacing w:line="600" w:lineRule="exact"/>
        <w:ind w:firstLine="0" w:firstLineChars="0"/>
        <w:rPr>
          <w:rFonts w:ascii="仿宋_GB2312"/>
        </w:rPr>
      </w:pPr>
      <w:r>
        <w:rPr>
          <w:rFonts w:hint="eastAsia" w:ascii="仿宋_GB2312" w:hAnsi="仿宋_GB2312"/>
        </w:rPr>
        <w:t>本次绩效评价结果采取评分和评级相结合的方式，具体分值和等级可根据项目具体工作情况评定。</w:t>
      </w:r>
      <w:r>
        <w:rPr>
          <w:rFonts w:hint="eastAsia"/>
          <w:szCs w:val="40"/>
        </w:rPr>
        <w:t>绩效评价体系</w:t>
      </w:r>
      <w:r>
        <w:rPr>
          <w:rFonts w:hint="eastAsia" w:ascii="仿宋_GB2312" w:hAnsi="仿宋_GB2312"/>
        </w:rPr>
        <w:t>总分设置为100分，等级划分为四档：90（含）-100分为优、80（含）-90分为良、60（含）-80分为中、60分以下为差。</w:t>
      </w:r>
    </w:p>
    <w:p>
      <w:pPr>
        <w:pStyle w:val="2"/>
        <w:ind w:firstLine="643"/>
        <w:rPr>
          <w:rFonts w:eastAsia="楷体_GB2312"/>
          <w:b/>
          <w:szCs w:val="40"/>
        </w:rPr>
      </w:pPr>
      <w:bookmarkStart w:id="14" w:name="_Toc111637875"/>
      <w:r>
        <w:rPr>
          <w:rFonts w:hint="eastAsia" w:eastAsia="楷体_GB2312"/>
          <w:b/>
          <w:szCs w:val="40"/>
        </w:rPr>
        <w:t>（三）绩效评价工作过程</w:t>
      </w:r>
      <w:bookmarkEnd w:id="14"/>
    </w:p>
    <w:p>
      <w:pPr>
        <w:pStyle w:val="4"/>
        <w:ind w:firstLine="643"/>
        <w:rPr>
          <w:rFonts w:ascii="仿宋_GB2312"/>
        </w:rPr>
      </w:pPr>
      <w:bookmarkStart w:id="15" w:name="_Toc111637876"/>
      <w:r>
        <w:rPr>
          <w:rFonts w:hint="eastAsia" w:ascii="仿宋_GB2312"/>
        </w:rPr>
        <w:t>1</w:t>
      </w:r>
      <w:r>
        <w:rPr>
          <w:rFonts w:ascii="仿宋_GB2312"/>
        </w:rPr>
        <w:t>.</w:t>
      </w:r>
      <w:r>
        <w:rPr>
          <w:rFonts w:hint="eastAsia" w:ascii="仿宋_GB2312"/>
        </w:rPr>
        <w:t>前期准备阶段</w:t>
      </w:r>
      <w:bookmarkEnd w:id="15"/>
    </w:p>
    <w:p>
      <w:pPr>
        <w:ind w:firstLine="640"/>
        <w:rPr>
          <w:rFonts w:ascii="仿宋_GB2312"/>
        </w:rPr>
      </w:pPr>
      <w:r>
        <w:rPr>
          <w:rFonts w:hint="eastAsia" w:ascii="仿宋_GB2312"/>
        </w:rPr>
        <w:t>评价小组对项目进行必要的研究和分析，初步掌握预期目标和特点，并在此基础上设置和完善资料清单、访谈提纲、调研计划及工作人员满意度调查问卷等，为项目后续开展做好充分准备。</w:t>
      </w:r>
    </w:p>
    <w:p>
      <w:pPr>
        <w:pStyle w:val="4"/>
        <w:ind w:firstLine="643"/>
        <w:rPr>
          <w:rFonts w:ascii="仿宋_GB2312"/>
        </w:rPr>
      </w:pPr>
      <w:bookmarkStart w:id="16" w:name="_Toc111637877"/>
      <w:r>
        <w:rPr>
          <w:rFonts w:hint="eastAsia" w:ascii="仿宋_GB2312"/>
        </w:rPr>
        <w:t>2</w:t>
      </w:r>
      <w:r>
        <w:rPr>
          <w:rFonts w:ascii="仿宋_GB2312"/>
        </w:rPr>
        <w:t>.</w:t>
      </w:r>
      <w:r>
        <w:rPr>
          <w:rFonts w:hint="eastAsia" w:ascii="仿宋_GB2312"/>
        </w:rPr>
        <w:t>组织实施阶段</w:t>
      </w:r>
      <w:bookmarkEnd w:id="16"/>
    </w:p>
    <w:p>
      <w:pPr>
        <w:ind w:firstLine="640"/>
        <w:rPr>
          <w:rFonts w:ascii="仿宋_GB2312" w:hAnsi="仿宋_GB2312"/>
        </w:rPr>
      </w:pPr>
      <w:r>
        <w:rPr>
          <w:rFonts w:hint="eastAsia" w:ascii="仿宋_GB2312" w:hAnsi="仿宋_GB2312"/>
        </w:rPr>
        <w:t>（1）资料收集与调研</w:t>
      </w:r>
    </w:p>
    <w:p>
      <w:pPr>
        <w:ind w:firstLine="640"/>
        <w:rPr>
          <w:rFonts w:ascii="仿宋_GB2312"/>
        </w:rPr>
      </w:pPr>
      <w:r>
        <w:rPr>
          <w:rFonts w:hint="eastAsia" w:ascii="仿宋_GB2312"/>
        </w:rPr>
        <w:t>评价小组通过内外部政策文件、制度条文的收集整理及分析，初步拟定项目资料收集清单，由相关部门准备并提供评价所需资料。</w:t>
      </w:r>
    </w:p>
    <w:p>
      <w:pPr>
        <w:ind w:firstLine="640"/>
        <w:rPr>
          <w:rFonts w:ascii="仿宋_GB2312"/>
        </w:rPr>
      </w:pPr>
      <w:r>
        <w:rPr>
          <w:rFonts w:hint="eastAsia" w:ascii="仿宋_GB2312"/>
        </w:rPr>
        <w:t>评价小组通过资料现场查阅、关键人员访谈等方式，开展凭证抽查与访谈调研工作，进一步了解项目工作具体过程及资金发放情况。</w:t>
      </w:r>
    </w:p>
    <w:p>
      <w:pPr>
        <w:ind w:firstLine="640"/>
        <w:rPr>
          <w:rFonts w:ascii="仿宋_GB2312" w:hAnsi="仿宋_GB2312"/>
        </w:rPr>
      </w:pPr>
      <w:r>
        <w:rPr>
          <w:rFonts w:hint="eastAsia" w:ascii="仿宋_GB2312" w:hAnsi="仿宋_GB2312"/>
        </w:rPr>
        <w:t>（2）绩效评价指标设计</w:t>
      </w:r>
    </w:p>
    <w:p>
      <w:pPr>
        <w:ind w:firstLine="640"/>
        <w:rPr>
          <w:rFonts w:ascii="仿宋_GB2312"/>
        </w:rPr>
      </w:pPr>
      <w:r>
        <w:rPr>
          <w:rFonts w:hint="eastAsia" w:ascii="仿宋_GB2312"/>
        </w:rPr>
        <w:t>评价小组根据区财政局有关政策文件要求及制度规定，结合项目绩效目标、实际工作情况，依托数据分析及现场调研结果，充分考虑项目实际特点设计项目绩效评价指标体系，明确指标评价内容及评价标准。</w:t>
      </w:r>
    </w:p>
    <w:p>
      <w:pPr>
        <w:ind w:firstLine="640"/>
        <w:rPr>
          <w:rFonts w:ascii="仿宋_GB2312" w:hAnsi="仿宋_GB2312"/>
        </w:rPr>
      </w:pPr>
      <w:r>
        <w:rPr>
          <w:rFonts w:hint="eastAsia" w:ascii="仿宋_GB2312" w:hAnsi="仿宋_GB2312"/>
        </w:rPr>
        <w:t>（3）绩效评分</w:t>
      </w:r>
    </w:p>
    <w:p>
      <w:pPr>
        <w:ind w:firstLine="640"/>
        <w:rPr>
          <w:rFonts w:ascii="仿宋_GB2312"/>
        </w:rPr>
      </w:pPr>
      <w:r>
        <w:rPr>
          <w:rFonts w:hint="eastAsia" w:ascii="仿宋_GB2312"/>
        </w:rPr>
        <w:t>评价小组根据项目调研情况，根据绩效评价指标体系对项目进行初步评分。</w:t>
      </w:r>
    </w:p>
    <w:p>
      <w:pPr>
        <w:pStyle w:val="4"/>
        <w:ind w:firstLine="643"/>
        <w:rPr>
          <w:rFonts w:ascii="仿宋_GB2312"/>
        </w:rPr>
      </w:pPr>
      <w:bookmarkStart w:id="17" w:name="_Toc111637878"/>
      <w:r>
        <w:rPr>
          <w:rFonts w:hint="eastAsia" w:ascii="仿宋_GB2312"/>
        </w:rPr>
        <w:t>3</w:t>
      </w:r>
      <w:r>
        <w:rPr>
          <w:rFonts w:ascii="仿宋_GB2312"/>
        </w:rPr>
        <w:t>.</w:t>
      </w:r>
      <w:r>
        <w:rPr>
          <w:rFonts w:hint="eastAsia" w:ascii="仿宋_GB2312"/>
        </w:rPr>
        <w:t>报告出具阶段</w:t>
      </w:r>
      <w:bookmarkEnd w:id="17"/>
    </w:p>
    <w:p>
      <w:pPr>
        <w:ind w:firstLine="640"/>
        <w:rPr>
          <w:rFonts w:ascii="仿宋_GB2312"/>
        </w:rPr>
      </w:pPr>
      <w:r>
        <w:rPr>
          <w:rFonts w:hint="eastAsia" w:ascii="仿宋_GB2312"/>
        </w:rPr>
        <w:t>评价小组根据项目评估情况，对绩效目标、项目执行情况、项目效益、存在问题等进行客观阐述和分析，并提出下一步工作建议，在此基础上形成项目绩效评价报告初稿，征求中心领导意见后，修改完善形成正式的绩效评价报告。</w:t>
      </w:r>
    </w:p>
    <w:p>
      <w:pPr>
        <w:pStyle w:val="2"/>
        <w:ind w:firstLine="640"/>
        <w:rPr>
          <w:rFonts w:ascii="仿宋_GB2312"/>
        </w:rPr>
      </w:pPr>
      <w:bookmarkStart w:id="18" w:name="_Toc111637879"/>
      <w:r>
        <w:rPr>
          <w:rStyle w:val="18"/>
          <w:rFonts w:hint="eastAsia"/>
          <w:bCs w:val="0"/>
        </w:rPr>
        <w:t>三、综合评价情况及评价结论</w:t>
      </w:r>
      <w:bookmarkEnd w:id="18"/>
    </w:p>
    <w:p>
      <w:pPr>
        <w:ind w:firstLine="640"/>
        <w:rPr>
          <w:rFonts w:ascii="仿宋_GB2312"/>
        </w:rPr>
      </w:pPr>
      <w:r>
        <w:rPr>
          <w:rFonts w:hint="eastAsia" w:ascii="仿宋_GB2312" w:hAnsi="仿宋_GB2312"/>
        </w:rPr>
        <w:t>评价小组基于项目绩效评价指标体系开展评分工作，最终计算出项目综合评分为</w:t>
      </w:r>
      <w:r>
        <w:rPr>
          <w:rFonts w:ascii="仿宋_GB2312" w:hAnsi="仿宋_GB2312"/>
        </w:rPr>
        <w:t>95.59</w:t>
      </w:r>
      <w:r>
        <w:rPr>
          <w:rFonts w:hint="eastAsia" w:ascii="仿宋_GB2312" w:hAnsi="仿宋_GB2312"/>
        </w:rPr>
        <w:t>分，评定等级为“优”。其中，项目决策</w:t>
      </w:r>
      <w:r>
        <w:rPr>
          <w:rFonts w:ascii="仿宋_GB2312" w:hAnsi="仿宋_GB2312"/>
        </w:rPr>
        <w:t>20</w:t>
      </w:r>
      <w:r>
        <w:rPr>
          <w:rFonts w:hint="eastAsia" w:ascii="仿宋_GB2312" w:hAnsi="仿宋_GB2312"/>
        </w:rPr>
        <w:t>分，项目过程</w:t>
      </w:r>
      <w:r>
        <w:rPr>
          <w:rFonts w:ascii="仿宋_GB2312" w:hAnsi="仿宋_GB2312"/>
        </w:rPr>
        <w:t>19.48</w:t>
      </w:r>
      <w:r>
        <w:rPr>
          <w:rFonts w:hint="eastAsia" w:ascii="仿宋_GB2312" w:hAnsi="仿宋_GB2312"/>
        </w:rPr>
        <w:t>分，项目产出</w:t>
      </w:r>
      <w:r>
        <w:rPr>
          <w:rFonts w:ascii="仿宋_GB2312" w:hAnsi="仿宋_GB2312"/>
        </w:rPr>
        <w:t>31.96</w:t>
      </w:r>
      <w:r>
        <w:rPr>
          <w:rFonts w:hint="eastAsia" w:ascii="仿宋_GB2312" w:hAnsi="仿宋_GB2312"/>
        </w:rPr>
        <w:t>分，项目效益</w:t>
      </w:r>
      <w:r>
        <w:rPr>
          <w:rFonts w:ascii="仿宋_GB2312" w:hAnsi="仿宋_GB2312"/>
        </w:rPr>
        <w:t>24.15</w:t>
      </w:r>
      <w:r>
        <w:rPr>
          <w:rFonts w:hint="eastAsia" w:ascii="仿宋_GB2312" w:hAnsi="仿宋_GB2312"/>
        </w:rPr>
        <w:t>分。各指标评分情况详见附件。</w:t>
      </w:r>
    </w:p>
    <w:tbl>
      <w:tblPr>
        <w:tblStyle w:val="14"/>
        <w:tblW w:w="8359" w:type="dxa"/>
        <w:tblInd w:w="0" w:type="dxa"/>
        <w:tblLayout w:type="autofit"/>
        <w:tblCellMar>
          <w:top w:w="0" w:type="dxa"/>
          <w:left w:w="108" w:type="dxa"/>
          <w:bottom w:w="0" w:type="dxa"/>
          <w:right w:w="108" w:type="dxa"/>
        </w:tblCellMar>
      </w:tblPr>
      <w:tblGrid>
        <w:gridCol w:w="846"/>
        <w:gridCol w:w="850"/>
        <w:gridCol w:w="1134"/>
        <w:gridCol w:w="851"/>
        <w:gridCol w:w="2977"/>
        <w:gridCol w:w="850"/>
        <w:gridCol w:w="851"/>
      </w:tblGrid>
      <w:tr>
        <w:tblPrEx>
          <w:tblCellMar>
            <w:top w:w="0" w:type="dxa"/>
            <w:left w:w="108" w:type="dxa"/>
            <w:bottom w:w="0" w:type="dxa"/>
            <w:right w:w="108" w:type="dxa"/>
          </w:tblCellMar>
        </w:tblPrEx>
        <w:trPr>
          <w:cantSplit/>
          <w:trHeight w:val="405" w:hRule="atLeast"/>
          <w:tblHeader/>
        </w:trPr>
        <w:tc>
          <w:tcPr>
            <w:tcW w:w="1696" w:type="dxa"/>
            <w:gridSpan w:val="2"/>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ign w:val="center"/>
          </w:tcPr>
          <w:p>
            <w:pPr>
              <w:widowControl/>
              <w:spacing w:line="240" w:lineRule="auto"/>
              <w:ind w:firstLine="0" w:firstLineChars="0"/>
              <w:jc w:val="center"/>
              <w:textAlignment w:val="center"/>
              <w:rPr>
                <w:rFonts w:ascii="仿宋_GB2312" w:hAnsi="宋体" w:cs="仿宋"/>
                <w:b/>
                <w:bCs/>
                <w:color w:val="000000"/>
                <w:sz w:val="21"/>
                <w:szCs w:val="21"/>
              </w:rPr>
            </w:pPr>
            <w:r>
              <w:rPr>
                <w:rFonts w:hint="eastAsia" w:ascii="仿宋_GB2312" w:hAnsi="宋体" w:cs="仿宋"/>
                <w:b/>
                <w:bCs/>
                <w:color w:val="000000"/>
                <w:kern w:val="0"/>
                <w:sz w:val="21"/>
                <w:szCs w:val="21"/>
                <w:lang w:bidi="ar"/>
              </w:rPr>
              <w:t>一级指标</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ign w:val="center"/>
          </w:tcPr>
          <w:p>
            <w:pPr>
              <w:widowControl/>
              <w:spacing w:line="240" w:lineRule="auto"/>
              <w:ind w:firstLine="0" w:firstLineChars="0"/>
              <w:jc w:val="center"/>
              <w:textAlignment w:val="center"/>
              <w:rPr>
                <w:rFonts w:ascii="仿宋_GB2312" w:hAnsi="宋体" w:cs="仿宋"/>
                <w:b/>
                <w:bCs/>
                <w:color w:val="000000"/>
                <w:sz w:val="21"/>
                <w:szCs w:val="21"/>
              </w:rPr>
            </w:pPr>
            <w:r>
              <w:rPr>
                <w:rFonts w:hint="eastAsia" w:ascii="仿宋_GB2312" w:hAnsi="宋体" w:cs="仿宋"/>
                <w:b/>
                <w:bCs/>
                <w:color w:val="000000"/>
                <w:kern w:val="0"/>
                <w:sz w:val="21"/>
                <w:szCs w:val="21"/>
                <w:lang w:bidi="ar"/>
              </w:rPr>
              <w:t>二级指标</w:t>
            </w:r>
          </w:p>
        </w:tc>
        <w:tc>
          <w:tcPr>
            <w:tcW w:w="4678" w:type="dxa"/>
            <w:gridSpan w:val="3"/>
            <w:tcBorders>
              <w:top w:val="single" w:color="000000" w:sz="4" w:space="0"/>
              <w:left w:val="single" w:color="000000" w:sz="4" w:space="0"/>
              <w:bottom w:val="single" w:color="000000" w:sz="4" w:space="0"/>
              <w:right w:val="single" w:color="000000" w:sz="4" w:space="0"/>
            </w:tcBorders>
            <w:shd w:val="clear" w:color="auto" w:fill="AEAAAA" w:themeFill="background2" w:themeFillShade="BF"/>
            <w:noWrap/>
            <w:vAlign w:val="center"/>
          </w:tcPr>
          <w:p>
            <w:pPr>
              <w:widowControl/>
              <w:spacing w:line="240" w:lineRule="auto"/>
              <w:ind w:firstLine="0" w:firstLineChars="0"/>
              <w:jc w:val="center"/>
              <w:textAlignment w:val="center"/>
              <w:rPr>
                <w:rFonts w:ascii="仿宋_GB2312" w:hAnsi="宋体" w:cs="仿宋"/>
                <w:b/>
                <w:bCs/>
                <w:color w:val="000000"/>
                <w:kern w:val="0"/>
                <w:sz w:val="21"/>
                <w:szCs w:val="21"/>
                <w:lang w:bidi="ar"/>
              </w:rPr>
            </w:pPr>
            <w:r>
              <w:rPr>
                <w:rFonts w:hint="eastAsia" w:ascii="仿宋_GB2312" w:hAnsi="宋体" w:cs="仿宋"/>
                <w:b/>
                <w:bCs/>
                <w:color w:val="000000"/>
                <w:kern w:val="0"/>
                <w:sz w:val="21"/>
                <w:szCs w:val="21"/>
                <w:lang w:bidi="ar"/>
              </w:rPr>
              <w:t>三级指标</w:t>
            </w:r>
          </w:p>
        </w:tc>
      </w:tr>
      <w:tr>
        <w:tblPrEx>
          <w:tblCellMar>
            <w:top w:w="0" w:type="dxa"/>
            <w:left w:w="108" w:type="dxa"/>
            <w:bottom w:w="0" w:type="dxa"/>
            <w:right w:w="108" w:type="dxa"/>
          </w:tblCellMar>
        </w:tblPrEx>
        <w:trPr>
          <w:trHeight w:val="23"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b/>
                <w:bCs/>
                <w:color w:val="000000"/>
                <w:sz w:val="21"/>
                <w:szCs w:val="21"/>
              </w:rPr>
            </w:pPr>
            <w:r>
              <w:rPr>
                <w:rFonts w:hint="eastAsia" w:ascii="仿宋_GB2312" w:hAnsi="宋体" w:cs="仿宋"/>
                <w:b/>
                <w:bCs/>
                <w:color w:val="000000"/>
                <w:kern w:val="0"/>
                <w:sz w:val="21"/>
                <w:szCs w:val="21"/>
                <w:lang w:bidi="ar"/>
              </w:rPr>
              <w:t>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b/>
                <w:bCs/>
                <w:color w:val="000000"/>
                <w:sz w:val="21"/>
                <w:szCs w:val="21"/>
              </w:rPr>
            </w:pPr>
            <w:r>
              <w:rPr>
                <w:rFonts w:hint="eastAsia" w:ascii="仿宋_GB2312" w:hAnsi="宋体" w:cs="仿宋"/>
                <w:b/>
                <w:bCs/>
                <w:color w:val="000000"/>
                <w:kern w:val="0"/>
                <w:sz w:val="21"/>
                <w:szCs w:val="21"/>
                <w:lang w:bidi="ar"/>
              </w:rPr>
              <w:t>权重</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b/>
                <w:bCs/>
                <w:color w:val="000000"/>
                <w:sz w:val="21"/>
                <w:szCs w:val="21"/>
              </w:rPr>
            </w:pPr>
            <w:r>
              <w:rPr>
                <w:rFonts w:hint="eastAsia" w:ascii="仿宋_GB2312" w:hAnsi="宋体" w:cs="仿宋"/>
                <w:b/>
                <w:bCs/>
                <w:color w:val="000000"/>
                <w:kern w:val="0"/>
                <w:sz w:val="21"/>
                <w:szCs w:val="21"/>
                <w:lang w:bidi="ar"/>
              </w:rPr>
              <w:t>名称</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b/>
                <w:bCs/>
                <w:color w:val="000000"/>
                <w:sz w:val="21"/>
                <w:szCs w:val="21"/>
              </w:rPr>
            </w:pPr>
            <w:r>
              <w:rPr>
                <w:rFonts w:hint="eastAsia" w:ascii="仿宋_GB2312" w:hAnsi="宋体" w:cs="仿宋"/>
                <w:b/>
                <w:bCs/>
                <w:color w:val="000000"/>
                <w:kern w:val="0"/>
                <w:sz w:val="21"/>
                <w:szCs w:val="21"/>
                <w:lang w:bidi="ar"/>
              </w:rPr>
              <w:t>权重</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b/>
                <w:bCs/>
                <w:color w:val="000000"/>
                <w:sz w:val="21"/>
                <w:szCs w:val="21"/>
              </w:rPr>
            </w:pPr>
            <w:r>
              <w:rPr>
                <w:rFonts w:hint="eastAsia" w:ascii="仿宋_GB2312" w:hAnsi="宋体" w:cs="仿宋"/>
                <w:b/>
                <w:bCs/>
                <w:color w:val="000000"/>
                <w:kern w:val="0"/>
                <w:sz w:val="21"/>
                <w:szCs w:val="21"/>
                <w:lang w:bidi="ar"/>
              </w:rPr>
              <w:t>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b/>
                <w:bCs/>
                <w:color w:val="000000"/>
                <w:sz w:val="21"/>
                <w:szCs w:val="21"/>
              </w:rPr>
            </w:pPr>
            <w:r>
              <w:rPr>
                <w:rFonts w:hint="eastAsia" w:ascii="仿宋_GB2312" w:hAnsi="宋体" w:cs="仿宋"/>
                <w:b/>
                <w:bCs/>
                <w:color w:val="000000"/>
                <w:kern w:val="0"/>
                <w:sz w:val="21"/>
                <w:szCs w:val="21"/>
                <w:lang w:bidi="ar"/>
              </w:rPr>
              <w:t>权重</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b/>
                <w:bCs/>
                <w:color w:val="000000"/>
                <w:kern w:val="0"/>
                <w:sz w:val="21"/>
                <w:szCs w:val="21"/>
                <w:lang w:bidi="ar"/>
              </w:rPr>
            </w:pPr>
            <w:r>
              <w:rPr>
                <w:rFonts w:hint="eastAsia" w:ascii="仿宋_GB2312" w:hAnsi="宋体" w:cs="仿宋"/>
                <w:b/>
                <w:bCs/>
                <w:color w:val="000000"/>
                <w:kern w:val="0"/>
                <w:sz w:val="21"/>
                <w:szCs w:val="21"/>
                <w:lang w:bidi="ar"/>
              </w:rPr>
              <w:t>得分</w:t>
            </w:r>
          </w:p>
        </w:tc>
      </w:tr>
      <w:tr>
        <w:tblPrEx>
          <w:tblCellMar>
            <w:top w:w="0" w:type="dxa"/>
            <w:left w:w="108" w:type="dxa"/>
            <w:bottom w:w="0" w:type="dxa"/>
            <w:right w:w="108" w:type="dxa"/>
          </w:tblCellMar>
        </w:tblPrEx>
        <w:trPr>
          <w:trHeight w:val="23"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sz w:val="21"/>
                <w:szCs w:val="21"/>
              </w:rPr>
              <w:t>项目</w:t>
            </w:r>
          </w:p>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sz w:val="21"/>
                <w:szCs w:val="21"/>
              </w:rPr>
              <w:t>决策</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20</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项目立项</w:t>
            </w:r>
          </w:p>
        </w:tc>
        <w:tc>
          <w:tcPr>
            <w:tcW w:w="851"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6</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630" w:firstLineChars="300"/>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立项依据充分性</w:t>
            </w:r>
          </w:p>
        </w:tc>
        <w:tc>
          <w:tcPr>
            <w:tcW w:w="850"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4</w:t>
            </w:r>
          </w:p>
        </w:tc>
        <w:tc>
          <w:tcPr>
            <w:tcW w:w="851"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4</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297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立项程序规范性</w:t>
            </w:r>
          </w:p>
        </w:tc>
        <w:tc>
          <w:tcPr>
            <w:tcW w:w="850"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2</w:t>
            </w:r>
          </w:p>
        </w:tc>
        <w:tc>
          <w:tcPr>
            <w:tcW w:w="851"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2</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绩效目标</w:t>
            </w:r>
          </w:p>
        </w:tc>
        <w:tc>
          <w:tcPr>
            <w:tcW w:w="851"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8</w:t>
            </w:r>
          </w:p>
        </w:tc>
        <w:tc>
          <w:tcPr>
            <w:tcW w:w="297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绩效目标合理性</w:t>
            </w:r>
          </w:p>
        </w:tc>
        <w:tc>
          <w:tcPr>
            <w:tcW w:w="850"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4</w:t>
            </w:r>
          </w:p>
        </w:tc>
        <w:tc>
          <w:tcPr>
            <w:tcW w:w="851"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4</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297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绩效指标明确性</w:t>
            </w:r>
          </w:p>
        </w:tc>
        <w:tc>
          <w:tcPr>
            <w:tcW w:w="850"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4</w:t>
            </w:r>
          </w:p>
        </w:tc>
        <w:tc>
          <w:tcPr>
            <w:tcW w:w="851"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4</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资金投入</w:t>
            </w:r>
          </w:p>
        </w:tc>
        <w:tc>
          <w:tcPr>
            <w:tcW w:w="851"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6</w:t>
            </w:r>
          </w:p>
        </w:tc>
        <w:tc>
          <w:tcPr>
            <w:tcW w:w="297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预算编制科学性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4</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297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资金分配合理性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2</w:t>
            </w:r>
          </w:p>
        </w:tc>
      </w:tr>
      <w:tr>
        <w:tblPrEx>
          <w:tblCellMar>
            <w:top w:w="0" w:type="dxa"/>
            <w:left w:w="108" w:type="dxa"/>
            <w:bottom w:w="0" w:type="dxa"/>
            <w:right w:w="108" w:type="dxa"/>
          </w:tblCellMar>
        </w:tblPrEx>
        <w:trPr>
          <w:trHeight w:val="23"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hint="eastAsia" w:ascii="仿宋_GB2312" w:hAnsi="宋体" w:cs="仿宋"/>
                <w:color w:val="000000"/>
                <w:kern w:val="0"/>
                <w:sz w:val="21"/>
                <w:szCs w:val="21"/>
                <w:lang w:bidi="ar"/>
              </w:rPr>
              <w:t>项目</w:t>
            </w:r>
          </w:p>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过程</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sz w:val="21"/>
                <w:szCs w:val="21"/>
              </w:rPr>
              <w:t>20</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资金管理</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12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资金到位率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4</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预算执行率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3.98</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资金使用合规性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4</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组织实施</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8</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管理制度健全性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2</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制度执行有效性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4</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档案管理规范性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1.5</w:t>
            </w:r>
          </w:p>
        </w:tc>
      </w:tr>
      <w:tr>
        <w:tblPrEx>
          <w:tblCellMar>
            <w:top w:w="0" w:type="dxa"/>
            <w:left w:w="108" w:type="dxa"/>
            <w:bottom w:w="0" w:type="dxa"/>
            <w:right w:w="108" w:type="dxa"/>
          </w:tblCellMar>
        </w:tblPrEx>
        <w:trPr>
          <w:trHeight w:val="23"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hint="eastAsia" w:ascii="仿宋_GB2312" w:hAnsi="宋体" w:cs="仿宋"/>
                <w:color w:val="000000"/>
                <w:kern w:val="0"/>
                <w:sz w:val="21"/>
                <w:szCs w:val="21"/>
                <w:lang w:bidi="ar"/>
              </w:rPr>
              <w:t>项目</w:t>
            </w:r>
          </w:p>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产出</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sz w:val="21"/>
                <w:szCs w:val="21"/>
              </w:rPr>
              <w:t>35</w:t>
            </w:r>
          </w:p>
        </w:tc>
        <w:tc>
          <w:tcPr>
            <w:tcW w:w="1134"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产出数量</w:t>
            </w:r>
          </w:p>
        </w:tc>
        <w:tc>
          <w:tcPr>
            <w:tcW w:w="851"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12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系统维护数量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4</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系统升级新增功能数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6</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系统培训种类数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2</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产出质量</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12</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项目验收合格率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4</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系统培训参与率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1.15</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故障排除率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sz w:val="21"/>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6</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产出时效</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sz w:val="21"/>
                <w:szCs w:val="21"/>
              </w:rPr>
              <w:t>5</w:t>
            </w: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银行对账数据导入及时率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sz w:val="21"/>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1.51</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故障处理及时率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sz w:val="21"/>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2.3</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产出成本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sz w:val="21"/>
                <w:szCs w:val="21"/>
              </w:rPr>
              <w:t>6</w:t>
            </w: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支付进度达标率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sz w:val="21"/>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5</w:t>
            </w:r>
          </w:p>
        </w:tc>
      </w:tr>
      <w:tr>
        <w:tblPrEx>
          <w:tblCellMar>
            <w:top w:w="0" w:type="dxa"/>
            <w:left w:w="108" w:type="dxa"/>
            <w:bottom w:w="0" w:type="dxa"/>
            <w:right w:w="108" w:type="dxa"/>
          </w:tblCellMar>
        </w:tblPrEx>
        <w:trPr>
          <w:trHeight w:val="23"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hint="eastAsia" w:ascii="仿宋_GB2312" w:hAnsi="宋体" w:cs="仿宋"/>
                <w:color w:val="000000"/>
                <w:kern w:val="0"/>
                <w:sz w:val="21"/>
                <w:szCs w:val="21"/>
                <w:lang w:bidi="ar"/>
              </w:rPr>
              <w:t>项目</w:t>
            </w:r>
          </w:p>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效益</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25</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社会效益</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15</w:t>
            </w: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全区集中核算单位系统覆盖率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sz w:val="21"/>
                <w:szCs w:val="21"/>
              </w:rPr>
              <w:t>7</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7</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系统运维保障各项工作正常运转率</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sz w:val="21"/>
                <w:szCs w:val="21"/>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8</w:t>
            </w:r>
          </w:p>
        </w:tc>
      </w:tr>
      <w:tr>
        <w:tblPrEx>
          <w:tblCellMar>
            <w:top w:w="0" w:type="dxa"/>
            <w:left w:w="108" w:type="dxa"/>
            <w:bottom w:w="0" w:type="dxa"/>
            <w:right w:w="108" w:type="dxa"/>
          </w:tblCellMar>
        </w:tblPrEx>
        <w:trPr>
          <w:trHeight w:val="2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420"/>
              <w:jc w:val="center"/>
              <w:rPr>
                <w:rFonts w:ascii="仿宋_GB2312" w:hAnsi="宋体" w:cs="仿宋"/>
                <w:color w:val="000000"/>
                <w:sz w:val="21"/>
                <w:szCs w:val="21"/>
              </w:rPr>
            </w:pPr>
          </w:p>
        </w:tc>
        <w:tc>
          <w:tcPr>
            <w:tcW w:w="1134"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满意度</w:t>
            </w:r>
          </w:p>
        </w:tc>
        <w:tc>
          <w:tcPr>
            <w:tcW w:w="851"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10</w:t>
            </w:r>
          </w:p>
        </w:tc>
        <w:tc>
          <w:tcPr>
            <w:tcW w:w="2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系统使用人员满意度</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9.15</w:t>
            </w:r>
          </w:p>
        </w:tc>
      </w:tr>
      <w:tr>
        <w:tblPrEx>
          <w:tblCellMar>
            <w:top w:w="0" w:type="dxa"/>
            <w:left w:w="108" w:type="dxa"/>
            <w:bottom w:w="0" w:type="dxa"/>
            <w:right w:w="108" w:type="dxa"/>
          </w:tblCellMar>
        </w:tblPrEx>
        <w:trPr>
          <w:trHeight w:val="371"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hint="eastAsia" w:ascii="仿宋_GB2312" w:hAnsi="宋体" w:cs="仿宋"/>
                <w:color w:val="000000"/>
                <w:kern w:val="0"/>
                <w:sz w:val="21"/>
                <w:szCs w:val="21"/>
                <w:lang w:bidi="ar"/>
              </w:rPr>
              <w:t>总分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仿宋_GB2312" w:hAnsi="宋体" w:cs="仿宋"/>
                <w:color w:val="00000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100</w:t>
            </w:r>
          </w:p>
        </w:tc>
        <w:tc>
          <w:tcPr>
            <w:tcW w:w="2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firstLine="420"/>
              <w:jc w:val="center"/>
              <w:rPr>
                <w:rFonts w:ascii="仿宋_GB2312" w:hAnsi="宋体" w:cs="仿宋"/>
                <w:color w:val="000000"/>
                <w:sz w:val="21"/>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sz w:val="21"/>
                <w:szCs w:val="21"/>
              </w:rPr>
            </w:pPr>
            <w:r>
              <w:rPr>
                <w:rFonts w:ascii="仿宋_GB2312" w:hAnsi="宋体" w:cs="仿宋"/>
                <w:color w:val="000000"/>
                <w:kern w:val="0"/>
                <w:sz w:val="21"/>
                <w:szCs w:val="21"/>
                <w:lang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仿宋_GB2312" w:hAnsi="宋体" w:cs="仿宋"/>
                <w:color w:val="000000"/>
                <w:kern w:val="0"/>
                <w:sz w:val="21"/>
                <w:szCs w:val="21"/>
                <w:lang w:bidi="ar"/>
              </w:rPr>
            </w:pPr>
            <w:r>
              <w:rPr>
                <w:rFonts w:ascii="仿宋_GB2312" w:hAnsi="宋体" w:cs="仿宋"/>
                <w:color w:val="000000"/>
                <w:kern w:val="0"/>
                <w:sz w:val="21"/>
                <w:szCs w:val="21"/>
                <w:lang w:bidi="ar"/>
              </w:rPr>
              <w:t>95.59</w:t>
            </w:r>
          </w:p>
        </w:tc>
      </w:tr>
    </w:tbl>
    <w:p>
      <w:pPr>
        <w:ind w:firstLine="640"/>
        <w:jc w:val="left"/>
        <w:outlineLvl w:val="0"/>
        <w:rPr>
          <w:rFonts w:eastAsia="黑体"/>
          <w:szCs w:val="32"/>
        </w:rPr>
      </w:pPr>
      <w:bookmarkStart w:id="19" w:name="_Toc75354559"/>
      <w:bookmarkStart w:id="20" w:name="_Toc111637880"/>
      <w:r>
        <w:rPr>
          <w:rFonts w:hint="eastAsia" w:eastAsia="黑体"/>
          <w:szCs w:val="32"/>
        </w:rPr>
        <w:t>四、绩效评价指标分析</w:t>
      </w:r>
      <w:bookmarkEnd w:id="19"/>
      <w:bookmarkEnd w:id="20"/>
    </w:p>
    <w:p>
      <w:pPr>
        <w:pStyle w:val="2"/>
        <w:ind w:firstLine="643"/>
        <w:rPr>
          <w:rFonts w:eastAsia="楷体_GB2312"/>
          <w:b/>
          <w:szCs w:val="40"/>
        </w:rPr>
      </w:pPr>
      <w:bookmarkStart w:id="21" w:name="_Toc75354560"/>
      <w:bookmarkStart w:id="22" w:name="_Toc111637881"/>
      <w:r>
        <w:rPr>
          <w:rFonts w:hint="eastAsia" w:eastAsia="楷体_GB2312"/>
          <w:b/>
          <w:szCs w:val="40"/>
        </w:rPr>
        <w:t>（一）项目决策</w:t>
      </w:r>
      <w:bookmarkEnd w:id="21"/>
      <w:bookmarkEnd w:id="22"/>
    </w:p>
    <w:p>
      <w:pPr>
        <w:ind w:firstLine="640"/>
        <w:rPr>
          <w:rFonts w:ascii="仿宋_GB2312"/>
          <w:szCs w:val="40"/>
        </w:rPr>
      </w:pPr>
      <w:r>
        <w:rPr>
          <w:rFonts w:hint="eastAsia" w:ascii="仿宋_GB2312"/>
          <w:szCs w:val="40"/>
        </w:rPr>
        <w:t>该指标主要考核项目的立项依据、绩效目标及资金投入情况。该指标满分</w:t>
      </w:r>
      <w:r>
        <w:rPr>
          <w:rFonts w:ascii="仿宋_GB2312"/>
          <w:szCs w:val="40"/>
        </w:rPr>
        <w:t>20分，得分20分，得分率100%。</w:t>
      </w:r>
    </w:p>
    <w:p>
      <w:pPr>
        <w:pStyle w:val="4"/>
        <w:ind w:firstLine="643"/>
        <w:rPr>
          <w:rFonts w:ascii="仿宋_GB2312"/>
        </w:rPr>
      </w:pPr>
      <w:bookmarkStart w:id="23" w:name="_Toc111637882"/>
      <w:r>
        <w:rPr>
          <w:rFonts w:hint="eastAsia" w:ascii="仿宋_GB2312"/>
        </w:rPr>
        <w:t>1.项目立项情况（满分6分，得分6分）</w:t>
      </w:r>
      <w:bookmarkEnd w:id="23"/>
    </w:p>
    <w:p>
      <w:pPr>
        <w:ind w:firstLine="643"/>
        <w:rPr>
          <w:szCs w:val="40"/>
        </w:rPr>
      </w:pPr>
      <w:bookmarkStart w:id="24" w:name="_Hlk82767840"/>
      <w:r>
        <w:rPr>
          <w:rFonts w:hint="eastAsia"/>
          <w:b/>
          <w:bCs/>
          <w:szCs w:val="40"/>
        </w:rPr>
        <w:t>一是立项依据充分性。</w:t>
      </w:r>
      <w:r>
        <w:rPr>
          <w:rFonts w:hint="eastAsia"/>
          <w:szCs w:val="40"/>
        </w:rPr>
        <w:t>经充分了解，</w:t>
      </w:r>
      <w:r>
        <w:rPr>
          <w:rFonts w:hint="eastAsia" w:ascii="仿宋_GB2312"/>
        </w:rPr>
        <w:t>“信息系统维护”项目为中心经常性延续项目，项目立项为中心履职所需</w:t>
      </w:r>
      <w:r>
        <w:rPr>
          <w:rFonts w:hint="eastAsia"/>
          <w:szCs w:val="40"/>
        </w:rPr>
        <w:t>；且项目资金属于公共财政支出范围，符合区财政局、中心事权支出责任划分原则；项目与相关部门同类项目及部门内部相关项目均不存在重复。项目立项依据充分，具有现实必要性。</w:t>
      </w:r>
    </w:p>
    <w:p>
      <w:pPr>
        <w:ind w:firstLine="643"/>
        <w:rPr>
          <w:rFonts w:ascii="仿宋_GB2312"/>
        </w:rPr>
      </w:pPr>
      <w:r>
        <w:rPr>
          <w:rFonts w:hint="eastAsia"/>
          <w:b/>
          <w:bCs/>
          <w:szCs w:val="40"/>
        </w:rPr>
        <w:t>二是立项程序规范性。</w:t>
      </w:r>
      <w:r>
        <w:rPr>
          <w:rFonts w:hint="eastAsia"/>
          <w:szCs w:val="40"/>
        </w:rPr>
        <w:t>在部门内部及单位层面决策过程中，本项目由中心办公室具体负责组织实施，根据中心年度工作计划，编制项目预算，明确项目绩效目标，并履行报批程序；且严格按照中心有关项目立项的规定和程序进行集体决策设立，项目立项的审批文件、材料充分且，符合区财政局有关项目申报规定的程序和要求。</w:t>
      </w:r>
      <w:bookmarkEnd w:id="24"/>
    </w:p>
    <w:p>
      <w:pPr>
        <w:pStyle w:val="4"/>
        <w:ind w:firstLine="643"/>
        <w:rPr>
          <w:rFonts w:ascii="仿宋_GB2312"/>
        </w:rPr>
      </w:pPr>
      <w:bookmarkStart w:id="25" w:name="_Toc75354562"/>
      <w:bookmarkStart w:id="26" w:name="_Toc111637883"/>
      <w:r>
        <w:rPr>
          <w:rFonts w:hint="eastAsia" w:ascii="仿宋_GB2312"/>
        </w:rPr>
        <w:t>2</w:t>
      </w:r>
      <w:r>
        <w:rPr>
          <w:rFonts w:ascii="仿宋_GB2312"/>
        </w:rPr>
        <w:t>.</w:t>
      </w:r>
      <w:r>
        <w:rPr>
          <w:rFonts w:hint="eastAsia" w:ascii="仿宋_GB2312"/>
        </w:rPr>
        <w:t>绩效目标情况</w:t>
      </w:r>
      <w:bookmarkEnd w:id="25"/>
      <w:r>
        <w:rPr>
          <w:rFonts w:hint="eastAsia" w:ascii="仿宋_GB2312"/>
        </w:rPr>
        <w:t>（满分8分，得分8分）</w:t>
      </w:r>
      <w:bookmarkEnd w:id="26"/>
    </w:p>
    <w:p>
      <w:pPr>
        <w:ind w:firstLine="643"/>
      </w:pPr>
      <w:r>
        <w:rPr>
          <w:rFonts w:hint="eastAsia"/>
          <w:b/>
          <w:bCs/>
        </w:rPr>
        <w:t>一是绩效目标合理性。</w:t>
      </w:r>
      <w:r>
        <w:rPr>
          <w:rFonts w:hint="eastAsia" w:ascii="仿宋_GB2312"/>
        </w:rPr>
        <w:t>“信息系统维护”项目</w:t>
      </w:r>
      <w:r>
        <w:rPr>
          <w:rFonts w:hint="eastAsia"/>
        </w:rPr>
        <w:t>严格按照区政局预算指标设定有关要求，完整设定年度绩效目标，设定“系统维护数量”、“系统验收合格率”、“故障排除率”等与项目工作匹配度较高的绩效指标，结合项目测算内容，合理设定指标目标值。</w:t>
      </w:r>
    </w:p>
    <w:p>
      <w:pPr>
        <w:ind w:firstLine="643"/>
      </w:pPr>
      <w:r>
        <w:rPr>
          <w:rFonts w:hint="eastAsia"/>
          <w:b/>
          <w:bCs/>
        </w:rPr>
        <w:t>二是绩效指标明确性。</w:t>
      </w:r>
      <w:r>
        <w:rPr>
          <w:rFonts w:hint="eastAsia"/>
        </w:rPr>
        <w:t>根据项目年度总体目标，“</w:t>
      </w:r>
      <w:r>
        <w:rPr>
          <w:rFonts w:hint="eastAsia" w:ascii="仿宋_GB2312"/>
        </w:rPr>
        <w:t>信息系统维护”</w:t>
      </w:r>
      <w:r>
        <w:rPr>
          <w:rFonts w:hint="eastAsia"/>
        </w:rPr>
        <w:t>项目绩效目标全面细化分解为数量、质量、时效、可持续性影响、服务对象满意度指标等具体三级绩效指标，各类绩效指标均较为清晰，其中可衡量的指标值予以量化体现，难以量化的指标如三级指标“可持续影响”采用了定性表达的方式，指标内容为支撑政府会计制度改革，该指标值设定与单位工作目标挂钩，做到了绩效指标设定完整、科学、可衡量，绩效指标明确</w:t>
      </w:r>
      <w:r>
        <w:t>。</w:t>
      </w:r>
    </w:p>
    <w:p>
      <w:pPr>
        <w:pStyle w:val="4"/>
        <w:ind w:firstLine="643"/>
        <w:rPr>
          <w:rFonts w:ascii="仿宋_GB2312"/>
        </w:rPr>
      </w:pPr>
      <w:bookmarkStart w:id="27" w:name="_Toc111637884"/>
      <w:r>
        <w:rPr>
          <w:rFonts w:ascii="仿宋_GB2312"/>
        </w:rPr>
        <w:t>3.</w:t>
      </w:r>
      <w:r>
        <w:rPr>
          <w:rFonts w:hint="eastAsia" w:ascii="仿宋_GB2312"/>
        </w:rPr>
        <w:t>资金投入情况（满分6分，得分6分）</w:t>
      </w:r>
      <w:bookmarkEnd w:id="27"/>
    </w:p>
    <w:p>
      <w:pPr>
        <w:ind w:firstLine="643"/>
        <w:rPr>
          <w:szCs w:val="40"/>
        </w:rPr>
      </w:pPr>
      <w:r>
        <w:rPr>
          <w:rFonts w:hint="eastAsia"/>
          <w:b/>
          <w:bCs/>
        </w:rPr>
        <w:t>一是预算编制科学性</w:t>
      </w:r>
      <w:r>
        <w:rPr>
          <w:rFonts w:hint="eastAsia"/>
          <w:szCs w:val="40"/>
        </w:rPr>
        <w:t>。</w:t>
      </w:r>
      <w:r>
        <w:rPr>
          <w:rFonts w:hint="eastAsia" w:ascii="仿宋_GB2312"/>
          <w:szCs w:val="40"/>
        </w:rPr>
        <w:t>2021年</w:t>
      </w:r>
      <w:r>
        <w:rPr>
          <w:rFonts w:hint="eastAsia"/>
          <w:szCs w:val="40"/>
        </w:rPr>
        <w:t>度，“</w:t>
      </w:r>
      <w:r>
        <w:rPr>
          <w:rFonts w:hint="eastAsia" w:ascii="仿宋_GB2312"/>
        </w:rPr>
        <w:t>信息系统维护”</w:t>
      </w:r>
      <w:r>
        <w:rPr>
          <w:rFonts w:hint="eastAsia"/>
          <w:szCs w:val="40"/>
        </w:rPr>
        <w:t>项目能够严格按照区财政局国库支付中心关于预算编制的规范和要求及项目实际编制，预算内容与项目内容基本相匹配，预算确定的资金量与工作计划基本相匹配，预算额度能够结合以前年度项目投入资金量、市场参考价、外部政策要求等进行综合测算，预算编制科学合理。</w:t>
      </w:r>
    </w:p>
    <w:p>
      <w:pPr>
        <w:ind w:firstLine="643"/>
        <w:rPr>
          <w:szCs w:val="40"/>
        </w:rPr>
      </w:pPr>
      <w:bookmarkStart w:id="28" w:name="_Hlk82768577"/>
      <w:r>
        <w:rPr>
          <w:rFonts w:hint="eastAsia"/>
          <w:b/>
          <w:bCs/>
        </w:rPr>
        <w:t>二是资金分配合理性。</w:t>
      </w:r>
      <w:bookmarkEnd w:id="28"/>
      <w:r>
        <w:rPr>
          <w:rFonts w:hint="eastAsia"/>
          <w:szCs w:val="40"/>
        </w:rPr>
        <w:t>中心年度预算资金分配主要按照区财政局有关方针政策和工作要求，结合项目资金测算及工作安排，项目资金分配额度合理，项目年中执行不存在资金频繁调剂情况，项目支出进度良好、完成效率较高。</w:t>
      </w:r>
    </w:p>
    <w:p>
      <w:pPr>
        <w:pStyle w:val="2"/>
        <w:ind w:firstLine="643"/>
        <w:rPr>
          <w:rFonts w:eastAsia="楷体_GB2312"/>
          <w:b/>
          <w:szCs w:val="40"/>
        </w:rPr>
      </w:pPr>
      <w:bookmarkStart w:id="29" w:name="_Toc111637885"/>
      <w:r>
        <w:rPr>
          <w:rFonts w:hint="eastAsia" w:eastAsia="楷体_GB2312"/>
          <w:b/>
          <w:szCs w:val="40"/>
        </w:rPr>
        <w:t>（二）项目过程</w:t>
      </w:r>
      <w:bookmarkEnd w:id="29"/>
    </w:p>
    <w:p>
      <w:pPr>
        <w:ind w:firstLine="640"/>
        <w:rPr>
          <w:rFonts w:ascii="仿宋_GB2312"/>
          <w:szCs w:val="40"/>
        </w:rPr>
      </w:pPr>
      <w:r>
        <w:rPr>
          <w:rFonts w:hint="eastAsia" w:ascii="仿宋_GB2312"/>
          <w:szCs w:val="40"/>
        </w:rPr>
        <w:t>该指标主要考核项目资金管理及项目组织实施情况。该指标满分</w:t>
      </w:r>
      <w:r>
        <w:rPr>
          <w:rFonts w:ascii="仿宋_GB2312"/>
          <w:szCs w:val="40"/>
        </w:rPr>
        <w:t>20分，得分19.48分，得分率97.40%。</w:t>
      </w:r>
    </w:p>
    <w:p>
      <w:pPr>
        <w:pStyle w:val="4"/>
        <w:ind w:firstLine="643"/>
        <w:rPr>
          <w:rFonts w:ascii="仿宋_GB2312"/>
        </w:rPr>
      </w:pPr>
      <w:bookmarkStart w:id="30" w:name="_Toc111637886"/>
      <w:r>
        <w:rPr>
          <w:rFonts w:ascii="仿宋_GB2312"/>
        </w:rPr>
        <w:t>1.</w:t>
      </w:r>
      <w:r>
        <w:rPr>
          <w:rFonts w:hint="eastAsia" w:ascii="仿宋_GB2312"/>
        </w:rPr>
        <w:t>资金管理情况（满分</w:t>
      </w:r>
      <w:r>
        <w:rPr>
          <w:rFonts w:ascii="仿宋_GB2312"/>
        </w:rPr>
        <w:t>12</w:t>
      </w:r>
      <w:r>
        <w:rPr>
          <w:rFonts w:hint="eastAsia" w:ascii="仿宋_GB2312"/>
        </w:rPr>
        <w:t>分，得分</w:t>
      </w:r>
      <w:r>
        <w:rPr>
          <w:rFonts w:ascii="仿宋_GB2312"/>
        </w:rPr>
        <w:t>11.98</w:t>
      </w:r>
      <w:r>
        <w:rPr>
          <w:rFonts w:hint="eastAsia" w:ascii="仿宋_GB2312"/>
        </w:rPr>
        <w:t>分）</w:t>
      </w:r>
      <w:bookmarkEnd w:id="30"/>
    </w:p>
    <w:p>
      <w:pPr>
        <w:ind w:firstLine="643"/>
        <w:rPr>
          <w:rFonts w:ascii="仿宋_GB2312"/>
        </w:rPr>
      </w:pPr>
      <w:r>
        <w:rPr>
          <w:rFonts w:hint="eastAsia"/>
          <w:b/>
          <w:bCs/>
        </w:rPr>
        <w:t>一是资金到位率</w:t>
      </w:r>
      <w:r>
        <w:rPr>
          <w:rFonts w:hint="eastAsia" w:ascii="仿宋_GB2312"/>
        </w:rPr>
        <w:t>。20</w:t>
      </w:r>
      <w:r>
        <w:rPr>
          <w:rFonts w:ascii="仿宋_GB2312"/>
        </w:rPr>
        <w:t>2</w:t>
      </w:r>
      <w:r>
        <w:rPr>
          <w:rFonts w:hint="eastAsia" w:ascii="仿宋_GB2312"/>
        </w:rPr>
        <w:t>1年度，“信息系统维护”项目全年预算数为43.</w:t>
      </w:r>
      <w:r>
        <w:rPr>
          <w:rFonts w:ascii="仿宋_GB2312"/>
        </w:rPr>
        <w:t>90</w:t>
      </w:r>
      <w:r>
        <w:rPr>
          <w:rFonts w:hint="eastAsia" w:ascii="仿宋_GB2312"/>
        </w:rPr>
        <w:t>万元，实际到位资金43.</w:t>
      </w:r>
      <w:r>
        <w:rPr>
          <w:rFonts w:ascii="仿宋_GB2312"/>
        </w:rPr>
        <w:t>90</w:t>
      </w:r>
      <w:r>
        <w:rPr>
          <w:rFonts w:hint="eastAsia" w:ascii="仿宋_GB2312"/>
        </w:rPr>
        <w:t>万元。</w:t>
      </w:r>
      <w:r>
        <w:rPr>
          <w:rFonts w:hint="eastAsia" w:ascii="仿宋_GB2312" w:hAnsi="仿宋_GB2312"/>
        </w:rPr>
        <w:t>中心遵循专款专用的财务工作原则，将资金全部落实到项目中，资金到位率为1</w:t>
      </w:r>
      <w:r>
        <w:rPr>
          <w:rFonts w:ascii="仿宋_GB2312" w:hAnsi="仿宋_GB2312"/>
        </w:rPr>
        <w:t>00%</w:t>
      </w:r>
      <w:r>
        <w:rPr>
          <w:rFonts w:hint="eastAsia" w:ascii="仿宋_GB2312" w:hAnsi="仿宋_GB2312"/>
        </w:rPr>
        <w:t>，资金到位及时充足，对项目实施的总体保障程度较高。</w:t>
      </w:r>
    </w:p>
    <w:p>
      <w:pPr>
        <w:ind w:firstLine="643"/>
        <w:rPr>
          <w:rFonts w:ascii="仿宋_GB2312"/>
        </w:rPr>
      </w:pPr>
      <w:r>
        <w:rPr>
          <w:rFonts w:hint="eastAsia"/>
          <w:b/>
          <w:bCs/>
        </w:rPr>
        <w:t>二是预算执行率。</w:t>
      </w:r>
      <w:r>
        <w:rPr>
          <w:rFonts w:hint="eastAsia" w:ascii="仿宋_GB2312"/>
        </w:rPr>
        <w:t>20</w:t>
      </w:r>
      <w:r>
        <w:rPr>
          <w:rFonts w:ascii="仿宋_GB2312"/>
        </w:rPr>
        <w:t>2</w:t>
      </w:r>
      <w:r>
        <w:rPr>
          <w:rFonts w:hint="eastAsia" w:ascii="仿宋_GB2312"/>
        </w:rPr>
        <w:t>1年度，“信息系统维护”项目实际支出为43.68万元，预算执行率</w:t>
      </w:r>
      <w:r>
        <w:rPr>
          <w:rFonts w:ascii="仿宋_GB2312"/>
        </w:rPr>
        <w:t>99.50%</w:t>
      </w:r>
      <w:r>
        <w:rPr>
          <w:rFonts w:hint="eastAsia" w:ascii="仿宋_GB2312"/>
        </w:rPr>
        <w:t>，预算执行情况较好。</w:t>
      </w:r>
    </w:p>
    <w:p>
      <w:pPr>
        <w:ind w:firstLine="643"/>
        <w:rPr>
          <w:rFonts w:ascii="仿宋_GB2312"/>
        </w:rPr>
      </w:pPr>
      <w:r>
        <w:rPr>
          <w:rFonts w:hint="eastAsia"/>
          <w:b/>
          <w:bCs/>
        </w:rPr>
        <w:t>三是</w:t>
      </w:r>
      <w:bookmarkStart w:id="31" w:name="_Hlk82786092"/>
      <w:r>
        <w:rPr>
          <w:rFonts w:hint="eastAsia"/>
          <w:b/>
          <w:bCs/>
        </w:rPr>
        <w:t>资金使用合规性</w:t>
      </w:r>
      <w:bookmarkEnd w:id="31"/>
      <w:r>
        <w:rPr>
          <w:rFonts w:hint="eastAsia"/>
          <w:b/>
          <w:bCs/>
        </w:rPr>
        <w:t>。</w:t>
      </w:r>
      <w:r>
        <w:rPr>
          <w:rFonts w:hint="eastAsia" w:ascii="仿宋_GB2312"/>
        </w:rPr>
        <w:t>项目资金管理符合《深圳市福田区国库支付中心工作制度汇编》中的财务管理规定，项目严格按照中心年度部门预算批复执行，资金使用合理、规范、透明，无超范围、超标准支出，不存在截留、挤占、挪用项目资金情况。</w:t>
      </w:r>
    </w:p>
    <w:p>
      <w:pPr>
        <w:pStyle w:val="4"/>
        <w:ind w:firstLine="643"/>
        <w:rPr>
          <w:rFonts w:ascii="仿宋_GB2312"/>
        </w:rPr>
      </w:pPr>
      <w:bookmarkStart w:id="32" w:name="_Toc111637887"/>
      <w:r>
        <w:rPr>
          <w:rFonts w:hint="eastAsia" w:ascii="仿宋_GB2312"/>
        </w:rPr>
        <w:t>2</w:t>
      </w:r>
      <w:r>
        <w:rPr>
          <w:rFonts w:ascii="仿宋_GB2312"/>
        </w:rPr>
        <w:t>.</w:t>
      </w:r>
      <w:r>
        <w:rPr>
          <w:rFonts w:hint="eastAsia" w:ascii="仿宋_GB2312"/>
        </w:rPr>
        <w:t>组织实施情况（满分</w:t>
      </w:r>
      <w:r>
        <w:rPr>
          <w:rFonts w:ascii="仿宋_GB2312"/>
        </w:rPr>
        <w:t>8</w:t>
      </w:r>
      <w:r>
        <w:rPr>
          <w:rFonts w:hint="eastAsia" w:ascii="仿宋_GB2312"/>
        </w:rPr>
        <w:t>分，得分</w:t>
      </w:r>
      <w:r>
        <w:rPr>
          <w:rFonts w:ascii="仿宋_GB2312"/>
        </w:rPr>
        <w:t>7.5</w:t>
      </w:r>
      <w:r>
        <w:rPr>
          <w:rFonts w:hint="eastAsia" w:ascii="仿宋_GB2312"/>
        </w:rPr>
        <w:t>分）</w:t>
      </w:r>
      <w:bookmarkEnd w:id="32"/>
    </w:p>
    <w:p>
      <w:pPr>
        <w:ind w:firstLine="643"/>
        <w:rPr>
          <w:rFonts w:ascii="仿宋_GB2312" w:hAnsi="仿宋_GB2312"/>
          <w:b/>
          <w:bCs/>
        </w:rPr>
      </w:pPr>
      <w:r>
        <w:rPr>
          <w:rFonts w:hint="eastAsia" w:ascii="仿宋_GB2312" w:hAnsi="仿宋_GB2312"/>
          <w:b/>
          <w:bCs/>
        </w:rPr>
        <w:t>一是管理制度健全性。</w:t>
      </w:r>
      <w:r>
        <w:rPr>
          <w:rFonts w:hint="eastAsia" w:ascii="仿宋_GB2312" w:hAnsi="仿宋_GB2312"/>
        </w:rPr>
        <w:t>项目主要按照</w:t>
      </w:r>
      <w:r>
        <w:rPr>
          <w:rFonts w:hint="eastAsia" w:ascii="仿宋_GB2312"/>
        </w:rPr>
        <w:t>《深圳市福田区国库支付中心工作制度汇编》的财务管理制度</w:t>
      </w:r>
      <w:r>
        <w:rPr>
          <w:rFonts w:hint="eastAsia" w:ascii="仿宋_GB2312" w:hAnsi="仿宋_GB2312"/>
        </w:rPr>
        <w:t>执行，制度中明确了项目资金支付、项目绩效管理等规定，管理制度健全，保障了项目的高效、合规实施。</w:t>
      </w:r>
    </w:p>
    <w:p>
      <w:pPr>
        <w:ind w:firstLine="643"/>
        <w:rPr>
          <w:rFonts w:ascii="仿宋_GB2312" w:hAnsi="仿宋_GB2312"/>
          <w:b/>
          <w:bCs/>
        </w:rPr>
      </w:pPr>
      <w:r>
        <w:rPr>
          <w:rFonts w:hint="eastAsia" w:ascii="仿宋_GB2312" w:hAnsi="仿宋_GB2312"/>
          <w:b/>
          <w:bCs/>
        </w:rPr>
        <w:t>二是制度执行有效性。</w:t>
      </w:r>
      <w:r>
        <w:rPr>
          <w:rFonts w:hint="eastAsia" w:ascii="仿宋_GB2312" w:hAnsi="仿宋_GB2312"/>
        </w:rPr>
        <w:t>项目依据《</w:t>
      </w:r>
      <w:r>
        <w:rPr>
          <w:rFonts w:hint="eastAsia" w:ascii="仿宋_GB2312"/>
        </w:rPr>
        <w:t>深圳市福田区国库支付中心工作制度汇编》的财务管理制度</w:t>
      </w:r>
      <w:r>
        <w:rPr>
          <w:rFonts w:hint="eastAsia" w:ascii="仿宋_GB2312" w:hAnsi="仿宋_GB2312"/>
        </w:rPr>
        <w:t>执行，在工作小组实地查阅单位项目实施的合规情况时发现，该项目实施的人员条件、场地设备、信息支撑等落实到位，</w:t>
      </w:r>
      <w:r>
        <w:rPr>
          <w:rFonts w:hint="eastAsia" w:ascii="仿宋_GB2312"/>
        </w:rPr>
        <w:t>依据评分标准，此项指标满分4分，得分</w:t>
      </w:r>
      <w:r>
        <w:rPr>
          <w:rFonts w:ascii="仿宋_GB2312"/>
        </w:rPr>
        <w:t>4</w:t>
      </w:r>
      <w:r>
        <w:rPr>
          <w:rFonts w:hint="eastAsia" w:ascii="仿宋_GB2312"/>
        </w:rPr>
        <w:t>分。</w:t>
      </w:r>
    </w:p>
    <w:p>
      <w:pPr>
        <w:ind w:firstLine="643"/>
        <w:rPr>
          <w:rFonts w:ascii="仿宋_GB2312" w:hAnsi="仿宋_GB2312"/>
          <w:b/>
          <w:bCs/>
        </w:rPr>
      </w:pPr>
      <w:r>
        <w:rPr>
          <w:rFonts w:hint="eastAsia" w:ascii="仿宋_GB2312" w:hAnsi="仿宋_GB2312"/>
          <w:b/>
          <w:bCs/>
        </w:rPr>
        <w:t>三是档案管理规范性。</w:t>
      </w:r>
      <w:r>
        <w:rPr>
          <w:rFonts w:hint="eastAsia" w:ascii="仿宋_GB2312" w:hAnsi="仿宋_GB2312"/>
        </w:rPr>
        <w:t>项目实施过程中，档案存档存在不规范的问题，一是</w:t>
      </w:r>
      <w:r>
        <w:rPr>
          <w:rFonts w:hint="eastAsia" w:ascii="仿宋_GB2312"/>
        </w:rPr>
        <w:t>项目采购档案仅有采购申请文件、合同、验收文件等采购过程文件，未对项目实施的部分过程资料进行完整归档，如缺少培训资料；二是项目责任部门存档资料中，验收单信息填写不完整，与会计凭证同类资料信息不一致。</w:t>
      </w:r>
    </w:p>
    <w:p>
      <w:pPr>
        <w:pStyle w:val="2"/>
        <w:ind w:firstLine="643"/>
        <w:rPr>
          <w:rFonts w:eastAsia="楷体_GB2312"/>
          <w:b/>
          <w:szCs w:val="40"/>
        </w:rPr>
      </w:pPr>
      <w:bookmarkStart w:id="33" w:name="_Toc111637888"/>
      <w:r>
        <w:rPr>
          <w:rFonts w:hint="eastAsia" w:eastAsia="楷体_GB2312"/>
          <w:b/>
          <w:szCs w:val="40"/>
        </w:rPr>
        <w:t>（三）项目产出情况</w:t>
      </w:r>
      <w:bookmarkEnd w:id="33"/>
    </w:p>
    <w:p>
      <w:pPr>
        <w:ind w:firstLine="640"/>
        <w:rPr>
          <w:rFonts w:ascii="仿宋_GB2312"/>
          <w:color w:val="000000" w:themeColor="text1"/>
          <w:szCs w:val="40"/>
          <w14:textFill>
            <w14:solidFill>
              <w14:schemeClr w14:val="tx1"/>
            </w14:solidFill>
          </w14:textFill>
        </w:rPr>
      </w:pPr>
      <w:r>
        <w:rPr>
          <w:rFonts w:hint="eastAsia" w:ascii="仿宋_GB2312"/>
          <w:szCs w:val="40"/>
        </w:rPr>
        <w:t>该指标主要考核项目产出数量、质量、时效及成本等情况。该指标满分</w:t>
      </w:r>
      <w:r>
        <w:rPr>
          <w:rFonts w:ascii="仿宋_GB2312"/>
          <w:szCs w:val="40"/>
        </w:rPr>
        <w:t>36分，得分33.96分，得分率94.33%。</w:t>
      </w:r>
    </w:p>
    <w:p>
      <w:pPr>
        <w:pStyle w:val="4"/>
        <w:ind w:firstLine="643"/>
        <w:rPr>
          <w:rFonts w:ascii="仿宋_GB2312"/>
        </w:rPr>
      </w:pPr>
      <w:bookmarkStart w:id="34" w:name="_Toc111637889"/>
      <w:r>
        <w:rPr>
          <w:rFonts w:ascii="仿宋_GB2312"/>
        </w:rPr>
        <w:t>1.</w:t>
      </w:r>
      <w:r>
        <w:rPr>
          <w:rFonts w:hint="eastAsia" w:ascii="仿宋_GB2312"/>
        </w:rPr>
        <w:t>产出数量（满分1</w:t>
      </w:r>
      <w:r>
        <w:rPr>
          <w:rFonts w:ascii="仿宋_GB2312"/>
        </w:rPr>
        <w:t>2</w:t>
      </w:r>
      <w:r>
        <w:rPr>
          <w:rFonts w:hint="eastAsia" w:ascii="仿宋_GB2312"/>
        </w:rPr>
        <w:t>分，得分</w:t>
      </w:r>
      <w:r>
        <w:rPr>
          <w:rFonts w:ascii="仿宋_GB2312"/>
        </w:rPr>
        <w:t>12</w:t>
      </w:r>
      <w:r>
        <w:rPr>
          <w:rFonts w:hint="eastAsia" w:ascii="仿宋_GB2312"/>
        </w:rPr>
        <w:t>分）</w:t>
      </w:r>
      <w:bookmarkEnd w:id="34"/>
    </w:p>
    <w:p>
      <w:pPr>
        <w:ind w:firstLine="643"/>
        <w:rPr>
          <w:rFonts w:ascii="仿宋_GB2312"/>
          <w:b/>
          <w:bCs/>
        </w:rPr>
      </w:pPr>
      <w:r>
        <w:rPr>
          <w:rFonts w:hint="eastAsia" w:ascii="仿宋_GB2312"/>
          <w:b/>
          <w:bCs/>
        </w:rPr>
        <w:t>（1）系统维护数量（满分4分，得分4分）</w:t>
      </w:r>
    </w:p>
    <w:p>
      <w:pPr>
        <w:ind w:firstLine="640"/>
        <w:rPr>
          <w:rFonts w:ascii="仿宋_GB2312"/>
        </w:rPr>
      </w:pPr>
      <w:r>
        <w:rPr>
          <w:rFonts w:hint="eastAsia" w:ascii="仿宋_GB2312"/>
        </w:rPr>
        <w:t>2</w:t>
      </w:r>
      <w:r>
        <w:rPr>
          <w:rFonts w:ascii="仿宋_GB2312"/>
        </w:rPr>
        <w:t>021</w:t>
      </w:r>
      <w:r>
        <w:rPr>
          <w:rFonts w:hint="eastAsia" w:ascii="仿宋_GB2312"/>
        </w:rPr>
        <w:t>年，通过实施“信息系统维护”项目，完成了对中心财务电算化系统V</w:t>
      </w:r>
      <w:r>
        <w:rPr>
          <w:rFonts w:ascii="仿宋_GB2312"/>
        </w:rPr>
        <w:t>1.0</w:t>
      </w:r>
      <w:r>
        <w:rPr>
          <w:rFonts w:hint="eastAsia" w:ascii="仿宋_GB2312"/>
        </w:rPr>
        <w:t>和财务电算化系统V</w:t>
      </w:r>
      <w:r>
        <w:rPr>
          <w:rFonts w:ascii="仿宋_GB2312"/>
        </w:rPr>
        <w:t>2.0</w:t>
      </w:r>
      <w:r>
        <w:rPr>
          <w:rFonts w:hint="eastAsia" w:ascii="仿宋_GB2312"/>
        </w:rPr>
        <w:t>的运行维护工作，达成项目目标。</w:t>
      </w:r>
    </w:p>
    <w:p>
      <w:pPr>
        <w:ind w:firstLine="643"/>
        <w:rPr>
          <w:rFonts w:ascii="仿宋_GB2312"/>
          <w:b/>
          <w:bCs/>
        </w:rPr>
      </w:pPr>
      <w:r>
        <w:rPr>
          <w:rFonts w:hint="eastAsia" w:ascii="仿宋_GB2312"/>
          <w:b/>
          <w:bCs/>
        </w:rPr>
        <w:t>（2）系统升级新增功能数（满分</w:t>
      </w:r>
      <w:r>
        <w:rPr>
          <w:rFonts w:ascii="仿宋_GB2312"/>
          <w:b/>
          <w:bCs/>
        </w:rPr>
        <w:t>6</w:t>
      </w:r>
      <w:r>
        <w:rPr>
          <w:rFonts w:hint="eastAsia" w:ascii="仿宋_GB2312"/>
          <w:b/>
          <w:bCs/>
        </w:rPr>
        <w:t>分，得分6分）</w:t>
      </w:r>
    </w:p>
    <w:p>
      <w:pPr>
        <w:ind w:firstLine="640"/>
        <w:rPr>
          <w:rFonts w:ascii="仿宋_GB2312"/>
        </w:rPr>
      </w:pPr>
      <w:r>
        <w:rPr>
          <w:rFonts w:hint="eastAsia" w:ascii="仿宋_GB2312"/>
        </w:rPr>
        <w:t>中心稽核部收集并汇总了福田区各集中核算单位在2</w:t>
      </w:r>
      <w:r>
        <w:rPr>
          <w:rFonts w:ascii="仿宋_GB2312"/>
        </w:rPr>
        <w:t>021</w:t>
      </w:r>
      <w:r>
        <w:rPr>
          <w:rFonts w:hint="eastAsia" w:ascii="仿宋_GB2312"/>
        </w:rPr>
        <w:t>年使用财务电算化系统中发现的问题。根据全面性、普遍性的原则，针对该财务电算化系统进行了以下功能新增工作</w:t>
      </w:r>
      <w:r>
        <w:rPr>
          <w:rFonts w:hint="eastAsia" w:ascii="仿宋_GB2312"/>
          <w:b/>
          <w:bCs/>
        </w:rPr>
        <w:t>：一是</w:t>
      </w:r>
      <w:r>
        <w:rPr>
          <w:rFonts w:hint="eastAsia" w:ascii="仿宋_GB2312"/>
        </w:rPr>
        <w:t>新增区内资产无偿调拨提醒功能。新增了入账提醒功能，在区内拨出单位将资产进行调拨账务处理业务后，拨入单位账套界面自动显示入账提醒消息，并可根据资产调拨信息进行自动账务处理，拨入单位账套界面后，拨出单位账套界面自动显示入账提醒信息；</w:t>
      </w:r>
      <w:r>
        <w:rPr>
          <w:rFonts w:hint="eastAsia" w:ascii="仿宋_GB2312"/>
          <w:b/>
          <w:bCs/>
        </w:rPr>
        <w:t>二是</w:t>
      </w:r>
      <w:r>
        <w:rPr>
          <w:rFonts w:hint="eastAsia" w:ascii="仿宋_GB2312"/>
        </w:rPr>
        <w:t>新增报表批量生成功能。新增报表批量生成功能，满足核酸人员跨账套生成多张报表的需求；</w:t>
      </w:r>
      <w:r>
        <w:rPr>
          <w:rFonts w:hint="eastAsia" w:ascii="仿宋_GB2312"/>
          <w:b/>
          <w:bCs/>
        </w:rPr>
        <w:t>三是</w:t>
      </w:r>
      <w:r>
        <w:rPr>
          <w:rFonts w:hint="eastAsia" w:ascii="仿宋_GB2312"/>
        </w:rPr>
        <w:t>新增凭证审核退单统计关联记账凭证查询功能。新增凭证审核退单统计关联记账凭证查询功能，在凭证审核退单统计界面可联查相对应的记账凭证，极大地减少了核算人员的工作量，提高了中心的公共服务效率。</w:t>
      </w:r>
    </w:p>
    <w:p>
      <w:pPr>
        <w:ind w:firstLine="643"/>
        <w:rPr>
          <w:rFonts w:ascii="仿宋_GB2312"/>
          <w:b/>
          <w:bCs/>
        </w:rPr>
      </w:pPr>
      <w:r>
        <w:rPr>
          <w:rFonts w:hint="eastAsia" w:ascii="仿宋_GB2312"/>
          <w:b/>
          <w:bCs/>
        </w:rPr>
        <w:t>（3）系统培训种类数（总分2分，得分2分）</w:t>
      </w:r>
    </w:p>
    <w:p>
      <w:pPr>
        <w:ind w:firstLine="640"/>
        <w:rPr>
          <w:rFonts w:ascii="仿宋_GB2312"/>
        </w:rPr>
      </w:pPr>
      <w:r>
        <w:rPr>
          <w:rFonts w:hint="eastAsia" w:ascii="仿宋_GB2312"/>
        </w:rPr>
        <w:t>2</w:t>
      </w:r>
      <w:r>
        <w:rPr>
          <w:rFonts w:ascii="仿宋_GB2312"/>
        </w:rPr>
        <w:t>021</w:t>
      </w:r>
      <w:r>
        <w:rPr>
          <w:rFonts w:hint="eastAsia" w:ascii="仿宋_GB2312"/>
        </w:rPr>
        <w:t>年，中心共组织了2场系统培训。一是面向区内各集中核算单位经办人员，组织开展了基于系统功能及应用操作的培训；二是面向系统管理员，组织开展了关于系统安装、维护与系统管理的培训。</w:t>
      </w:r>
    </w:p>
    <w:p>
      <w:pPr>
        <w:pStyle w:val="4"/>
        <w:ind w:firstLine="643"/>
        <w:rPr>
          <w:rFonts w:ascii="仿宋_GB2312"/>
        </w:rPr>
      </w:pPr>
      <w:bookmarkStart w:id="35" w:name="_Toc111637890"/>
      <w:r>
        <w:rPr>
          <w:rFonts w:hint="eastAsia" w:ascii="仿宋_GB2312"/>
        </w:rPr>
        <w:t>2</w:t>
      </w:r>
      <w:r>
        <w:rPr>
          <w:rFonts w:ascii="仿宋_GB2312"/>
        </w:rPr>
        <w:t>.</w:t>
      </w:r>
      <w:r>
        <w:rPr>
          <w:rFonts w:hint="eastAsia" w:ascii="仿宋_GB2312"/>
        </w:rPr>
        <w:t>产出质量（满分</w:t>
      </w:r>
      <w:r>
        <w:rPr>
          <w:rFonts w:ascii="仿宋_GB2312"/>
        </w:rPr>
        <w:t>12</w:t>
      </w:r>
      <w:r>
        <w:rPr>
          <w:rFonts w:hint="eastAsia" w:ascii="仿宋_GB2312"/>
        </w:rPr>
        <w:t>分，得分</w:t>
      </w:r>
      <w:r>
        <w:rPr>
          <w:rFonts w:ascii="仿宋_GB2312"/>
        </w:rPr>
        <w:t>11.15</w:t>
      </w:r>
      <w:r>
        <w:rPr>
          <w:rFonts w:hint="eastAsia" w:ascii="仿宋_GB2312"/>
        </w:rPr>
        <w:t>分）</w:t>
      </w:r>
      <w:bookmarkEnd w:id="35"/>
    </w:p>
    <w:p>
      <w:pPr>
        <w:ind w:firstLine="643"/>
        <w:rPr>
          <w:rFonts w:ascii="仿宋_GB2312"/>
          <w:b/>
          <w:bCs/>
        </w:rPr>
      </w:pPr>
      <w:r>
        <w:rPr>
          <w:rFonts w:hint="eastAsia" w:ascii="仿宋_GB2312"/>
          <w:b/>
          <w:bCs/>
        </w:rPr>
        <w:t>（1）项目验收合格率（满分</w:t>
      </w:r>
      <w:r>
        <w:rPr>
          <w:rFonts w:ascii="仿宋_GB2312"/>
          <w:b/>
          <w:bCs/>
        </w:rPr>
        <w:t>4</w:t>
      </w:r>
      <w:r>
        <w:rPr>
          <w:rFonts w:hint="eastAsia" w:ascii="仿宋_GB2312"/>
          <w:b/>
          <w:bCs/>
        </w:rPr>
        <w:t>分，得分</w:t>
      </w:r>
      <w:r>
        <w:rPr>
          <w:rFonts w:ascii="仿宋_GB2312"/>
          <w:b/>
          <w:bCs/>
        </w:rPr>
        <w:t>4</w:t>
      </w:r>
      <w:r>
        <w:rPr>
          <w:rFonts w:hint="eastAsia" w:ascii="仿宋_GB2312"/>
          <w:b/>
          <w:bCs/>
        </w:rPr>
        <w:t>分）</w:t>
      </w:r>
    </w:p>
    <w:p>
      <w:pPr>
        <w:ind w:firstLine="640"/>
        <w:rPr>
          <w:rFonts w:ascii="仿宋_GB2312"/>
        </w:rPr>
      </w:pPr>
      <w:r>
        <w:rPr>
          <w:rFonts w:hint="eastAsia" w:ascii="仿宋_GB2312"/>
        </w:rPr>
        <w:t>2</w:t>
      </w:r>
      <w:r>
        <w:rPr>
          <w:rFonts w:ascii="仿宋_GB2312"/>
        </w:rPr>
        <w:t>021</w:t>
      </w:r>
      <w:r>
        <w:rPr>
          <w:rFonts w:hint="eastAsia" w:ascii="仿宋_GB2312"/>
        </w:rPr>
        <w:t>年度“信息系统维护”项目涵盖两个子项目，分别是“财务电算化系统运维服务项目”与“财务服务平台系统改造技术服务项目”。该两个项目均在约定时间内完工，且均符合验收标准。</w:t>
      </w:r>
    </w:p>
    <w:p>
      <w:pPr>
        <w:ind w:firstLine="643"/>
        <w:rPr>
          <w:rFonts w:ascii="仿宋_GB2312"/>
          <w:b/>
          <w:bCs/>
        </w:rPr>
      </w:pPr>
      <w:r>
        <w:rPr>
          <w:rFonts w:hint="eastAsia" w:ascii="仿宋_GB2312"/>
          <w:b/>
          <w:bCs/>
        </w:rPr>
        <w:t>（2）系统培训参与率（满分</w:t>
      </w:r>
      <w:r>
        <w:rPr>
          <w:rFonts w:ascii="仿宋_GB2312"/>
          <w:b/>
          <w:bCs/>
        </w:rPr>
        <w:t>2</w:t>
      </w:r>
      <w:r>
        <w:rPr>
          <w:rFonts w:hint="eastAsia" w:ascii="仿宋_GB2312"/>
          <w:b/>
          <w:bCs/>
        </w:rPr>
        <w:t>分，得分</w:t>
      </w:r>
      <w:r>
        <w:rPr>
          <w:rFonts w:ascii="仿宋_GB2312"/>
          <w:b/>
          <w:bCs/>
        </w:rPr>
        <w:t>1.15</w:t>
      </w:r>
      <w:r>
        <w:rPr>
          <w:rFonts w:hint="eastAsia" w:ascii="仿宋_GB2312"/>
          <w:b/>
          <w:bCs/>
        </w:rPr>
        <w:t>分）</w:t>
      </w:r>
    </w:p>
    <w:p>
      <w:pPr>
        <w:ind w:firstLine="640"/>
        <w:rPr>
          <w:rFonts w:ascii="仿宋_GB2312"/>
        </w:rPr>
      </w:pPr>
      <w:r>
        <w:rPr>
          <w:rFonts w:hint="eastAsia" w:ascii="仿宋_GB2312"/>
        </w:rPr>
        <w:t>调查问卷结果显示，2</w:t>
      </w:r>
      <w:r>
        <w:rPr>
          <w:rFonts w:ascii="仿宋_GB2312"/>
        </w:rPr>
        <w:t>021</w:t>
      </w:r>
      <w:r>
        <w:rPr>
          <w:rFonts w:hint="eastAsia" w:ascii="仿宋_GB2312"/>
        </w:rPr>
        <w:t>年，中心及全区各集中核算单位工作人员培训参与率仅为5</w:t>
      </w:r>
      <w:r>
        <w:rPr>
          <w:rFonts w:ascii="仿宋_GB2312"/>
        </w:rPr>
        <w:t>7.32</w:t>
      </w:r>
      <w:r>
        <w:rPr>
          <w:rFonts w:hint="eastAsia" w:ascii="仿宋_GB2312"/>
        </w:rPr>
        <w:t>%，培训参与力度有待加强。</w:t>
      </w:r>
    </w:p>
    <w:p>
      <w:pPr>
        <w:ind w:firstLine="643"/>
        <w:rPr>
          <w:rFonts w:ascii="仿宋_GB2312"/>
          <w:b/>
          <w:bCs/>
        </w:rPr>
      </w:pPr>
      <w:r>
        <w:rPr>
          <w:rFonts w:hint="eastAsia" w:ascii="仿宋_GB2312"/>
          <w:b/>
          <w:bCs/>
        </w:rPr>
        <w:t>（3）故障排除率（满分</w:t>
      </w:r>
      <w:r>
        <w:rPr>
          <w:rFonts w:ascii="仿宋_GB2312"/>
          <w:b/>
          <w:bCs/>
        </w:rPr>
        <w:t>6</w:t>
      </w:r>
      <w:r>
        <w:rPr>
          <w:rFonts w:hint="eastAsia" w:ascii="仿宋_GB2312"/>
          <w:b/>
          <w:bCs/>
        </w:rPr>
        <w:t>分，得分</w:t>
      </w:r>
      <w:r>
        <w:rPr>
          <w:rFonts w:ascii="仿宋_GB2312"/>
          <w:b/>
          <w:bCs/>
        </w:rPr>
        <w:t>6</w:t>
      </w:r>
      <w:r>
        <w:rPr>
          <w:rFonts w:hint="eastAsia" w:ascii="仿宋_GB2312"/>
          <w:b/>
          <w:bCs/>
        </w:rPr>
        <w:t>分）</w:t>
      </w:r>
    </w:p>
    <w:p>
      <w:pPr>
        <w:ind w:firstLine="643"/>
        <w:rPr>
          <w:rFonts w:ascii="仿宋_GB2312"/>
        </w:rPr>
      </w:pPr>
      <w:r>
        <w:rPr>
          <w:rFonts w:hint="eastAsia" w:ascii="仿宋_GB2312"/>
          <w:b/>
          <w:bCs/>
        </w:rPr>
        <w:t>一是</w:t>
      </w:r>
      <w:r>
        <w:rPr>
          <w:rFonts w:hint="eastAsia" w:ascii="仿宋_GB2312"/>
        </w:rPr>
        <w:t>财务电算化系统运维过程中的故障排除情况。截至2</w:t>
      </w:r>
      <w:r>
        <w:rPr>
          <w:rFonts w:ascii="仿宋_GB2312"/>
        </w:rPr>
        <w:t>021</w:t>
      </w:r>
      <w:r>
        <w:rPr>
          <w:rFonts w:hint="eastAsia" w:ascii="仿宋_GB2312"/>
        </w:rPr>
        <w:t>年末，中心一共收到来自区各集中核算单位及内部工作人员反馈的问题共3</w:t>
      </w:r>
      <w:r>
        <w:rPr>
          <w:rFonts w:ascii="仿宋_GB2312"/>
        </w:rPr>
        <w:t>1</w:t>
      </w:r>
      <w:r>
        <w:rPr>
          <w:rFonts w:hint="eastAsia" w:ascii="仿宋_GB2312"/>
        </w:rPr>
        <w:t>项。中心稽核部对接人员及时将每项问题反馈给运维工程师，工程师在接到反馈后积极响应，迅速进行故障排查处理，根据现场调研发现，所有反馈的问题均已解决，故障排除率达1</w:t>
      </w:r>
      <w:r>
        <w:rPr>
          <w:rFonts w:ascii="仿宋_GB2312"/>
        </w:rPr>
        <w:t>00</w:t>
      </w:r>
      <w:r>
        <w:rPr>
          <w:rFonts w:hint="eastAsia" w:ascii="仿宋_GB2312"/>
        </w:rPr>
        <w:t>%。</w:t>
      </w:r>
    </w:p>
    <w:p>
      <w:pPr>
        <w:ind w:firstLine="643"/>
        <w:rPr>
          <w:rFonts w:ascii="仿宋_GB2312"/>
        </w:rPr>
      </w:pPr>
      <w:r>
        <w:rPr>
          <w:rFonts w:hint="eastAsia"/>
          <w:b/>
          <w:bCs/>
        </w:rPr>
        <w:t>二是</w:t>
      </w:r>
      <w:r>
        <w:rPr>
          <w:rFonts w:hint="eastAsia" w:ascii="仿宋_GB2312"/>
        </w:rPr>
        <w:t>财务服务平台系统改造过程中的故障排除情况。在对财务服务平台进行系统升级改造的过程中，中心工作人员发现了2</w:t>
      </w:r>
      <w:r>
        <w:rPr>
          <w:rFonts w:ascii="仿宋_GB2312"/>
        </w:rPr>
        <w:t>0</w:t>
      </w:r>
      <w:r>
        <w:rPr>
          <w:rFonts w:hint="eastAsia" w:ascii="仿宋_GB2312"/>
        </w:rPr>
        <w:t>项问题。针对系统升级所产生的问题，系统升级工程师与其技术部门做了相应处理工作。处理结束后，系统工程师会形成问题解决日志，将问题描述与处理方案、处理结果一同存档，并汇报给稽核部对接人员。该2</w:t>
      </w:r>
      <w:r>
        <w:rPr>
          <w:rFonts w:ascii="仿宋_GB2312"/>
        </w:rPr>
        <w:t>0</w:t>
      </w:r>
      <w:r>
        <w:rPr>
          <w:rFonts w:hint="eastAsia" w:ascii="仿宋_GB2312"/>
        </w:rPr>
        <w:t>项问题均已及时解决，故障排除率1</w:t>
      </w:r>
      <w:r>
        <w:rPr>
          <w:rFonts w:ascii="仿宋_GB2312"/>
        </w:rPr>
        <w:t>00</w:t>
      </w:r>
      <w:r>
        <w:rPr>
          <w:rFonts w:hint="eastAsia" w:ascii="仿宋_GB2312"/>
        </w:rPr>
        <w:t>%。</w:t>
      </w:r>
    </w:p>
    <w:p>
      <w:pPr>
        <w:pStyle w:val="4"/>
        <w:ind w:firstLine="643"/>
        <w:rPr>
          <w:rFonts w:ascii="仿宋_GB2312"/>
        </w:rPr>
      </w:pPr>
      <w:bookmarkStart w:id="36" w:name="_Toc111637891"/>
      <w:r>
        <w:rPr>
          <w:rFonts w:hint="eastAsia" w:ascii="仿宋_GB2312"/>
        </w:rPr>
        <w:t>3</w:t>
      </w:r>
      <w:r>
        <w:rPr>
          <w:rFonts w:ascii="仿宋_GB2312"/>
        </w:rPr>
        <w:t>.</w:t>
      </w:r>
      <w:r>
        <w:rPr>
          <w:rFonts w:hint="eastAsia" w:ascii="仿宋_GB2312"/>
        </w:rPr>
        <w:t>产出时效（满分</w:t>
      </w:r>
      <w:r>
        <w:rPr>
          <w:rFonts w:ascii="仿宋_GB2312"/>
        </w:rPr>
        <w:t>5</w:t>
      </w:r>
      <w:r>
        <w:rPr>
          <w:rFonts w:hint="eastAsia" w:ascii="仿宋_GB2312"/>
        </w:rPr>
        <w:t>分，得分</w:t>
      </w:r>
      <w:r>
        <w:rPr>
          <w:rFonts w:ascii="仿宋_GB2312"/>
        </w:rPr>
        <w:t>3.81</w:t>
      </w:r>
      <w:r>
        <w:rPr>
          <w:rFonts w:hint="eastAsia" w:ascii="仿宋_GB2312"/>
        </w:rPr>
        <w:t>分）</w:t>
      </w:r>
      <w:bookmarkEnd w:id="36"/>
    </w:p>
    <w:p>
      <w:pPr>
        <w:ind w:firstLine="643"/>
        <w:rPr>
          <w:rFonts w:ascii="仿宋_GB2312"/>
          <w:b/>
          <w:bCs/>
        </w:rPr>
      </w:pPr>
      <w:r>
        <w:rPr>
          <w:rFonts w:hint="eastAsia" w:ascii="仿宋_GB2312"/>
          <w:b/>
          <w:bCs/>
        </w:rPr>
        <w:t>（1）银行对账数据导入及时率（满分</w:t>
      </w:r>
      <w:r>
        <w:rPr>
          <w:rFonts w:ascii="仿宋_GB2312"/>
          <w:b/>
          <w:bCs/>
        </w:rPr>
        <w:t>2</w:t>
      </w:r>
      <w:r>
        <w:rPr>
          <w:rFonts w:hint="eastAsia" w:ascii="仿宋_GB2312"/>
          <w:b/>
          <w:bCs/>
        </w:rPr>
        <w:t>分，得分</w:t>
      </w:r>
      <w:r>
        <w:rPr>
          <w:rFonts w:ascii="仿宋_GB2312"/>
          <w:b/>
          <w:bCs/>
        </w:rPr>
        <w:t>1.51</w:t>
      </w:r>
      <w:r>
        <w:rPr>
          <w:rFonts w:hint="eastAsia" w:ascii="仿宋_GB2312"/>
          <w:b/>
          <w:bCs/>
        </w:rPr>
        <w:t>分）</w:t>
      </w:r>
    </w:p>
    <w:p>
      <w:pPr>
        <w:ind w:firstLine="640"/>
        <w:rPr>
          <w:rFonts w:ascii="仿宋_GB2312"/>
        </w:rPr>
      </w:pPr>
      <w:r>
        <w:rPr>
          <w:rFonts w:hint="eastAsia" w:ascii="仿宋_GB2312"/>
        </w:rPr>
        <w:t>“信息系统维护”项目中，运维人员日常承担着银行对账数据导入系统的工作，每月定期导入工行、建行、招行零余额对账单，以及工行、建行自有户对账单。调查问卷展示，银行对账数据导入及时率为</w:t>
      </w:r>
      <w:r>
        <w:rPr>
          <w:rFonts w:ascii="仿宋_GB2312"/>
        </w:rPr>
        <w:t>75.61</w:t>
      </w:r>
      <w:r>
        <w:rPr>
          <w:rFonts w:hint="eastAsia" w:ascii="仿宋_GB2312"/>
        </w:rPr>
        <w:t>%，有待进一步提升。</w:t>
      </w:r>
    </w:p>
    <w:p>
      <w:pPr>
        <w:ind w:firstLine="643"/>
        <w:rPr>
          <w:rFonts w:ascii="仿宋_GB2312"/>
          <w:b/>
          <w:bCs/>
        </w:rPr>
      </w:pPr>
      <w:r>
        <w:rPr>
          <w:rFonts w:hint="eastAsia" w:ascii="仿宋_GB2312"/>
          <w:b/>
          <w:bCs/>
        </w:rPr>
        <w:t>（2）故障处理及时率（满分</w:t>
      </w:r>
      <w:r>
        <w:rPr>
          <w:rFonts w:ascii="仿宋_GB2312"/>
          <w:b/>
          <w:bCs/>
        </w:rPr>
        <w:t>3</w:t>
      </w:r>
      <w:r>
        <w:rPr>
          <w:rFonts w:hint="eastAsia" w:ascii="仿宋_GB2312"/>
          <w:b/>
          <w:bCs/>
        </w:rPr>
        <w:t>分，得分</w:t>
      </w:r>
      <w:r>
        <w:rPr>
          <w:rFonts w:ascii="仿宋_GB2312"/>
          <w:b/>
          <w:bCs/>
        </w:rPr>
        <w:t>2.30</w:t>
      </w:r>
      <w:r>
        <w:rPr>
          <w:rFonts w:hint="eastAsia" w:ascii="仿宋_GB2312"/>
          <w:b/>
          <w:bCs/>
        </w:rPr>
        <w:t>分）</w:t>
      </w:r>
    </w:p>
    <w:p>
      <w:pPr>
        <w:ind w:firstLine="640"/>
        <w:rPr>
          <w:rFonts w:ascii="仿宋_GB2312"/>
        </w:rPr>
      </w:pPr>
      <w:r>
        <w:rPr>
          <w:rFonts w:hint="eastAsia" w:ascii="仿宋_GB2312"/>
        </w:rPr>
        <w:t>截至2</w:t>
      </w:r>
      <w:r>
        <w:rPr>
          <w:rFonts w:ascii="仿宋_GB2312"/>
        </w:rPr>
        <w:t>021</w:t>
      </w:r>
      <w:r>
        <w:rPr>
          <w:rFonts w:hint="eastAsia" w:ascii="仿宋_GB2312"/>
        </w:rPr>
        <w:t>年底，2个系统全年正常运转，运维人员根据系统实际故障情况，提供可行性技术解决方案，确保了2个系统运行顺畅，达到了预期的时效目标。调查问卷显示，在2小时内处理完毕的故障数量占比5</w:t>
      </w:r>
      <w:r>
        <w:rPr>
          <w:rFonts w:ascii="仿宋_GB2312"/>
        </w:rPr>
        <w:t>7.5</w:t>
      </w:r>
      <w:r>
        <w:rPr>
          <w:rFonts w:hint="eastAsia" w:ascii="仿宋_GB2312"/>
        </w:rPr>
        <w:t>%；在2-</w:t>
      </w:r>
      <w:r>
        <w:rPr>
          <w:rFonts w:ascii="仿宋_GB2312"/>
        </w:rPr>
        <w:t>4</w:t>
      </w:r>
      <w:r>
        <w:rPr>
          <w:rFonts w:hint="eastAsia" w:ascii="仿宋_GB2312"/>
        </w:rPr>
        <w:t>小时内处理完毕的故障数量占比2</w:t>
      </w:r>
      <w:r>
        <w:rPr>
          <w:rFonts w:ascii="仿宋_GB2312"/>
        </w:rPr>
        <w:t>0</w:t>
      </w:r>
      <w:r>
        <w:rPr>
          <w:rFonts w:hint="eastAsia" w:ascii="仿宋_GB2312"/>
        </w:rPr>
        <w:t>%；在4小时-</w:t>
      </w:r>
      <w:r>
        <w:rPr>
          <w:rFonts w:ascii="仿宋_GB2312"/>
        </w:rPr>
        <w:t>2</w:t>
      </w:r>
      <w:r>
        <w:rPr>
          <w:rFonts w:hint="eastAsia" w:ascii="仿宋_GB2312"/>
        </w:rPr>
        <w:t>个工作日内处理完毕的故障数量占比1</w:t>
      </w:r>
      <w:r>
        <w:rPr>
          <w:rFonts w:ascii="仿宋_GB2312"/>
        </w:rPr>
        <w:t>7.5</w:t>
      </w:r>
      <w:r>
        <w:rPr>
          <w:rFonts w:hint="eastAsia" w:ascii="仿宋_GB2312"/>
        </w:rPr>
        <w:t>%；在2个工作日以上处理完毕的故障数量占比5%。</w:t>
      </w:r>
    </w:p>
    <w:p>
      <w:pPr>
        <w:pStyle w:val="4"/>
        <w:ind w:firstLine="643"/>
        <w:rPr>
          <w:rFonts w:ascii="仿宋_GB2312"/>
        </w:rPr>
      </w:pPr>
      <w:bookmarkStart w:id="37" w:name="_Toc111637892"/>
      <w:r>
        <w:rPr>
          <w:rFonts w:ascii="仿宋_GB2312"/>
        </w:rPr>
        <w:t>4.</w:t>
      </w:r>
      <w:r>
        <w:rPr>
          <w:rFonts w:hint="eastAsia" w:ascii="仿宋_GB2312"/>
        </w:rPr>
        <w:t>产出成本（满分</w:t>
      </w:r>
      <w:r>
        <w:rPr>
          <w:rFonts w:ascii="仿宋_GB2312"/>
        </w:rPr>
        <w:t>6</w:t>
      </w:r>
      <w:r>
        <w:rPr>
          <w:rFonts w:hint="eastAsia" w:ascii="仿宋_GB2312"/>
        </w:rPr>
        <w:t>分，</w:t>
      </w:r>
      <w:r>
        <w:rPr>
          <w:rFonts w:hint="eastAsia" w:ascii="仿宋_GB2312"/>
          <w:color w:val="000000" w:themeColor="text1"/>
          <w14:textFill>
            <w14:solidFill>
              <w14:schemeClr w14:val="tx1"/>
            </w14:solidFill>
          </w14:textFill>
        </w:rPr>
        <w:t>得分</w:t>
      </w:r>
      <w:r>
        <w:rPr>
          <w:rFonts w:ascii="仿宋_GB2312"/>
          <w:color w:val="000000" w:themeColor="text1"/>
          <w14:textFill>
            <w14:solidFill>
              <w14:schemeClr w14:val="tx1"/>
            </w14:solidFill>
          </w14:textFill>
        </w:rPr>
        <w:t>5</w:t>
      </w:r>
      <w:r>
        <w:rPr>
          <w:rFonts w:hint="eastAsia" w:ascii="仿宋_GB2312"/>
          <w:color w:val="000000" w:themeColor="text1"/>
          <w14:textFill>
            <w14:solidFill>
              <w14:schemeClr w14:val="tx1"/>
            </w14:solidFill>
          </w14:textFill>
        </w:rPr>
        <w:t>分</w:t>
      </w:r>
      <w:r>
        <w:rPr>
          <w:rFonts w:hint="eastAsia" w:ascii="仿宋_GB2312"/>
        </w:rPr>
        <w:t>）</w:t>
      </w:r>
      <w:bookmarkEnd w:id="37"/>
    </w:p>
    <w:p>
      <w:pPr>
        <w:ind w:firstLine="643"/>
        <w:rPr>
          <w:rFonts w:ascii="仿宋_GB2312"/>
          <w:b/>
          <w:bCs/>
        </w:rPr>
      </w:pPr>
      <w:r>
        <w:rPr>
          <w:rFonts w:hint="eastAsia" w:ascii="仿宋_GB2312"/>
          <w:b/>
          <w:bCs/>
        </w:rPr>
        <w:t>（1）支付进度达标率（满分</w:t>
      </w:r>
      <w:r>
        <w:rPr>
          <w:rFonts w:ascii="仿宋_GB2312"/>
          <w:b/>
          <w:bCs/>
        </w:rPr>
        <w:t>6</w:t>
      </w:r>
      <w:r>
        <w:rPr>
          <w:rFonts w:hint="eastAsia" w:ascii="仿宋_GB2312"/>
          <w:b/>
          <w:bCs/>
        </w:rPr>
        <w:t>分，</w:t>
      </w:r>
      <w:r>
        <w:rPr>
          <w:rFonts w:hint="eastAsia" w:ascii="仿宋_GB2312"/>
          <w:b/>
          <w:bCs/>
          <w:color w:val="000000" w:themeColor="text1"/>
          <w14:textFill>
            <w14:solidFill>
              <w14:schemeClr w14:val="tx1"/>
            </w14:solidFill>
          </w14:textFill>
        </w:rPr>
        <w:t>得分</w:t>
      </w:r>
      <w:r>
        <w:rPr>
          <w:rFonts w:ascii="仿宋_GB2312"/>
          <w:b/>
          <w:bCs/>
          <w:color w:val="000000" w:themeColor="text1"/>
          <w14:textFill>
            <w14:solidFill>
              <w14:schemeClr w14:val="tx1"/>
            </w14:solidFill>
          </w14:textFill>
        </w:rPr>
        <w:t>5</w:t>
      </w:r>
      <w:r>
        <w:rPr>
          <w:rFonts w:hint="eastAsia" w:ascii="仿宋_GB2312"/>
          <w:b/>
          <w:bCs/>
          <w:color w:val="000000" w:themeColor="text1"/>
          <w14:textFill>
            <w14:solidFill>
              <w14:schemeClr w14:val="tx1"/>
            </w14:solidFill>
          </w14:textFill>
        </w:rPr>
        <w:t>分</w:t>
      </w:r>
      <w:r>
        <w:rPr>
          <w:rFonts w:hint="eastAsia" w:ascii="仿宋_GB2312"/>
          <w:b/>
          <w:bCs/>
        </w:rPr>
        <w:t>）</w:t>
      </w:r>
    </w:p>
    <w:p>
      <w:pPr>
        <w:ind w:firstLine="640"/>
        <w:rPr>
          <w:rFonts w:ascii="仿宋_GB2312"/>
        </w:rPr>
      </w:pPr>
      <w:r>
        <w:rPr>
          <w:rFonts w:hint="eastAsia" w:ascii="仿宋_GB2312"/>
        </w:rPr>
        <w:t>经抽凭发现，2</w:t>
      </w:r>
      <w:r>
        <w:rPr>
          <w:rFonts w:ascii="仿宋_GB2312"/>
        </w:rPr>
        <w:t>021</w:t>
      </w:r>
      <w:r>
        <w:rPr>
          <w:rFonts w:hint="eastAsia" w:ascii="仿宋_GB2312"/>
        </w:rPr>
        <w:t>年“信息系统维护”项目支付进度与合同约定存在一定偏差。一是项目款项实际支付较合同约定存在滞后，如在支付财务服务平台系统升级首期款时，未按照合同约定的签订合同后的15个工作日内付款，实际支付时间晚于合同约定时间；二是项目款项支付方式与合同约定不一致，如支付财务服务平台运维费用时，未严格按照合同约定的按月支付周期，存在集中支付了一至三月、八至九月、十至十一月项目款项的情况。</w:t>
      </w:r>
    </w:p>
    <w:p>
      <w:pPr>
        <w:pStyle w:val="2"/>
        <w:ind w:firstLine="643"/>
        <w:rPr>
          <w:rFonts w:eastAsia="楷体_GB2312"/>
          <w:b/>
          <w:szCs w:val="40"/>
        </w:rPr>
      </w:pPr>
      <w:bookmarkStart w:id="38" w:name="_Toc111637893"/>
      <w:r>
        <w:rPr>
          <w:rFonts w:hint="eastAsia" w:eastAsia="楷体_GB2312"/>
          <w:b/>
          <w:szCs w:val="40"/>
        </w:rPr>
        <w:t>（四）项目效益</w:t>
      </w:r>
      <w:bookmarkEnd w:id="38"/>
    </w:p>
    <w:p>
      <w:pPr>
        <w:ind w:firstLine="640"/>
        <w:rPr>
          <w:rFonts w:ascii="仿宋_GB2312"/>
        </w:rPr>
      </w:pPr>
      <w:r>
        <w:rPr>
          <w:rFonts w:hint="eastAsia" w:ascii="仿宋_GB2312"/>
        </w:rPr>
        <w:t>该指标主要考核项目资金使用产出的效益性情况。该指标满分</w:t>
      </w:r>
      <w:r>
        <w:rPr>
          <w:rFonts w:ascii="仿宋_GB2312"/>
        </w:rPr>
        <w:t>25分，得分24.15分，得分率96.60%。</w:t>
      </w:r>
    </w:p>
    <w:p>
      <w:pPr>
        <w:pStyle w:val="4"/>
        <w:ind w:firstLine="643"/>
        <w:rPr>
          <w:rFonts w:ascii="仿宋_GB2312"/>
        </w:rPr>
      </w:pPr>
      <w:bookmarkStart w:id="39" w:name="_Toc111637894"/>
      <w:r>
        <w:rPr>
          <w:rFonts w:ascii="仿宋_GB2312"/>
        </w:rPr>
        <w:t>1.</w:t>
      </w:r>
      <w:r>
        <w:rPr>
          <w:rFonts w:hint="eastAsia" w:ascii="仿宋_GB2312"/>
        </w:rPr>
        <w:t>社会效益（满分</w:t>
      </w:r>
      <w:r>
        <w:rPr>
          <w:rFonts w:ascii="仿宋_GB2312"/>
        </w:rPr>
        <w:t>15</w:t>
      </w:r>
      <w:r>
        <w:rPr>
          <w:rFonts w:hint="eastAsia" w:ascii="仿宋_GB2312"/>
        </w:rPr>
        <w:t>分，得分</w:t>
      </w:r>
      <w:r>
        <w:rPr>
          <w:rFonts w:ascii="仿宋_GB2312"/>
        </w:rPr>
        <w:t>15</w:t>
      </w:r>
      <w:r>
        <w:rPr>
          <w:rFonts w:hint="eastAsia" w:ascii="仿宋_GB2312"/>
        </w:rPr>
        <w:t>分）</w:t>
      </w:r>
      <w:bookmarkEnd w:id="39"/>
    </w:p>
    <w:p>
      <w:pPr>
        <w:ind w:firstLine="643"/>
        <w:rPr>
          <w:rFonts w:ascii="仿宋_GB2312"/>
          <w:b/>
          <w:bCs/>
        </w:rPr>
      </w:pPr>
      <w:r>
        <w:rPr>
          <w:rFonts w:hint="eastAsia" w:ascii="仿宋_GB2312"/>
          <w:b/>
          <w:bCs/>
        </w:rPr>
        <w:t>（1）全区集中核算单位系统覆盖率（满分</w:t>
      </w:r>
      <w:r>
        <w:rPr>
          <w:rFonts w:ascii="仿宋_GB2312"/>
          <w:b/>
          <w:bCs/>
        </w:rPr>
        <w:t>7</w:t>
      </w:r>
      <w:r>
        <w:rPr>
          <w:rFonts w:hint="eastAsia" w:ascii="仿宋_GB2312"/>
          <w:b/>
          <w:bCs/>
        </w:rPr>
        <w:t>分，得分</w:t>
      </w:r>
      <w:r>
        <w:rPr>
          <w:rFonts w:ascii="仿宋_GB2312"/>
          <w:b/>
          <w:bCs/>
        </w:rPr>
        <w:t>7</w:t>
      </w:r>
      <w:r>
        <w:rPr>
          <w:rFonts w:hint="eastAsia" w:ascii="仿宋_GB2312"/>
          <w:b/>
          <w:bCs/>
        </w:rPr>
        <w:t>分）</w:t>
      </w:r>
    </w:p>
    <w:p>
      <w:pPr>
        <w:ind w:firstLine="640"/>
        <w:rPr>
          <w:rFonts w:ascii="仿宋_GB2312"/>
        </w:rPr>
      </w:pPr>
      <w:r>
        <w:rPr>
          <w:rFonts w:hint="eastAsia" w:ascii="仿宋_GB2312"/>
        </w:rPr>
        <w:t>中心作为集中核算管理单位，承担着福田区</w:t>
      </w:r>
      <w:r>
        <w:rPr>
          <w:rFonts w:ascii="仿宋_GB2312"/>
        </w:rPr>
        <w:t>预算指标及用款计划管理</w:t>
      </w:r>
      <w:r>
        <w:rPr>
          <w:rFonts w:hint="eastAsia" w:ascii="仿宋_GB2312"/>
        </w:rPr>
        <w:t>、</w:t>
      </w:r>
      <w:r>
        <w:rPr>
          <w:rFonts w:ascii="仿宋_GB2312"/>
        </w:rPr>
        <w:t>办理财政资金支付</w:t>
      </w:r>
      <w:r>
        <w:rPr>
          <w:rFonts w:hint="eastAsia" w:ascii="仿宋_GB2312"/>
        </w:rPr>
        <w:t>、</w:t>
      </w:r>
      <w:r>
        <w:rPr>
          <w:rFonts w:ascii="仿宋_GB2312"/>
        </w:rPr>
        <w:t>监管非税收入收缴</w:t>
      </w:r>
      <w:r>
        <w:rPr>
          <w:rFonts w:hint="eastAsia" w:ascii="仿宋_GB2312"/>
        </w:rPr>
        <w:t>、</w:t>
      </w:r>
      <w:r>
        <w:rPr>
          <w:rFonts w:ascii="仿宋_GB2312"/>
        </w:rPr>
        <w:t>登记总分类账及明细账</w:t>
      </w:r>
      <w:r>
        <w:rPr>
          <w:rFonts w:hint="eastAsia" w:ascii="仿宋_GB2312"/>
        </w:rPr>
        <w:t>、</w:t>
      </w:r>
      <w:r>
        <w:rPr>
          <w:rFonts w:ascii="仿宋_GB2312"/>
        </w:rPr>
        <w:t>管理各类账户</w:t>
      </w:r>
      <w:r>
        <w:rPr>
          <w:rFonts w:hint="eastAsia" w:ascii="仿宋_GB2312"/>
        </w:rPr>
        <w:t>及</w:t>
      </w:r>
      <w:r>
        <w:rPr>
          <w:rFonts w:ascii="仿宋_GB2312"/>
        </w:rPr>
        <w:t>建设并维护收付</w:t>
      </w:r>
      <w:r>
        <w:fldChar w:fldCharType="begin"/>
      </w:r>
      <w:r>
        <w:instrText xml:space="preserve"> HYPERLINK "https://baike.baidu.com/item/%E7%AE%A1%E7%90%86%E4%BF%A1%E6%81%AF%E7%B3%BB%E7%BB%9F/85339" \t "_blank" </w:instrText>
      </w:r>
      <w:r>
        <w:fldChar w:fldCharType="separate"/>
      </w:r>
      <w:r>
        <w:rPr>
          <w:rFonts w:ascii="仿宋_GB2312"/>
        </w:rPr>
        <w:t>管理信息系统</w:t>
      </w:r>
      <w:r>
        <w:rPr>
          <w:rFonts w:ascii="仿宋_GB2312"/>
        </w:rPr>
        <w:fldChar w:fldCharType="end"/>
      </w:r>
      <w:r>
        <w:rPr>
          <w:rFonts w:hint="eastAsia" w:ascii="仿宋_GB2312"/>
        </w:rPr>
        <w:t>等职责</w:t>
      </w:r>
      <w:r>
        <w:rPr>
          <w:rFonts w:ascii="仿宋_GB2312"/>
        </w:rPr>
        <w:t>。</w:t>
      </w:r>
    </w:p>
    <w:p>
      <w:pPr>
        <w:ind w:firstLine="640"/>
        <w:rPr>
          <w:rFonts w:ascii="仿宋_GB2312"/>
        </w:rPr>
      </w:pPr>
      <w:r>
        <w:rPr>
          <w:rFonts w:hint="eastAsia" w:ascii="仿宋_GB2312"/>
        </w:rPr>
        <w:t>2</w:t>
      </w:r>
      <w:r>
        <w:rPr>
          <w:rFonts w:ascii="仿宋_GB2312"/>
        </w:rPr>
        <w:t>021</w:t>
      </w:r>
      <w:r>
        <w:rPr>
          <w:rFonts w:hint="eastAsia" w:ascii="仿宋_GB2312"/>
        </w:rPr>
        <w:t>年，中心已保障财务电算化系统覆盖全区</w:t>
      </w:r>
      <w:r>
        <w:rPr>
          <w:rFonts w:ascii="仿宋_GB2312"/>
        </w:rPr>
        <w:t>249</w:t>
      </w:r>
      <w:r>
        <w:rPr>
          <w:rFonts w:hint="eastAsia" w:ascii="仿宋_GB2312"/>
        </w:rPr>
        <w:t>家单位，全区集中核算单位系统覆盖率达1</w:t>
      </w:r>
      <w:r>
        <w:rPr>
          <w:rFonts w:ascii="仿宋_GB2312"/>
        </w:rPr>
        <w:t>00</w:t>
      </w:r>
      <w:r>
        <w:rPr>
          <w:rFonts w:hint="eastAsia" w:ascii="仿宋_GB2312"/>
        </w:rPr>
        <w:t>%。为各单位及时查询财务业务进度、核对单位信息、系统问题反馈、系统技术升级建议录入等工作提供了有效帮助，极大地提高了各集中核算单位的公共服务效率。</w:t>
      </w:r>
    </w:p>
    <w:p>
      <w:pPr>
        <w:ind w:firstLine="643"/>
        <w:rPr>
          <w:rFonts w:ascii="仿宋_GB2312"/>
          <w:b/>
          <w:bCs/>
        </w:rPr>
      </w:pPr>
      <w:r>
        <w:rPr>
          <w:rFonts w:hint="eastAsia" w:ascii="仿宋_GB2312"/>
          <w:b/>
          <w:bCs/>
        </w:rPr>
        <w:t>（2）系统运维保障各项工作正常运转率（满分</w:t>
      </w:r>
      <w:r>
        <w:rPr>
          <w:rFonts w:ascii="仿宋_GB2312"/>
          <w:b/>
          <w:bCs/>
        </w:rPr>
        <w:t>8</w:t>
      </w:r>
      <w:r>
        <w:rPr>
          <w:rFonts w:hint="eastAsia" w:ascii="仿宋_GB2312"/>
          <w:b/>
          <w:bCs/>
        </w:rPr>
        <w:t>分，得分</w:t>
      </w:r>
      <w:r>
        <w:rPr>
          <w:rFonts w:ascii="仿宋_GB2312"/>
          <w:b/>
          <w:bCs/>
        </w:rPr>
        <w:t>8</w:t>
      </w:r>
      <w:r>
        <w:rPr>
          <w:rFonts w:hint="eastAsia" w:ascii="仿宋_GB2312"/>
          <w:b/>
          <w:bCs/>
        </w:rPr>
        <w:t>分）</w:t>
      </w:r>
    </w:p>
    <w:p>
      <w:pPr>
        <w:ind w:firstLine="640"/>
        <w:rPr>
          <w:rFonts w:ascii="仿宋_GB2312"/>
        </w:rPr>
      </w:pPr>
      <w:r>
        <w:rPr>
          <w:rFonts w:hint="eastAsia" w:ascii="仿宋_GB2312"/>
        </w:rPr>
        <w:t>中心财务电算化信息系统的有效维护，为中心及各集中核算单位的日常业务处理工作提供了有力支撑，充分保障了集中核算工作的正常运转。</w:t>
      </w:r>
    </w:p>
    <w:p>
      <w:pPr>
        <w:ind w:firstLine="643"/>
        <w:rPr>
          <w:rFonts w:ascii="仿宋_GB2312"/>
        </w:rPr>
      </w:pPr>
      <w:r>
        <w:rPr>
          <w:rFonts w:hint="eastAsia" w:ascii="仿宋_GB2312"/>
          <w:b/>
          <w:bCs/>
        </w:rPr>
        <w:t>一是</w:t>
      </w:r>
      <w:r>
        <w:rPr>
          <w:rFonts w:hint="eastAsia" w:ascii="仿宋_GB2312"/>
        </w:rPr>
        <w:t>为全区集中核算工作搭建稳固平台，确保运用信息化手段全程管理、跟踪财政资金，有利于财务资金实时监控，提高了财政资金风险管控能力。</w:t>
      </w:r>
    </w:p>
    <w:p>
      <w:pPr>
        <w:ind w:firstLine="643"/>
        <w:rPr>
          <w:rFonts w:ascii="仿宋_GB2312"/>
        </w:rPr>
      </w:pPr>
      <w:r>
        <w:rPr>
          <w:rFonts w:hint="eastAsia" w:ascii="仿宋_GB2312"/>
          <w:b/>
          <w:bCs/>
        </w:rPr>
        <w:t>二是</w:t>
      </w:r>
      <w:r>
        <w:rPr>
          <w:rFonts w:hint="eastAsia" w:ascii="仿宋_GB2312"/>
        </w:rPr>
        <w:t>保障了数据备份与优化；财务报表、预算会计报表、决算报表、分部门报表、汇总报表等报表模板的更新配置；支付数据的采集；银行对账数据导入；年末结转及下一年度账套新建；基于业务应用的非产品开发类优化；系统培训及系统管理员培训；历史系统数据运用等日常工作的正常运行，为集中核算业务夯实基础。</w:t>
      </w:r>
    </w:p>
    <w:p>
      <w:pPr>
        <w:pStyle w:val="4"/>
        <w:ind w:firstLine="643"/>
        <w:rPr>
          <w:rFonts w:ascii="仿宋_GB2312"/>
        </w:rPr>
      </w:pPr>
      <w:bookmarkStart w:id="40" w:name="_Toc111637895"/>
      <w:r>
        <w:rPr>
          <w:rFonts w:ascii="仿宋_GB2312"/>
        </w:rPr>
        <w:t>2.</w:t>
      </w:r>
      <w:r>
        <w:rPr>
          <w:rFonts w:hint="eastAsia" w:ascii="仿宋_GB2312"/>
        </w:rPr>
        <w:t>服务对象满意度（满分1</w:t>
      </w:r>
      <w:r>
        <w:rPr>
          <w:rFonts w:ascii="仿宋_GB2312"/>
        </w:rPr>
        <w:t>0</w:t>
      </w:r>
      <w:r>
        <w:rPr>
          <w:rFonts w:hint="eastAsia" w:ascii="仿宋_GB2312"/>
        </w:rPr>
        <w:t>分，得分</w:t>
      </w:r>
      <w:r>
        <w:rPr>
          <w:rFonts w:ascii="仿宋_GB2312"/>
        </w:rPr>
        <w:t>9.15</w:t>
      </w:r>
      <w:r>
        <w:rPr>
          <w:rFonts w:hint="eastAsia" w:ascii="仿宋_GB2312"/>
        </w:rPr>
        <w:t>分）</w:t>
      </w:r>
      <w:bookmarkEnd w:id="40"/>
    </w:p>
    <w:p>
      <w:pPr>
        <w:ind w:firstLine="643"/>
        <w:rPr>
          <w:rFonts w:ascii="仿宋_GB2312"/>
          <w:b/>
          <w:bCs/>
        </w:rPr>
      </w:pPr>
      <w:r>
        <w:rPr>
          <w:rFonts w:hint="eastAsia" w:ascii="仿宋_GB2312"/>
          <w:b/>
          <w:bCs/>
        </w:rPr>
        <w:t>（1）系统使用人员满意度（满分1</w:t>
      </w:r>
      <w:r>
        <w:rPr>
          <w:rFonts w:ascii="仿宋_GB2312"/>
          <w:b/>
          <w:bCs/>
        </w:rPr>
        <w:t>0</w:t>
      </w:r>
      <w:r>
        <w:rPr>
          <w:rFonts w:hint="eastAsia" w:ascii="仿宋_GB2312"/>
          <w:b/>
          <w:bCs/>
        </w:rPr>
        <w:t>分，得分</w:t>
      </w:r>
      <w:r>
        <w:rPr>
          <w:rFonts w:ascii="仿宋_GB2312"/>
          <w:b/>
          <w:bCs/>
        </w:rPr>
        <w:t>9.15</w:t>
      </w:r>
      <w:r>
        <w:rPr>
          <w:rFonts w:hint="eastAsia" w:ascii="仿宋_GB2312"/>
          <w:b/>
          <w:bCs/>
        </w:rPr>
        <w:t>分）</w:t>
      </w:r>
    </w:p>
    <w:p>
      <w:pPr>
        <w:ind w:firstLine="640"/>
        <w:rPr>
          <w:rFonts w:ascii="仿宋_GB2312"/>
        </w:rPr>
      </w:pPr>
      <w:r>
        <w:rPr>
          <w:rFonts w:hint="eastAsia" w:ascii="仿宋_GB2312"/>
        </w:rPr>
        <w:t>本次问卷调查共收回有效问卷</w:t>
      </w:r>
      <w:r>
        <w:rPr>
          <w:rFonts w:ascii="仿宋_GB2312"/>
        </w:rPr>
        <w:t>82</w:t>
      </w:r>
      <w:r>
        <w:rPr>
          <w:rFonts w:hint="eastAsia" w:ascii="仿宋_GB2312"/>
        </w:rPr>
        <w:t>份。根据问卷结果，系统使用人员对2</w:t>
      </w:r>
      <w:r>
        <w:rPr>
          <w:rFonts w:ascii="仿宋_GB2312"/>
        </w:rPr>
        <w:t>021</w:t>
      </w:r>
      <w:r>
        <w:rPr>
          <w:rFonts w:hint="eastAsia" w:ascii="仿宋_GB2312"/>
        </w:rPr>
        <w:t>年度财务电算化信息系统的运维及升级工作的整体满意度达</w:t>
      </w:r>
      <w:r>
        <w:rPr>
          <w:rFonts w:ascii="仿宋_GB2312"/>
        </w:rPr>
        <w:t>91.46</w:t>
      </w:r>
      <w:r>
        <w:rPr>
          <w:rFonts w:hint="eastAsia" w:ascii="仿宋_GB2312"/>
        </w:rPr>
        <w:t>%。</w:t>
      </w:r>
    </w:p>
    <w:p>
      <w:pPr>
        <w:pStyle w:val="2"/>
        <w:ind w:firstLine="640"/>
      </w:pPr>
      <w:bookmarkStart w:id="41" w:name="_Toc111637896"/>
      <w:r>
        <w:rPr>
          <w:rFonts w:hint="eastAsia"/>
        </w:rPr>
        <w:t>五、主要经验及做法</w:t>
      </w:r>
      <w:bookmarkEnd w:id="41"/>
    </w:p>
    <w:p>
      <w:pPr>
        <w:pStyle w:val="2"/>
        <w:ind w:firstLine="643"/>
        <w:rPr>
          <w:rFonts w:eastAsia="楷体_GB2312"/>
          <w:b/>
          <w:bCs w:val="0"/>
          <w:szCs w:val="40"/>
        </w:rPr>
      </w:pPr>
      <w:bookmarkStart w:id="42" w:name="_Toc111637897"/>
      <w:r>
        <w:rPr>
          <w:rFonts w:hint="eastAsia" w:eastAsia="楷体_GB2312"/>
          <w:b/>
          <w:szCs w:val="40"/>
        </w:rPr>
        <w:t>（一）提供问题反馈平台，提升故障解决效率</w:t>
      </w:r>
      <w:bookmarkEnd w:id="42"/>
    </w:p>
    <w:p>
      <w:pPr>
        <w:ind w:firstLine="640"/>
      </w:pPr>
      <w:r>
        <w:rPr>
          <w:rFonts w:hint="eastAsia"/>
        </w:rPr>
        <w:t>中心打通线上、线下协同反馈机制，为各集中核算单位及时反馈在日常业务工作中发现的问题提供便利性。区内各集中核算单位工作人员可以在财务电算化系统中留言，通过粤政易、电话、邮箱、微信、线下面谈等渠道反馈问题，也可通过以上方式提出各单位的使用需求，为财务信息系统功能的升级提供建设性建议。</w:t>
      </w:r>
    </w:p>
    <w:p>
      <w:pPr>
        <w:pStyle w:val="2"/>
        <w:ind w:firstLine="643"/>
        <w:rPr>
          <w:rFonts w:eastAsia="楷体_GB2312"/>
          <w:b/>
          <w:bCs w:val="0"/>
          <w:szCs w:val="40"/>
        </w:rPr>
      </w:pPr>
      <w:bookmarkStart w:id="43" w:name="_Toc111637898"/>
      <w:r>
        <w:rPr>
          <w:rFonts w:hint="eastAsia" w:eastAsia="楷体_GB2312"/>
          <w:b/>
          <w:szCs w:val="40"/>
        </w:rPr>
        <w:t>（二）探索受众使用需求，优化系统平台功能</w:t>
      </w:r>
      <w:bookmarkEnd w:id="43"/>
    </w:p>
    <w:p>
      <w:pPr>
        <w:ind w:firstLine="640"/>
        <w:rPr>
          <w:rFonts w:eastAsia="楷体_GB2312"/>
          <w:szCs w:val="40"/>
        </w:rPr>
      </w:pPr>
      <w:r>
        <w:rPr>
          <w:rFonts w:hint="eastAsia"/>
        </w:rPr>
        <w:t>中心通过上述反馈渠道，积极探索系统使用人员的系统使用需求，充分挖掘系统存在的操作流程与逻辑上的不便之处，并将其梳理总结。中心于</w:t>
      </w:r>
      <w:r>
        <w:rPr>
          <w:rFonts w:hint="eastAsia" w:ascii="仿宋_GB2312"/>
        </w:rPr>
        <w:t>2021</w:t>
      </w:r>
      <w:r>
        <w:rPr>
          <w:rFonts w:hint="eastAsia"/>
        </w:rPr>
        <w:t>年第四季度着手开展</w:t>
      </w:r>
      <w:r>
        <w:rPr>
          <w:rFonts w:hint="eastAsia" w:ascii="仿宋_GB2312"/>
        </w:rPr>
        <w:t>财务服务平台系统升级服务采购工作，</w:t>
      </w:r>
      <w:r>
        <w:rPr>
          <w:rFonts w:hint="eastAsia"/>
        </w:rPr>
        <w:t>并</w:t>
      </w:r>
      <w:r>
        <w:rPr>
          <w:rFonts w:hint="eastAsia" w:ascii="仿宋_GB2312"/>
        </w:rPr>
        <w:t>于2021年年底前完成了区内资产无偿调拨提醒功能、报表批量生成功能及凭证审核退单统计关联记账凭证查询功能的升级工作。对财务服务平台系统的升级，为全区各集中核算单位2</w:t>
      </w:r>
      <w:r>
        <w:rPr>
          <w:rFonts w:ascii="仿宋_GB2312"/>
        </w:rPr>
        <w:t>022</w:t>
      </w:r>
      <w:r>
        <w:rPr>
          <w:rFonts w:hint="eastAsia" w:ascii="仿宋_GB2312"/>
        </w:rPr>
        <w:t>年的工作提供更便捷的服务。</w:t>
      </w:r>
    </w:p>
    <w:p>
      <w:pPr>
        <w:pStyle w:val="2"/>
        <w:ind w:firstLine="643"/>
        <w:rPr>
          <w:rFonts w:eastAsia="楷体_GB2312"/>
          <w:b/>
          <w:szCs w:val="40"/>
        </w:rPr>
      </w:pPr>
      <w:bookmarkStart w:id="44" w:name="_Toc111637899"/>
      <w:bookmarkStart w:id="45" w:name="_Toc107312509"/>
      <w:r>
        <w:rPr>
          <w:rFonts w:hint="eastAsia" w:eastAsia="楷体_GB2312"/>
          <w:b/>
          <w:szCs w:val="40"/>
        </w:rPr>
        <w:t>（三）重视项目管理环节，推动项目合规性</w:t>
      </w:r>
      <w:bookmarkEnd w:id="44"/>
      <w:bookmarkEnd w:id="45"/>
    </w:p>
    <w:p>
      <w:pPr>
        <w:ind w:firstLine="643"/>
      </w:pPr>
      <w:r>
        <w:rPr>
          <w:rFonts w:hint="eastAsia"/>
          <w:b/>
          <w:bCs/>
        </w:rPr>
        <w:t>一是</w:t>
      </w:r>
      <w:r>
        <w:rPr>
          <w:rFonts w:hint="eastAsia"/>
        </w:rPr>
        <w:t>在项目立项之初，中心就组织了项目相关负责人进行项目立项讨论，并提请中心领导批示，领导班子组织召开了中心立项会议，经过广泛的讨论及严谨论证后确定项目立项实施，且经费测算结合了项目特点，并参照了往年项目经费使用情况，预算编制合理。</w:t>
      </w:r>
    </w:p>
    <w:p>
      <w:pPr>
        <w:ind w:firstLine="643"/>
      </w:pPr>
      <w:r>
        <w:rPr>
          <w:rFonts w:hint="eastAsia"/>
          <w:b/>
          <w:bCs/>
        </w:rPr>
        <w:t>二是</w:t>
      </w:r>
      <w:r>
        <w:rPr>
          <w:rFonts w:hint="eastAsia"/>
        </w:rPr>
        <w:t>在项目实施过程中，中心严格按照区财政的要求，及时做好项目绩效目标监控工作，对项目进度进行动态监控，保障了项目进度的合理推进与资金的合规、及时支出与使用。</w:t>
      </w:r>
    </w:p>
    <w:p>
      <w:pPr>
        <w:ind w:firstLine="643"/>
      </w:pPr>
      <w:r>
        <w:rPr>
          <w:rFonts w:hint="eastAsia"/>
          <w:b/>
          <w:bCs/>
        </w:rPr>
        <w:t>三是</w:t>
      </w:r>
      <w:r>
        <w:rPr>
          <w:rFonts w:hint="eastAsia"/>
        </w:rPr>
        <w:t>在项目完成后，中心对项目进行了验收，并形成了相应的项目验收表，实现了项目工作的闭环管理，为下一年的项目立项、预算编报、项目实施、问题解决等方面提供经验性参考。</w:t>
      </w:r>
    </w:p>
    <w:p>
      <w:pPr>
        <w:spacing w:line="600" w:lineRule="exact"/>
        <w:ind w:firstLine="640"/>
        <w:outlineLvl w:val="0"/>
        <w:rPr>
          <w:rFonts w:ascii="黑体" w:hAnsi="黑体" w:eastAsia="黑体"/>
        </w:rPr>
      </w:pPr>
      <w:bookmarkStart w:id="46" w:name="_Toc111637900"/>
      <w:r>
        <w:rPr>
          <w:rFonts w:hint="eastAsia" w:ascii="黑体" w:hAnsi="黑体" w:eastAsia="黑体"/>
        </w:rPr>
        <w:t>六、问题分析与总结</w:t>
      </w:r>
      <w:bookmarkEnd w:id="46"/>
    </w:p>
    <w:p>
      <w:pPr>
        <w:pStyle w:val="2"/>
        <w:ind w:firstLine="643"/>
        <w:rPr>
          <w:rFonts w:eastAsia="楷体_GB2312"/>
          <w:b/>
          <w:szCs w:val="40"/>
        </w:rPr>
      </w:pPr>
      <w:bookmarkStart w:id="47" w:name="_Toc111637901"/>
      <w:r>
        <w:rPr>
          <w:rFonts w:hint="eastAsia" w:eastAsia="楷体_GB2312"/>
          <w:b/>
          <w:szCs w:val="40"/>
        </w:rPr>
        <w:t>（一）款项支付规范性有待进一步</w:t>
      </w:r>
      <w:bookmarkEnd w:id="47"/>
      <w:r>
        <w:rPr>
          <w:rFonts w:hint="eastAsia" w:eastAsia="楷体_GB2312"/>
          <w:b/>
          <w:szCs w:val="40"/>
        </w:rPr>
        <w:t>提升</w:t>
      </w:r>
    </w:p>
    <w:p>
      <w:pPr>
        <w:ind w:firstLine="640"/>
      </w:pPr>
      <w:r>
        <w:rPr>
          <w:rFonts w:hint="eastAsia"/>
        </w:rPr>
        <w:t>经调研了解</w:t>
      </w:r>
      <w:r>
        <w:rPr>
          <w:rFonts w:hint="eastAsia" w:ascii="仿宋_GB2312"/>
        </w:rPr>
        <w:t>，</w:t>
      </w:r>
      <w:r>
        <w:rPr>
          <w:rFonts w:ascii="仿宋_GB2312"/>
        </w:rPr>
        <w:t>2021</w:t>
      </w:r>
      <w:r>
        <w:rPr>
          <w:rFonts w:hint="eastAsia"/>
        </w:rPr>
        <w:t>年“信息系统维护”项目部分款项未按照合同约定时限、约定支付方式付款，存在违约风险。</w:t>
      </w:r>
    </w:p>
    <w:p>
      <w:pPr>
        <w:ind w:firstLine="643"/>
        <w:rPr>
          <w:rFonts w:ascii="仿宋_GB2312"/>
        </w:rPr>
      </w:pPr>
      <w:r>
        <w:rPr>
          <w:rFonts w:hint="eastAsia"/>
          <w:b/>
          <w:bCs/>
        </w:rPr>
        <w:t>一是</w:t>
      </w:r>
      <w:r>
        <w:rPr>
          <w:rFonts w:hint="eastAsia"/>
        </w:rPr>
        <w:t>财务服务平台系统改造技术服务项目首期款未按照合同规定的十五个工作日进行支付。其中</w:t>
      </w:r>
      <w:r>
        <w:rPr>
          <w:rFonts w:hint="eastAsia" w:ascii="仿宋_GB2312"/>
        </w:rPr>
        <w:t>，合同签订日期为11月16日，而实际付款日期为12月20日，远超过十五个工作日。</w:t>
      </w:r>
    </w:p>
    <w:p>
      <w:pPr>
        <w:ind w:firstLine="643"/>
        <w:rPr>
          <w:rFonts w:ascii="仿宋_GB2312"/>
        </w:rPr>
      </w:pPr>
      <w:r>
        <w:rPr>
          <w:rFonts w:hint="eastAsia" w:ascii="仿宋_GB2312"/>
          <w:b/>
          <w:bCs/>
        </w:rPr>
        <w:t>二是</w:t>
      </w:r>
      <w:r>
        <w:rPr>
          <w:rFonts w:hint="eastAsia" w:ascii="仿宋_GB2312"/>
        </w:rPr>
        <w:t>在财务电算化系统运维服务项目中，</w:t>
      </w:r>
      <w:r>
        <w:rPr>
          <w:rFonts w:hint="eastAsia"/>
        </w:rPr>
        <w:t>合同规定需按月付款，每月支付北京中科江南信息技术股份有限公司</w:t>
      </w:r>
      <w:r>
        <w:rPr>
          <w:rFonts w:hint="eastAsia" w:ascii="仿宋_GB2312"/>
        </w:rPr>
        <w:t>28,000.00元。然而在2021年</w:t>
      </w:r>
      <w:r>
        <w:rPr>
          <w:rFonts w:ascii="仿宋_GB2312"/>
        </w:rPr>
        <w:t>3</w:t>
      </w:r>
      <w:r>
        <w:rPr>
          <w:rFonts w:hint="eastAsia" w:ascii="仿宋_GB2312"/>
        </w:rPr>
        <w:t>月记账</w:t>
      </w:r>
      <w:r>
        <w:rPr>
          <w:rFonts w:ascii="仿宋_GB2312"/>
        </w:rPr>
        <w:t>27</w:t>
      </w:r>
      <w:r>
        <w:rPr>
          <w:rFonts w:hint="eastAsia" w:ascii="仿宋_GB2312"/>
        </w:rPr>
        <w:t>号凭证中，于3月10日集中分三次开了一、二、三月的发票，并一同付款，凭证中无延迟付款的相关说明；在2021年</w:t>
      </w:r>
      <w:r>
        <w:rPr>
          <w:rFonts w:ascii="仿宋_GB2312"/>
        </w:rPr>
        <w:t>9</w:t>
      </w:r>
      <w:r>
        <w:rPr>
          <w:rFonts w:hint="eastAsia" w:ascii="仿宋_GB2312"/>
        </w:rPr>
        <w:t>月记账</w:t>
      </w:r>
      <w:r>
        <w:rPr>
          <w:rFonts w:ascii="仿宋_GB2312"/>
        </w:rPr>
        <w:t>46</w:t>
      </w:r>
      <w:r>
        <w:rPr>
          <w:rFonts w:hint="eastAsia" w:ascii="仿宋_GB2312"/>
        </w:rPr>
        <w:t>号凭证中，于9月15日集中分二次开了八、九月的发票，并一同付款，凭证中无延迟付款的相关说明。</w:t>
      </w:r>
    </w:p>
    <w:p>
      <w:pPr>
        <w:pStyle w:val="2"/>
        <w:ind w:firstLine="643"/>
        <w:rPr>
          <w:rFonts w:eastAsia="楷体_GB2312"/>
          <w:b/>
          <w:szCs w:val="40"/>
        </w:rPr>
      </w:pPr>
      <w:bookmarkStart w:id="48" w:name="_Toc111637902"/>
      <w:r>
        <w:rPr>
          <w:rFonts w:hint="eastAsia" w:eastAsia="楷体_GB2312"/>
          <w:b/>
          <w:szCs w:val="40"/>
        </w:rPr>
        <w:t>（二）档案管理规范性有待进一步提升</w:t>
      </w:r>
      <w:bookmarkEnd w:id="48"/>
    </w:p>
    <w:p>
      <w:pPr>
        <w:ind w:firstLine="640"/>
      </w:pPr>
      <w:r>
        <w:rPr>
          <w:rFonts w:hint="eastAsia"/>
        </w:rPr>
        <w:t>经调研了解，</w:t>
      </w:r>
      <w:r>
        <w:rPr>
          <w:rFonts w:hint="eastAsia" w:ascii="仿宋_GB2312"/>
        </w:rPr>
        <w:t>2021</w:t>
      </w:r>
      <w:r>
        <w:rPr>
          <w:rFonts w:hint="eastAsia"/>
        </w:rPr>
        <w:t>年“信息系统维护”项目在档案管理方面存在资料信息不一致、存档不完整的问题。</w:t>
      </w:r>
    </w:p>
    <w:p>
      <w:pPr>
        <w:ind w:firstLine="643"/>
      </w:pPr>
      <w:r>
        <w:rPr>
          <w:rFonts w:hint="eastAsia"/>
          <w:b/>
          <w:bCs/>
        </w:rPr>
        <w:t>一是</w:t>
      </w:r>
      <w:r>
        <w:rPr>
          <w:rFonts w:hint="eastAsia"/>
        </w:rPr>
        <w:t>在财务电算化系统运维服务项目中，中心需每月对供应商的履约情况进行验收，并按月填制履约验收单。中心</w:t>
      </w:r>
      <w:r>
        <w:rPr>
          <w:rFonts w:hint="eastAsia" w:ascii="仿宋_GB2312"/>
        </w:rPr>
        <w:t>2021年3月记账27号凭证中，附有1-</w:t>
      </w:r>
      <w:r>
        <w:rPr>
          <w:rFonts w:ascii="仿宋_GB2312"/>
        </w:rPr>
        <w:t>3</w:t>
      </w:r>
      <w:r>
        <w:rPr>
          <w:rFonts w:hint="eastAsia" w:ascii="仿宋_GB2312"/>
        </w:rPr>
        <w:t>月份的履约验收单，并且填有精确至月份的日期，然而在稽核部的存档材料中，1-</w:t>
      </w:r>
      <w:r>
        <w:rPr>
          <w:rFonts w:ascii="仿宋_GB2312"/>
        </w:rPr>
        <w:t>12</w:t>
      </w:r>
      <w:r>
        <w:rPr>
          <w:rFonts w:hint="eastAsia" w:ascii="仿宋_GB2312"/>
        </w:rPr>
        <w:t>月的履约验收单中均无验收日期。各验收材料间的逻辑一致性欠缺，并且验收材料不严谨，难以反映单位是否按时、按要求对服务项目进行有效验收。</w:t>
      </w:r>
    </w:p>
    <w:p>
      <w:pPr>
        <w:tabs>
          <w:tab w:val="left" w:pos="700"/>
        </w:tabs>
        <w:ind w:firstLine="643"/>
        <w:rPr>
          <w:color w:val="FF0000"/>
        </w:rPr>
      </w:pPr>
      <w:r>
        <w:rPr>
          <w:rFonts w:hint="eastAsia" w:ascii="仿宋_GB2312"/>
          <w:b/>
          <w:szCs w:val="40"/>
        </w:rPr>
        <w:t>二是</w:t>
      </w:r>
      <w:r>
        <w:rPr>
          <w:rFonts w:hint="eastAsia"/>
        </w:rPr>
        <w:t>中心现存材料仅为项目立项会议纪要、项目合同、合同审批单、法律意见书、验收单及报账材料，</w:t>
      </w:r>
      <w:r>
        <w:rPr>
          <w:rFonts w:hint="eastAsia"/>
          <w:color w:val="000000" w:themeColor="text1"/>
          <w14:textFill>
            <w14:solidFill>
              <w14:schemeClr w14:val="tx1"/>
            </w14:solidFill>
          </w14:textFill>
        </w:rPr>
        <w:t>而项目实施文件如系统培训材料等均未妥善存档。</w:t>
      </w:r>
    </w:p>
    <w:p>
      <w:pPr>
        <w:spacing w:line="600" w:lineRule="exact"/>
        <w:ind w:firstLine="640"/>
        <w:outlineLvl w:val="0"/>
        <w:rPr>
          <w:rFonts w:ascii="黑体" w:hAnsi="黑体" w:eastAsia="黑体"/>
        </w:rPr>
      </w:pPr>
      <w:bookmarkStart w:id="49" w:name="_Toc111637904"/>
      <w:r>
        <w:rPr>
          <w:rFonts w:hint="eastAsia" w:ascii="黑体" w:hAnsi="黑体" w:eastAsia="黑体"/>
        </w:rPr>
        <w:t>七、改进建议</w:t>
      </w:r>
      <w:bookmarkEnd w:id="49"/>
    </w:p>
    <w:p>
      <w:pPr>
        <w:pStyle w:val="2"/>
        <w:ind w:firstLine="643"/>
        <w:rPr>
          <w:rFonts w:eastAsia="楷体_GB2312"/>
          <w:b/>
          <w:szCs w:val="40"/>
        </w:rPr>
      </w:pPr>
      <w:bookmarkStart w:id="50" w:name="_Toc111637905"/>
      <w:r>
        <w:rPr>
          <w:rFonts w:hint="eastAsia" w:eastAsia="楷体_GB2312"/>
          <w:b/>
          <w:szCs w:val="40"/>
        </w:rPr>
        <w:t>（一）加强资金支付管理，</w:t>
      </w:r>
      <w:bookmarkEnd w:id="50"/>
      <w:r>
        <w:rPr>
          <w:rFonts w:hint="eastAsia" w:eastAsia="楷体_GB2312"/>
          <w:b/>
          <w:szCs w:val="40"/>
        </w:rPr>
        <w:t>规避违约风险</w:t>
      </w:r>
    </w:p>
    <w:p>
      <w:pPr>
        <w:tabs>
          <w:tab w:val="left" w:pos="700"/>
        </w:tabs>
        <w:ind w:firstLine="640"/>
      </w:pPr>
      <w:r>
        <w:rPr>
          <w:rFonts w:hint="eastAsia"/>
        </w:rPr>
        <w:t>建议在后续项目工作开展中，</w:t>
      </w:r>
      <w:r>
        <w:rPr>
          <w:rFonts w:hint="eastAsia" w:ascii="仿宋_GB2312" w:hAnsi="仿宋_GB2312" w:cs="仿宋_GB2312"/>
        </w:rPr>
        <w:t>项目经办人严格按照合同约定的支付期限、支付方式，提前准备经费支付申请及报销材料，及时开展报账审批程序，确保资金支付期限、支付方式符合合同约定。</w:t>
      </w:r>
    </w:p>
    <w:p>
      <w:pPr>
        <w:pStyle w:val="2"/>
        <w:ind w:firstLine="643"/>
        <w:rPr>
          <w:rFonts w:eastAsia="楷体_GB2312"/>
          <w:b/>
          <w:szCs w:val="40"/>
        </w:rPr>
      </w:pPr>
      <w:bookmarkStart w:id="51" w:name="_Toc111637906"/>
      <w:r>
        <w:rPr>
          <w:rFonts w:hint="eastAsia" w:eastAsia="楷体_GB2312"/>
          <w:b/>
          <w:szCs w:val="40"/>
        </w:rPr>
        <w:t>（二）</w:t>
      </w:r>
      <w:bookmarkEnd w:id="51"/>
      <w:r>
        <w:rPr>
          <w:rFonts w:hint="eastAsia" w:eastAsia="楷体_GB2312"/>
          <w:b/>
          <w:szCs w:val="40"/>
        </w:rPr>
        <w:t>加大档案规整力度，完整存档资料</w:t>
      </w:r>
    </w:p>
    <w:p>
      <w:pPr>
        <w:tabs>
          <w:tab w:val="left" w:pos="700"/>
        </w:tabs>
        <w:ind w:firstLine="640"/>
      </w:pPr>
      <w:r>
        <w:rPr>
          <w:rFonts w:hint="eastAsia"/>
        </w:rPr>
        <w:t>建议在后续项目工作开展中，项目责任部门及经办人强化留痕意识，及时收集整理项目采购过程、合同签订、项目实施、验收支付等各环节的相关材料，并妥善做好资料的存档工作，同时，在项目实施结束后，重复核查资料情况，查漏补缺，确保资料信息一致、存档完整。</w:t>
      </w:r>
    </w:p>
    <w:p>
      <w:pPr>
        <w:ind w:firstLine="640"/>
      </w:pPr>
    </w:p>
    <w:p>
      <w:pPr>
        <w:ind w:firstLine="640"/>
      </w:pPr>
    </w:p>
    <w:p>
      <w:pPr>
        <w:ind w:firstLine="640"/>
      </w:pPr>
      <w:r>
        <w:rPr>
          <w:rFonts w:hint="eastAsia"/>
        </w:rPr>
        <w:t>附件：</w:t>
      </w:r>
      <w:bookmarkStart w:id="52" w:name="_Hlk112720259"/>
      <w:r>
        <w:rPr>
          <w:rFonts w:hint="eastAsia"/>
        </w:rPr>
        <w:t>中心</w:t>
      </w:r>
      <w:r>
        <w:rPr>
          <w:rFonts w:ascii="仿宋_GB2312"/>
        </w:rPr>
        <w:t>2021</w:t>
      </w:r>
      <w:r>
        <w:rPr>
          <w:rFonts w:hint="eastAsia"/>
        </w:rPr>
        <w:t>年度信息系统维护项目支出绩效评价指标体系</w:t>
      </w:r>
      <w:bookmarkEnd w:id="52"/>
    </w:p>
    <w:p>
      <w:pPr>
        <w:widowControl/>
        <w:spacing w:line="240" w:lineRule="auto"/>
        <w:ind w:firstLine="0" w:firstLineChars="0"/>
        <w:jc w:val="left"/>
        <w:sectPr>
          <w:footerReference r:id="rId11" w:type="default"/>
          <w:pgSz w:w="11906" w:h="16838"/>
          <w:pgMar w:top="1440" w:right="1800" w:bottom="1440" w:left="1800" w:header="851" w:footer="992" w:gutter="0"/>
          <w:pgNumType w:start="1"/>
          <w:cols w:space="425" w:num="1"/>
          <w:docGrid w:type="lines" w:linePitch="312" w:charSpace="0"/>
        </w:sectPr>
      </w:pPr>
    </w:p>
    <w:tbl>
      <w:tblPr>
        <w:tblStyle w:val="14"/>
        <w:tblW w:w="5000" w:type="pct"/>
        <w:tblInd w:w="0" w:type="dxa"/>
        <w:tblLayout w:type="autofit"/>
        <w:tblCellMar>
          <w:top w:w="0" w:type="dxa"/>
          <w:left w:w="108" w:type="dxa"/>
          <w:bottom w:w="0" w:type="dxa"/>
          <w:right w:w="108" w:type="dxa"/>
        </w:tblCellMar>
      </w:tblPr>
      <w:tblGrid>
        <w:gridCol w:w="708"/>
        <w:gridCol w:w="708"/>
        <w:gridCol w:w="709"/>
        <w:gridCol w:w="709"/>
        <w:gridCol w:w="1256"/>
        <w:gridCol w:w="754"/>
        <w:gridCol w:w="2441"/>
        <w:gridCol w:w="4950"/>
        <w:gridCol w:w="859"/>
        <w:gridCol w:w="1080"/>
      </w:tblGrid>
      <w:tr>
        <w:tblPrEx>
          <w:tblCellMar>
            <w:top w:w="0" w:type="dxa"/>
            <w:left w:w="108" w:type="dxa"/>
            <w:bottom w:w="0" w:type="dxa"/>
            <w:right w:w="108" w:type="dxa"/>
          </w:tblCellMar>
        </w:tblPrEx>
        <w:trPr>
          <w:trHeight w:val="960" w:hRule="atLeast"/>
        </w:trPr>
        <w:tc>
          <w:tcPr>
            <w:tcW w:w="5000" w:type="pct"/>
            <w:gridSpan w:val="10"/>
            <w:tcBorders>
              <w:left w:val="nil"/>
              <w:bottom w:val="single" w:color="auto" w:sz="4" w:space="0"/>
            </w:tcBorders>
            <w:shd w:val="clear" w:color="auto" w:fill="auto"/>
            <w:noWrap/>
            <w:vAlign w:val="center"/>
          </w:tcPr>
          <w:p>
            <w:pPr>
              <w:spacing w:line="600" w:lineRule="exact"/>
              <w:ind w:firstLine="640"/>
              <w:outlineLvl w:val="0"/>
              <w:rPr>
                <w:rFonts w:ascii="黑体" w:hAnsi="黑体" w:eastAsia="黑体" w:cs="宋体"/>
                <w:color w:val="000000"/>
                <w:kern w:val="0"/>
                <w:szCs w:val="32"/>
              </w:rPr>
            </w:pPr>
            <w:r>
              <w:rPr>
                <w:rFonts w:hint="eastAsia" w:ascii="黑体" w:hAnsi="黑体" w:eastAsia="黑体"/>
              </w:rPr>
              <w:t>附件：</w:t>
            </w:r>
            <w:r>
              <w:rPr>
                <w:rFonts w:ascii="黑体" w:hAnsi="黑体" w:eastAsia="黑体"/>
              </w:rPr>
              <w:t xml:space="preserve">  </w:t>
            </w:r>
            <w:r>
              <w:rPr>
                <w:rFonts w:ascii="黑体" w:hAnsi="黑体" w:eastAsia="黑体" w:cs="宋体"/>
                <w:color w:val="000000"/>
                <w:kern w:val="0"/>
                <w:szCs w:val="32"/>
              </w:rPr>
              <w:t xml:space="preserve">            </w:t>
            </w:r>
          </w:p>
          <w:p>
            <w:pPr>
              <w:widowControl/>
              <w:spacing w:line="240" w:lineRule="auto"/>
              <w:ind w:firstLine="0" w:firstLineChars="0"/>
              <w:jc w:val="center"/>
              <w:rPr>
                <w:rFonts w:ascii="方正小标宋简体" w:hAnsi="Times New Roman" w:eastAsia="方正小标宋简体" w:cs="Times New Roman"/>
                <w:kern w:val="0"/>
                <w:szCs w:val="32"/>
              </w:rPr>
            </w:pPr>
            <w:r>
              <w:rPr>
                <w:rFonts w:hint="eastAsia" w:ascii="方正小标宋简体" w:hAnsi="宋体" w:eastAsia="方正小标宋简体" w:cs="宋体"/>
                <w:color w:val="000000"/>
                <w:kern w:val="0"/>
                <w:szCs w:val="32"/>
              </w:rPr>
              <w:t>中心</w:t>
            </w:r>
            <w:r>
              <w:rPr>
                <w:rFonts w:ascii="方正小标宋简体" w:hAnsi="宋体" w:eastAsia="方正小标宋简体" w:cs="宋体"/>
                <w:color w:val="000000"/>
                <w:kern w:val="0"/>
                <w:szCs w:val="32"/>
              </w:rPr>
              <w:t>2021年度信息系统维护</w:t>
            </w:r>
            <w:r>
              <w:rPr>
                <w:rFonts w:hint="eastAsia" w:ascii="方正小标宋简体" w:hAnsi="宋体" w:eastAsia="方正小标宋简体" w:cs="宋体"/>
                <w:color w:val="000000"/>
                <w:kern w:val="0"/>
                <w:szCs w:val="32"/>
              </w:rPr>
              <w:t>项目支出绩效评价指标体系</w:t>
            </w:r>
          </w:p>
        </w:tc>
      </w:tr>
      <w:tr>
        <w:tblPrEx>
          <w:tblCellMar>
            <w:top w:w="0" w:type="dxa"/>
            <w:left w:w="108" w:type="dxa"/>
            <w:bottom w:w="0" w:type="dxa"/>
            <w:right w:w="108" w:type="dxa"/>
          </w:tblCellMar>
        </w:tblPrEx>
        <w:trPr>
          <w:trHeight w:val="540" w:hRule="atLeast"/>
        </w:trPr>
        <w:tc>
          <w:tcPr>
            <w:tcW w:w="499" w:type="pct"/>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noWrap/>
            <w:vAlign w:val="center"/>
          </w:tcPr>
          <w:p>
            <w:pPr>
              <w:widowControl/>
              <w:spacing w:line="240" w:lineRule="auto"/>
              <w:ind w:firstLine="0" w:firstLineChars="0"/>
              <w:jc w:val="center"/>
              <w:rPr>
                <w:rFonts w:ascii="仿宋_GB2312" w:hAnsi="宋体" w:cs="宋体"/>
                <w:b/>
                <w:bCs/>
                <w:kern w:val="0"/>
                <w:sz w:val="21"/>
                <w:szCs w:val="21"/>
              </w:rPr>
            </w:pPr>
            <w:r>
              <w:rPr>
                <w:rFonts w:hint="eastAsia" w:ascii="仿宋_GB2312" w:hAnsi="宋体" w:cs="宋体"/>
                <w:b/>
                <w:bCs/>
                <w:kern w:val="0"/>
                <w:sz w:val="21"/>
                <w:szCs w:val="21"/>
              </w:rPr>
              <w:t>一级指标</w:t>
            </w:r>
          </w:p>
        </w:tc>
        <w:tc>
          <w:tcPr>
            <w:tcW w:w="500" w:type="pct"/>
            <w:gridSpan w:val="2"/>
            <w:tcBorders>
              <w:top w:val="single" w:color="auto" w:sz="4" w:space="0"/>
              <w:left w:val="nil"/>
              <w:bottom w:val="single" w:color="auto" w:sz="4" w:space="0"/>
              <w:right w:val="single" w:color="auto" w:sz="4" w:space="0"/>
            </w:tcBorders>
            <w:shd w:val="clear" w:color="auto" w:fill="D0CECE" w:themeFill="background2" w:themeFillShade="E6"/>
            <w:noWrap/>
            <w:vAlign w:val="center"/>
          </w:tcPr>
          <w:p>
            <w:pPr>
              <w:widowControl/>
              <w:spacing w:line="240" w:lineRule="auto"/>
              <w:ind w:firstLine="0" w:firstLineChars="0"/>
              <w:jc w:val="center"/>
              <w:rPr>
                <w:rFonts w:ascii="仿宋_GB2312" w:hAnsi="宋体" w:cs="宋体"/>
                <w:b/>
                <w:bCs/>
                <w:kern w:val="0"/>
                <w:sz w:val="21"/>
                <w:szCs w:val="21"/>
              </w:rPr>
            </w:pPr>
            <w:r>
              <w:rPr>
                <w:rFonts w:hint="eastAsia" w:ascii="仿宋_GB2312" w:hAnsi="宋体" w:cs="宋体"/>
                <w:b/>
                <w:bCs/>
                <w:kern w:val="0"/>
                <w:sz w:val="21"/>
                <w:szCs w:val="21"/>
              </w:rPr>
              <w:t>二级指标</w:t>
            </w:r>
          </w:p>
        </w:tc>
        <w:tc>
          <w:tcPr>
            <w:tcW w:w="709" w:type="pct"/>
            <w:gridSpan w:val="2"/>
            <w:tcBorders>
              <w:top w:val="single" w:color="auto" w:sz="4" w:space="0"/>
              <w:left w:val="nil"/>
              <w:bottom w:val="single" w:color="auto" w:sz="4" w:space="0"/>
              <w:right w:val="single" w:color="auto" w:sz="4" w:space="0"/>
            </w:tcBorders>
            <w:shd w:val="clear" w:color="auto" w:fill="D0CECE" w:themeFill="background2" w:themeFillShade="E6"/>
            <w:noWrap/>
            <w:vAlign w:val="center"/>
          </w:tcPr>
          <w:p>
            <w:pPr>
              <w:widowControl/>
              <w:spacing w:line="240" w:lineRule="auto"/>
              <w:ind w:firstLine="0" w:firstLineChars="0"/>
              <w:jc w:val="center"/>
              <w:rPr>
                <w:rFonts w:ascii="仿宋_GB2312" w:hAnsi="宋体" w:cs="宋体"/>
                <w:b/>
                <w:bCs/>
                <w:kern w:val="0"/>
                <w:sz w:val="21"/>
                <w:szCs w:val="21"/>
              </w:rPr>
            </w:pPr>
            <w:r>
              <w:rPr>
                <w:rFonts w:hint="eastAsia" w:ascii="仿宋_GB2312" w:hAnsi="宋体" w:cs="宋体"/>
                <w:b/>
                <w:bCs/>
                <w:kern w:val="0"/>
                <w:sz w:val="21"/>
                <w:szCs w:val="21"/>
              </w:rPr>
              <w:t>三级指标</w:t>
            </w:r>
          </w:p>
        </w:tc>
        <w:tc>
          <w:tcPr>
            <w:tcW w:w="861" w:type="pct"/>
            <w:vMerge w:val="restar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spacing w:line="240" w:lineRule="auto"/>
              <w:ind w:firstLine="0" w:firstLineChars="0"/>
              <w:jc w:val="center"/>
              <w:rPr>
                <w:rFonts w:ascii="仿宋_GB2312" w:hAnsi="宋体" w:cs="宋体"/>
                <w:b/>
                <w:bCs/>
                <w:kern w:val="0"/>
                <w:sz w:val="21"/>
                <w:szCs w:val="21"/>
              </w:rPr>
            </w:pPr>
            <w:r>
              <w:rPr>
                <w:rFonts w:hint="eastAsia" w:ascii="仿宋_GB2312" w:hAnsi="宋体" w:cs="宋体"/>
                <w:b/>
                <w:bCs/>
                <w:kern w:val="0"/>
                <w:sz w:val="21"/>
                <w:szCs w:val="21"/>
              </w:rPr>
              <w:t>指标解释</w:t>
            </w:r>
          </w:p>
        </w:tc>
        <w:tc>
          <w:tcPr>
            <w:tcW w:w="1746" w:type="pct"/>
            <w:vMerge w:val="restar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spacing w:line="240" w:lineRule="auto"/>
              <w:ind w:firstLine="0" w:firstLineChars="0"/>
              <w:jc w:val="center"/>
              <w:rPr>
                <w:rFonts w:ascii="仿宋_GB2312" w:hAnsi="宋体" w:cs="宋体"/>
                <w:b/>
                <w:bCs/>
                <w:kern w:val="0"/>
                <w:sz w:val="21"/>
                <w:szCs w:val="21"/>
              </w:rPr>
            </w:pPr>
            <w:r>
              <w:rPr>
                <w:rFonts w:hint="eastAsia" w:ascii="仿宋_GB2312" w:hAnsi="宋体" w:cs="宋体"/>
                <w:b/>
                <w:bCs/>
                <w:kern w:val="0"/>
                <w:sz w:val="21"/>
                <w:szCs w:val="21"/>
              </w:rPr>
              <w:t>评分标准</w:t>
            </w:r>
          </w:p>
        </w:tc>
        <w:tc>
          <w:tcPr>
            <w:tcW w:w="303" w:type="pct"/>
            <w:vMerge w:val="restar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spacing w:line="240" w:lineRule="auto"/>
              <w:ind w:firstLine="0" w:firstLineChars="0"/>
              <w:jc w:val="center"/>
              <w:rPr>
                <w:rFonts w:ascii="仿宋_GB2312" w:hAnsi="宋体" w:cs="宋体"/>
                <w:b/>
                <w:bCs/>
                <w:kern w:val="0"/>
                <w:sz w:val="21"/>
                <w:szCs w:val="21"/>
              </w:rPr>
            </w:pPr>
            <w:r>
              <w:rPr>
                <w:rFonts w:hint="eastAsia" w:ascii="仿宋_GB2312" w:hAnsi="宋体" w:cs="宋体"/>
                <w:b/>
                <w:bCs/>
                <w:kern w:val="0"/>
                <w:sz w:val="21"/>
                <w:szCs w:val="21"/>
              </w:rPr>
              <w:t>得分</w:t>
            </w:r>
          </w:p>
        </w:tc>
        <w:tc>
          <w:tcPr>
            <w:tcW w:w="381" w:type="pct"/>
            <w:vMerge w:val="restar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pPr>
              <w:widowControl/>
              <w:spacing w:line="240" w:lineRule="auto"/>
              <w:ind w:firstLine="0" w:firstLineChars="0"/>
              <w:jc w:val="center"/>
              <w:rPr>
                <w:rFonts w:ascii="仿宋_GB2312" w:hAnsi="宋体" w:cs="宋体"/>
                <w:b/>
                <w:bCs/>
                <w:kern w:val="0"/>
                <w:sz w:val="21"/>
                <w:szCs w:val="21"/>
              </w:rPr>
            </w:pPr>
            <w:r>
              <w:rPr>
                <w:rFonts w:hint="eastAsia" w:ascii="仿宋_GB2312" w:hAnsi="宋体" w:cs="宋体"/>
                <w:b/>
                <w:bCs/>
                <w:kern w:val="0"/>
                <w:sz w:val="21"/>
                <w:szCs w:val="21"/>
              </w:rPr>
              <w:t>备注</w:t>
            </w:r>
          </w:p>
        </w:tc>
      </w:tr>
      <w:tr>
        <w:tblPrEx>
          <w:tblCellMar>
            <w:top w:w="0" w:type="dxa"/>
            <w:left w:w="108" w:type="dxa"/>
            <w:bottom w:w="0" w:type="dxa"/>
            <w:right w:w="108" w:type="dxa"/>
          </w:tblCellMar>
        </w:tblPrEx>
        <w:trPr>
          <w:trHeight w:val="640" w:hRule="atLeast"/>
        </w:trPr>
        <w:tc>
          <w:tcPr>
            <w:tcW w:w="250" w:type="pct"/>
            <w:tcBorders>
              <w:top w:val="single" w:color="auto" w:sz="4" w:space="0"/>
              <w:left w:val="single" w:color="auto" w:sz="4" w:space="0"/>
              <w:bottom w:val="single" w:color="auto" w:sz="4" w:space="0"/>
              <w:right w:val="single" w:color="auto" w:sz="4" w:space="0"/>
            </w:tcBorders>
            <w:shd w:val="clear" w:color="auto" w:fill="D0CECE" w:themeFill="background2" w:themeFillShade="E6"/>
            <w:noWrap/>
            <w:vAlign w:val="center"/>
          </w:tcPr>
          <w:p>
            <w:pPr>
              <w:widowControl/>
              <w:spacing w:line="240" w:lineRule="auto"/>
              <w:ind w:firstLine="0" w:firstLineChars="0"/>
              <w:jc w:val="center"/>
              <w:rPr>
                <w:rFonts w:ascii="仿宋_GB2312" w:hAnsi="宋体" w:cs="宋体"/>
                <w:b/>
                <w:bCs/>
                <w:kern w:val="0"/>
                <w:sz w:val="21"/>
                <w:szCs w:val="21"/>
              </w:rPr>
            </w:pPr>
            <w:r>
              <w:rPr>
                <w:rFonts w:hint="eastAsia" w:ascii="仿宋_GB2312" w:hAnsi="宋体" w:cs="宋体"/>
                <w:b/>
                <w:bCs/>
                <w:kern w:val="0"/>
                <w:sz w:val="21"/>
                <w:szCs w:val="21"/>
              </w:rPr>
              <w:t>名称</w:t>
            </w:r>
          </w:p>
        </w:tc>
        <w:tc>
          <w:tcPr>
            <w:tcW w:w="250" w:type="pct"/>
            <w:tcBorders>
              <w:top w:val="single" w:color="auto" w:sz="4" w:space="0"/>
              <w:left w:val="nil"/>
              <w:bottom w:val="single" w:color="auto" w:sz="4" w:space="0"/>
              <w:right w:val="single" w:color="auto" w:sz="4" w:space="0"/>
            </w:tcBorders>
            <w:shd w:val="clear" w:color="auto" w:fill="D0CECE" w:themeFill="background2" w:themeFillShade="E6"/>
            <w:noWrap/>
            <w:vAlign w:val="center"/>
          </w:tcPr>
          <w:p>
            <w:pPr>
              <w:widowControl/>
              <w:spacing w:line="240" w:lineRule="auto"/>
              <w:ind w:firstLine="0" w:firstLineChars="0"/>
              <w:jc w:val="center"/>
              <w:rPr>
                <w:rFonts w:ascii="仿宋_GB2312" w:hAnsi="宋体" w:cs="宋体"/>
                <w:b/>
                <w:bCs/>
                <w:kern w:val="0"/>
                <w:sz w:val="21"/>
                <w:szCs w:val="21"/>
              </w:rPr>
            </w:pPr>
            <w:r>
              <w:rPr>
                <w:rFonts w:hint="eastAsia" w:ascii="仿宋_GB2312" w:hAnsi="宋体" w:cs="宋体"/>
                <w:b/>
                <w:bCs/>
                <w:kern w:val="0"/>
                <w:sz w:val="21"/>
                <w:szCs w:val="21"/>
              </w:rPr>
              <w:t>权重</w:t>
            </w:r>
          </w:p>
        </w:tc>
        <w:tc>
          <w:tcPr>
            <w:tcW w:w="250" w:type="pct"/>
            <w:tcBorders>
              <w:top w:val="single" w:color="auto" w:sz="4" w:space="0"/>
              <w:left w:val="nil"/>
              <w:bottom w:val="single" w:color="auto" w:sz="4" w:space="0"/>
              <w:right w:val="single" w:color="auto" w:sz="4" w:space="0"/>
            </w:tcBorders>
            <w:shd w:val="clear" w:color="auto" w:fill="D0CECE" w:themeFill="background2" w:themeFillShade="E6"/>
            <w:noWrap/>
            <w:vAlign w:val="center"/>
          </w:tcPr>
          <w:p>
            <w:pPr>
              <w:widowControl/>
              <w:spacing w:line="240" w:lineRule="auto"/>
              <w:ind w:firstLine="0" w:firstLineChars="0"/>
              <w:jc w:val="center"/>
              <w:rPr>
                <w:rFonts w:ascii="仿宋_GB2312" w:hAnsi="宋体" w:cs="宋体"/>
                <w:b/>
                <w:bCs/>
                <w:kern w:val="0"/>
                <w:sz w:val="21"/>
                <w:szCs w:val="21"/>
              </w:rPr>
            </w:pPr>
            <w:r>
              <w:rPr>
                <w:rFonts w:hint="eastAsia" w:ascii="仿宋_GB2312" w:hAnsi="宋体" w:cs="宋体"/>
                <w:b/>
                <w:bCs/>
                <w:kern w:val="0"/>
                <w:sz w:val="21"/>
                <w:szCs w:val="21"/>
              </w:rPr>
              <w:t>名称</w:t>
            </w:r>
          </w:p>
        </w:tc>
        <w:tc>
          <w:tcPr>
            <w:tcW w:w="250" w:type="pct"/>
            <w:tcBorders>
              <w:top w:val="single" w:color="auto" w:sz="4" w:space="0"/>
              <w:left w:val="nil"/>
              <w:bottom w:val="single" w:color="auto" w:sz="4" w:space="0"/>
              <w:right w:val="single" w:color="auto" w:sz="4" w:space="0"/>
            </w:tcBorders>
            <w:shd w:val="clear" w:color="auto" w:fill="D0CECE" w:themeFill="background2" w:themeFillShade="E6"/>
            <w:noWrap/>
            <w:vAlign w:val="center"/>
          </w:tcPr>
          <w:p>
            <w:pPr>
              <w:widowControl/>
              <w:spacing w:line="240" w:lineRule="auto"/>
              <w:ind w:firstLine="0" w:firstLineChars="0"/>
              <w:jc w:val="center"/>
              <w:rPr>
                <w:rFonts w:ascii="仿宋_GB2312" w:hAnsi="宋体" w:cs="宋体"/>
                <w:b/>
                <w:bCs/>
                <w:kern w:val="0"/>
                <w:sz w:val="21"/>
                <w:szCs w:val="21"/>
              </w:rPr>
            </w:pPr>
            <w:r>
              <w:rPr>
                <w:rFonts w:hint="eastAsia" w:ascii="仿宋_GB2312" w:hAnsi="宋体" w:cs="宋体"/>
                <w:b/>
                <w:bCs/>
                <w:kern w:val="0"/>
                <w:sz w:val="21"/>
                <w:szCs w:val="21"/>
              </w:rPr>
              <w:t>权重</w:t>
            </w:r>
          </w:p>
        </w:tc>
        <w:tc>
          <w:tcPr>
            <w:tcW w:w="443" w:type="pct"/>
            <w:tcBorders>
              <w:top w:val="single" w:color="auto" w:sz="4" w:space="0"/>
              <w:left w:val="nil"/>
              <w:bottom w:val="single" w:color="auto" w:sz="4" w:space="0"/>
              <w:right w:val="single" w:color="auto" w:sz="4" w:space="0"/>
            </w:tcBorders>
            <w:shd w:val="clear" w:color="auto" w:fill="D0CECE" w:themeFill="background2" w:themeFillShade="E6"/>
            <w:noWrap/>
            <w:vAlign w:val="center"/>
          </w:tcPr>
          <w:p>
            <w:pPr>
              <w:widowControl/>
              <w:spacing w:line="240" w:lineRule="auto"/>
              <w:ind w:firstLine="0" w:firstLineChars="0"/>
              <w:jc w:val="center"/>
              <w:rPr>
                <w:rFonts w:ascii="仿宋_GB2312" w:hAnsi="宋体" w:cs="宋体"/>
                <w:b/>
                <w:bCs/>
                <w:kern w:val="0"/>
                <w:sz w:val="21"/>
                <w:szCs w:val="21"/>
              </w:rPr>
            </w:pPr>
            <w:r>
              <w:rPr>
                <w:rFonts w:hint="eastAsia" w:ascii="仿宋_GB2312" w:hAnsi="宋体" w:cs="宋体"/>
                <w:b/>
                <w:bCs/>
                <w:kern w:val="0"/>
                <w:sz w:val="21"/>
                <w:szCs w:val="21"/>
              </w:rPr>
              <w:t>名称</w:t>
            </w:r>
          </w:p>
        </w:tc>
        <w:tc>
          <w:tcPr>
            <w:tcW w:w="266" w:type="pct"/>
            <w:tcBorders>
              <w:top w:val="single" w:color="auto" w:sz="4" w:space="0"/>
              <w:left w:val="nil"/>
              <w:bottom w:val="single" w:color="auto" w:sz="4" w:space="0"/>
              <w:right w:val="single" w:color="auto" w:sz="4" w:space="0"/>
            </w:tcBorders>
            <w:shd w:val="clear" w:color="auto" w:fill="D0CECE" w:themeFill="background2" w:themeFillShade="E6"/>
            <w:noWrap/>
            <w:vAlign w:val="center"/>
          </w:tcPr>
          <w:p>
            <w:pPr>
              <w:widowControl/>
              <w:spacing w:line="240" w:lineRule="auto"/>
              <w:ind w:firstLine="0" w:firstLineChars="0"/>
              <w:jc w:val="center"/>
              <w:rPr>
                <w:rFonts w:ascii="仿宋_GB2312" w:hAnsi="宋体" w:cs="宋体"/>
                <w:b/>
                <w:bCs/>
                <w:kern w:val="0"/>
                <w:sz w:val="21"/>
                <w:szCs w:val="21"/>
              </w:rPr>
            </w:pPr>
            <w:r>
              <w:rPr>
                <w:rFonts w:hint="eastAsia" w:ascii="仿宋_GB2312" w:hAnsi="宋体" w:cs="宋体"/>
                <w:b/>
                <w:bCs/>
                <w:kern w:val="0"/>
                <w:sz w:val="21"/>
                <w:szCs w:val="21"/>
              </w:rPr>
              <w:t>权重</w:t>
            </w:r>
          </w:p>
        </w:tc>
        <w:tc>
          <w:tcPr>
            <w:tcW w:w="86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b/>
                <w:bCs/>
                <w:kern w:val="0"/>
                <w:sz w:val="21"/>
                <w:szCs w:val="21"/>
              </w:rPr>
            </w:pPr>
          </w:p>
        </w:tc>
        <w:tc>
          <w:tcPr>
            <w:tcW w:w="174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b/>
                <w:bCs/>
                <w:kern w:val="0"/>
                <w:sz w:val="21"/>
                <w:szCs w:val="21"/>
              </w:rPr>
            </w:pPr>
          </w:p>
        </w:tc>
        <w:tc>
          <w:tcPr>
            <w:tcW w:w="30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b/>
                <w:bCs/>
                <w:kern w:val="0"/>
                <w:sz w:val="21"/>
                <w:szCs w:val="21"/>
              </w:rPr>
            </w:pPr>
          </w:p>
        </w:tc>
        <w:tc>
          <w:tcPr>
            <w:tcW w:w="38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b/>
                <w:bCs/>
                <w:kern w:val="0"/>
                <w:sz w:val="21"/>
                <w:szCs w:val="21"/>
              </w:rPr>
            </w:pPr>
          </w:p>
        </w:tc>
      </w:tr>
      <w:tr>
        <w:tblPrEx>
          <w:tblCellMar>
            <w:top w:w="0" w:type="dxa"/>
            <w:left w:w="108" w:type="dxa"/>
            <w:bottom w:w="0" w:type="dxa"/>
            <w:right w:w="108" w:type="dxa"/>
          </w:tblCellMar>
        </w:tblPrEx>
        <w:trPr>
          <w:trHeight w:val="1880" w:hRule="atLeast"/>
        </w:trPr>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项目决策</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20</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项目立项</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6</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立项依据充分性</w:t>
            </w:r>
          </w:p>
        </w:tc>
        <w:tc>
          <w:tcPr>
            <w:tcW w:w="26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项目立项是否符合法律法规、相关政策、发展规划以及部门职责，用以反映和考核项目立项依据情况。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①项目立项符合国家法律法规、国民经济发展规划和相关政策，得1分。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②项目立项符合行业发展规划和政策要求，得1分。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③项目立项与部门职责范围相符，属于部门履职所需，得1分。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④项目属于公共财政支持范围，符合中央、地方事权支出责任划分原则，得1分。</w:t>
            </w:r>
          </w:p>
        </w:tc>
        <w:tc>
          <w:tcPr>
            <w:tcW w:w="30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p>
        </w:tc>
      </w:tr>
      <w:tr>
        <w:tblPrEx>
          <w:tblCellMar>
            <w:top w:w="0" w:type="dxa"/>
            <w:left w:w="108" w:type="dxa"/>
            <w:bottom w:w="0" w:type="dxa"/>
            <w:right w:w="108" w:type="dxa"/>
          </w:tblCellMar>
        </w:tblPrEx>
        <w:trPr>
          <w:trHeight w:val="150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立项程序规范性</w:t>
            </w:r>
          </w:p>
        </w:tc>
        <w:tc>
          <w:tcPr>
            <w:tcW w:w="26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2</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项目申请、设立过程是否符合相关要求，用以反映和考核项目立项的规范情况。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①项目按照规定的程序申请设立，审批文件、材料符合相关要求，得1分。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②事前已经过必要的可行性研究、专家论证、风险评估、绩效评估、</w:t>
            </w:r>
            <w:r>
              <w:rPr>
                <w:rFonts w:ascii="仿宋_GB2312" w:hAnsi="Times New Roman" w:cs="Times New Roman"/>
                <w:color w:val="000000"/>
                <w:kern w:val="0"/>
                <w:sz w:val="21"/>
                <w:szCs w:val="21"/>
              </w:rPr>
              <w:t xml:space="preserve"> </w:t>
            </w:r>
            <w:r>
              <w:rPr>
                <w:rFonts w:hint="eastAsia" w:ascii="仿宋_GB2312" w:hAnsi="Times New Roman" w:cs="Times New Roman"/>
                <w:color w:val="000000"/>
                <w:kern w:val="0"/>
                <w:sz w:val="21"/>
                <w:szCs w:val="21"/>
              </w:rPr>
              <w:t>集体决策，得1分。</w:t>
            </w:r>
          </w:p>
        </w:tc>
        <w:tc>
          <w:tcPr>
            <w:tcW w:w="30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2</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p>
        </w:tc>
      </w:tr>
      <w:tr>
        <w:tblPrEx>
          <w:tblCellMar>
            <w:top w:w="0" w:type="dxa"/>
            <w:left w:w="108" w:type="dxa"/>
            <w:bottom w:w="0" w:type="dxa"/>
            <w:right w:w="108" w:type="dxa"/>
          </w:tblCellMar>
        </w:tblPrEx>
        <w:trPr>
          <w:trHeight w:val="157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绩效目标</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8</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绩效目标合理性</w:t>
            </w:r>
          </w:p>
        </w:tc>
        <w:tc>
          <w:tcPr>
            <w:tcW w:w="26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项目所设定的绩效目标是否依据充分，是否符合客观实际，用以反映和考核项目绩效目标与项目实施的相符情况。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①项目设定年度绩效目标，得1分。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②项目绩效目标与实际工作内容具有相关性，得1分。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③项目预期产出效益和效果符合正常的业绩水平，得1分。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④项目绩效目标与预算确定的项目投资额或资金量相匹配，得1分。</w:t>
            </w:r>
          </w:p>
        </w:tc>
        <w:tc>
          <w:tcPr>
            <w:tcW w:w="30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p>
        </w:tc>
      </w:tr>
      <w:tr>
        <w:tblPrEx>
          <w:tblCellMar>
            <w:top w:w="0" w:type="dxa"/>
            <w:left w:w="108" w:type="dxa"/>
            <w:bottom w:w="0" w:type="dxa"/>
            <w:right w:w="108" w:type="dxa"/>
          </w:tblCellMar>
        </w:tblPrEx>
        <w:trPr>
          <w:trHeight w:val="158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绩效指标明确性</w:t>
            </w:r>
          </w:p>
        </w:tc>
        <w:tc>
          <w:tcPr>
            <w:tcW w:w="26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依据绩效目标设定的绩效指标是否清晰、细化、可衡量等，用以反映和考核项目绩效目标的明细化情况。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①将项目绩效目标细化分解为具体的绩效指标，得1分。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 xml:space="preserve">②绩效指标通过清晰、可衡量的指标值予以体现，得1分。 </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③绩效指标与项目目标任务数或计划数相对应，得1分。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④绩效指标完整、科学、可衡量，得1分。</w:t>
            </w:r>
          </w:p>
        </w:tc>
        <w:tc>
          <w:tcPr>
            <w:tcW w:w="30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p>
        </w:tc>
      </w:tr>
      <w:tr>
        <w:tblPrEx>
          <w:tblCellMar>
            <w:top w:w="0" w:type="dxa"/>
            <w:left w:w="108" w:type="dxa"/>
            <w:bottom w:w="0" w:type="dxa"/>
            <w:right w:w="108" w:type="dxa"/>
          </w:tblCellMar>
        </w:tblPrEx>
        <w:trPr>
          <w:trHeight w:val="702"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资金投入</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6</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预算编制科学性</w:t>
            </w:r>
          </w:p>
        </w:tc>
        <w:tc>
          <w:tcPr>
            <w:tcW w:w="26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项目预算编制是否经过科学论证、有明确标准，资金额度与年度目标是否相适应，用以反映和考核项目预算编制的科学性、合理性情况。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①预算编制经过科学论证，得1分。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②预算内容与项目内容匹配；，得1分。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③预算额度测算依据充分，按照标准编制，得1分。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④预算确定的项目投资额或资金量与工作任务相匹配，得1分。</w:t>
            </w:r>
          </w:p>
        </w:tc>
        <w:tc>
          <w:tcPr>
            <w:tcW w:w="30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p>
        </w:tc>
      </w:tr>
      <w:tr>
        <w:tblPrEx>
          <w:tblCellMar>
            <w:top w:w="0" w:type="dxa"/>
            <w:left w:w="108" w:type="dxa"/>
            <w:bottom w:w="0" w:type="dxa"/>
            <w:right w:w="108" w:type="dxa"/>
          </w:tblCellMar>
        </w:tblPrEx>
        <w:trPr>
          <w:trHeight w:val="155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资金分配合理性</w:t>
            </w:r>
          </w:p>
        </w:tc>
        <w:tc>
          <w:tcPr>
            <w:tcW w:w="26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2</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项目预算资金分配是否有测算依据，与补助单位或地方实际是否相适应，用以反映和考核项目预算资金分配的科学性、合理性情况。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 xml:space="preserve">①预算资金分配依据充分，体现厉行节约从严从紧安排的导向，得1分。 </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②资金分配额度合理，与项目单位相适应，得1分。</w:t>
            </w:r>
          </w:p>
        </w:tc>
        <w:tc>
          <w:tcPr>
            <w:tcW w:w="30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2</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　</w:t>
            </w:r>
          </w:p>
        </w:tc>
      </w:tr>
      <w:tr>
        <w:tblPrEx>
          <w:tblCellMar>
            <w:top w:w="0" w:type="dxa"/>
            <w:left w:w="108" w:type="dxa"/>
            <w:bottom w:w="0" w:type="dxa"/>
            <w:right w:w="108" w:type="dxa"/>
          </w:tblCellMar>
        </w:tblPrEx>
        <w:trPr>
          <w:trHeight w:val="2070" w:hRule="atLeast"/>
        </w:trPr>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项目过程</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20</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资金管理</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12</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资金到位率</w:t>
            </w:r>
          </w:p>
        </w:tc>
        <w:tc>
          <w:tcPr>
            <w:tcW w:w="26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实际到位资金与预算资金的比率，用以反映和考核资金落实情况对项目实施的总体保障程度。</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本指标得分=本指标满分值*资金到位率</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资金到位率=（实际到位资金/预算资金）*100%</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 xml:space="preserve">实际到位资金：一定时期（本年度或项目期）内落实到具体项目的资金。 </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预算资金：一定时期（本年度或项目期）内预算安排到具体项目的资金。</w:t>
            </w:r>
          </w:p>
        </w:tc>
        <w:tc>
          <w:tcPr>
            <w:tcW w:w="30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　</w:t>
            </w:r>
          </w:p>
        </w:tc>
      </w:tr>
      <w:tr>
        <w:tblPrEx>
          <w:tblCellMar>
            <w:top w:w="0" w:type="dxa"/>
            <w:left w:w="108" w:type="dxa"/>
            <w:bottom w:w="0" w:type="dxa"/>
            <w:right w:w="108" w:type="dxa"/>
          </w:tblCellMar>
        </w:tblPrEx>
        <w:trPr>
          <w:trHeight w:val="844"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预算执行率</w:t>
            </w:r>
          </w:p>
        </w:tc>
        <w:tc>
          <w:tcPr>
            <w:tcW w:w="26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项目预算资金是否按照计划执行，用以反映或考核项目预算执行情况。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本指标得分=本指标满分值*预算执行率</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预算执行率=（实际支出资金/实际到位资金）*100%</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实际支出资金：一定时期（本年度或项目期）内项目实际拨付的资金。</w:t>
            </w:r>
          </w:p>
        </w:tc>
        <w:tc>
          <w:tcPr>
            <w:tcW w:w="30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3.98</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p>
        </w:tc>
      </w:tr>
      <w:tr>
        <w:tblPrEx>
          <w:tblCellMar>
            <w:top w:w="0" w:type="dxa"/>
            <w:left w:w="108" w:type="dxa"/>
            <w:bottom w:w="0" w:type="dxa"/>
            <w:right w:w="108" w:type="dxa"/>
          </w:tblCellMar>
        </w:tblPrEx>
        <w:trPr>
          <w:trHeight w:val="193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资金使用合规性</w:t>
            </w:r>
          </w:p>
        </w:tc>
        <w:tc>
          <w:tcPr>
            <w:tcW w:w="26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项目资金使用是否符合相关的财务管理制度规定，用以反映和考核项目资金的规范运行情况。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①项目符合国家财经法规和财务管理制度以及有关专项资金管理规程的规定，得1分。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②资金的拨付有完整的审批程序和手续，得1分。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③资金使用符合项目预算批复或合同规定的用途，得1分</w:t>
            </w:r>
            <w:r>
              <w:rPr>
                <w:rFonts w:ascii="仿宋_GB2312" w:hAnsi="Times New Roman" w:cs="Times New Roman"/>
                <w:color w:val="000000"/>
                <w:kern w:val="0"/>
                <w:sz w:val="21"/>
                <w:szCs w:val="21"/>
              </w:rPr>
              <w:t xml:space="preserve"> </w:t>
            </w:r>
            <w:r>
              <w:rPr>
                <w:rFonts w:hint="eastAsia" w:ascii="仿宋_GB2312" w:hAnsi="Times New Roman" w:cs="Times New Roman"/>
                <w:color w:val="000000"/>
                <w:kern w:val="0"/>
                <w:sz w:val="21"/>
                <w:szCs w:val="21"/>
              </w:rPr>
              <w:t>。</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④资金未存在截留、挤占、挪用、虚列支出等情况，得1分。</w:t>
            </w:r>
          </w:p>
        </w:tc>
        <w:tc>
          <w:tcPr>
            <w:tcW w:w="30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p>
        </w:tc>
      </w:tr>
      <w:tr>
        <w:tblPrEx>
          <w:tblCellMar>
            <w:top w:w="0" w:type="dxa"/>
            <w:left w:w="108" w:type="dxa"/>
            <w:bottom w:w="0" w:type="dxa"/>
            <w:right w:w="108" w:type="dxa"/>
          </w:tblCellMar>
        </w:tblPrEx>
        <w:trPr>
          <w:trHeight w:val="124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组织实施</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8</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管理制度健全性</w:t>
            </w:r>
          </w:p>
        </w:tc>
        <w:tc>
          <w:tcPr>
            <w:tcW w:w="26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2</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项目实施单位的财务和业务管理制度是否健全，用以反映和考核财务和业务管理制度对项目顺利实施的保障情况。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①单位内部已制定或具有相应的财务和业务管理制度，得1分。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②单位内部财务和业务管理制度合法、合规、完整，得1分。</w:t>
            </w:r>
          </w:p>
        </w:tc>
        <w:tc>
          <w:tcPr>
            <w:tcW w:w="30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2</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　</w:t>
            </w:r>
          </w:p>
        </w:tc>
      </w:tr>
      <w:tr>
        <w:tblPrEx>
          <w:tblCellMar>
            <w:top w:w="0" w:type="dxa"/>
            <w:left w:w="108" w:type="dxa"/>
            <w:bottom w:w="0" w:type="dxa"/>
            <w:right w:w="108" w:type="dxa"/>
          </w:tblCellMar>
        </w:tblPrEx>
        <w:trPr>
          <w:trHeight w:val="124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制度执行有效性</w:t>
            </w:r>
          </w:p>
        </w:tc>
        <w:tc>
          <w:tcPr>
            <w:tcW w:w="26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项目实施是否符合相关管理规定，用以反映和考核相关管理制度的有效执行情况。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pStyle w:val="25"/>
              <w:widowControl/>
              <w:numPr>
                <w:ilvl w:val="0"/>
                <w:numId w:val="1"/>
              </w:numPr>
              <w:spacing w:line="240" w:lineRule="auto"/>
              <w:ind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项目执行遵守相关法律法规和相关管理规定，得</w:t>
            </w:r>
            <w:r>
              <w:rPr>
                <w:rFonts w:ascii="仿宋_GB2312" w:hAnsi="Times New Roman" w:cs="Times New Roman"/>
                <w:color w:val="000000"/>
                <w:kern w:val="0"/>
                <w:sz w:val="21"/>
                <w:szCs w:val="21"/>
              </w:rPr>
              <w:t>2</w:t>
            </w:r>
            <w:r>
              <w:rPr>
                <w:rFonts w:hint="eastAsia" w:ascii="仿宋_GB2312" w:hAnsi="Times New Roman" w:cs="Times New Roman"/>
                <w:color w:val="000000"/>
                <w:kern w:val="0"/>
                <w:sz w:val="21"/>
                <w:szCs w:val="21"/>
              </w:rPr>
              <w:t xml:space="preserve">分。 </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②项目调整及支出调整手续完备，得1分。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③项目实施的人员条件、场地设备、信息支撑等落实到位，得1分。</w:t>
            </w:r>
          </w:p>
        </w:tc>
        <w:tc>
          <w:tcPr>
            <w:tcW w:w="30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p>
        </w:tc>
      </w:tr>
      <w:tr>
        <w:tblPrEx>
          <w:tblCellMar>
            <w:top w:w="0" w:type="dxa"/>
            <w:left w:w="108" w:type="dxa"/>
            <w:bottom w:w="0" w:type="dxa"/>
            <w:right w:w="108" w:type="dxa"/>
          </w:tblCellMar>
        </w:tblPrEx>
        <w:trPr>
          <w:trHeight w:val="158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档案管理规范性</w:t>
            </w:r>
          </w:p>
        </w:tc>
        <w:tc>
          <w:tcPr>
            <w:tcW w:w="26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2</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考核项目申请阶段、实施阶段、验收阶段的档案管理情况。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项目档案妥善归档（包括但不仅限于事前请示、领导班子会议纪要、项目测算文件、法律意见书、合同、验收单、履约评价表等），得2分。缺少1类过程文件，扣0.5分。</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1.5</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p>
        </w:tc>
      </w:tr>
      <w:tr>
        <w:tblPrEx>
          <w:tblCellMar>
            <w:top w:w="0" w:type="dxa"/>
            <w:left w:w="108" w:type="dxa"/>
            <w:bottom w:w="0" w:type="dxa"/>
            <w:right w:w="108" w:type="dxa"/>
          </w:tblCellMar>
        </w:tblPrEx>
        <w:trPr>
          <w:trHeight w:val="1360" w:hRule="atLeast"/>
        </w:trPr>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产出</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35</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产出数量</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12</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系统维护数量</w:t>
            </w:r>
          </w:p>
        </w:tc>
        <w:tc>
          <w:tcPr>
            <w:tcW w:w="2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考核维护系统数量目标的实现程度。</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①维护系统数量达2个，得4分。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②维护系统数量不足2个，得0分。</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　</w:t>
            </w:r>
          </w:p>
        </w:tc>
      </w:tr>
      <w:tr>
        <w:tblPrEx>
          <w:tblCellMar>
            <w:top w:w="0" w:type="dxa"/>
            <w:left w:w="108" w:type="dxa"/>
            <w:bottom w:w="0" w:type="dxa"/>
            <w:right w:w="108" w:type="dxa"/>
          </w:tblCellMar>
        </w:tblPrEx>
        <w:trPr>
          <w:trHeight w:val="120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Times New Roman" w:cs="Times New Roman"/>
                <w:color w:val="000000"/>
                <w:kern w:val="0"/>
                <w:sz w:val="21"/>
                <w:szCs w:val="21"/>
              </w:rPr>
            </w:pP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系统升级新增功能数</w:t>
            </w:r>
          </w:p>
        </w:tc>
        <w:tc>
          <w:tcPr>
            <w:tcW w:w="2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6</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考核系统升级数量目标的实现程度。</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①新增区内资产无偿调拨入账提醒功能，得2分。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②新增报表批量生成功能，得2分。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③新增凭证审核退单统计关联记账凭证查询功能，得2分。</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6</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　</w:t>
            </w:r>
          </w:p>
        </w:tc>
      </w:tr>
      <w:tr>
        <w:tblPrEx>
          <w:tblCellMar>
            <w:top w:w="0" w:type="dxa"/>
            <w:left w:w="108" w:type="dxa"/>
            <w:bottom w:w="0" w:type="dxa"/>
            <w:right w:w="108" w:type="dxa"/>
          </w:tblCellMar>
        </w:tblPrEx>
        <w:trPr>
          <w:trHeight w:val="120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Times New Roman" w:cs="Times New Roman"/>
                <w:color w:val="000000"/>
                <w:kern w:val="0"/>
                <w:sz w:val="21"/>
                <w:szCs w:val="21"/>
              </w:rPr>
            </w:pP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系统培训种类数</w:t>
            </w:r>
          </w:p>
        </w:tc>
        <w:tc>
          <w:tcPr>
            <w:tcW w:w="2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2</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考核信息系统培训数量是否达标。</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①开展培训种类数达2类，得2分。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②开展培训种类数不足2类，得0分。</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2</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　</w:t>
            </w:r>
          </w:p>
        </w:tc>
      </w:tr>
      <w:tr>
        <w:tblPrEx>
          <w:tblCellMar>
            <w:top w:w="0" w:type="dxa"/>
            <w:left w:w="108" w:type="dxa"/>
            <w:bottom w:w="0" w:type="dxa"/>
            <w:right w:w="108" w:type="dxa"/>
          </w:tblCellMar>
        </w:tblPrEx>
        <w:trPr>
          <w:trHeight w:val="119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产出质量</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12</w:t>
            </w: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项目验收合格率</w:t>
            </w:r>
          </w:p>
        </w:tc>
        <w:tc>
          <w:tcPr>
            <w:tcW w:w="2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考核信息系统运维、升级验收合格情况。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本指标得分=系统运维项目验收合格率*2+系统升级项目验收合格率*2</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4</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　</w:t>
            </w:r>
          </w:p>
        </w:tc>
      </w:tr>
      <w:tr>
        <w:tblPrEx>
          <w:tblCellMar>
            <w:top w:w="0" w:type="dxa"/>
            <w:left w:w="108" w:type="dxa"/>
            <w:bottom w:w="0" w:type="dxa"/>
            <w:right w:w="108" w:type="dxa"/>
          </w:tblCellMar>
        </w:tblPrEx>
        <w:trPr>
          <w:trHeight w:val="169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44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系统培训参与率</w:t>
            </w:r>
          </w:p>
        </w:tc>
        <w:tc>
          <w:tcPr>
            <w:tcW w:w="2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2</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考核2021年度组织的财务信息系统培训，各集中核算单位工作人员参与度情况。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本指标得分=系统培训参与率*</w:t>
            </w:r>
            <w:r>
              <w:rPr>
                <w:rFonts w:ascii="仿宋_GB2312" w:hAnsi="Times New Roman" w:cs="Times New Roman"/>
                <w:color w:val="000000"/>
                <w:kern w:val="0"/>
                <w:sz w:val="21"/>
                <w:szCs w:val="21"/>
              </w:rPr>
              <w:t>2</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1.15</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p>
        </w:tc>
      </w:tr>
      <w:tr>
        <w:tblPrEx>
          <w:tblCellMar>
            <w:top w:w="0" w:type="dxa"/>
            <w:left w:w="108" w:type="dxa"/>
            <w:bottom w:w="0" w:type="dxa"/>
            <w:right w:w="108" w:type="dxa"/>
          </w:tblCellMar>
        </w:tblPrEx>
        <w:trPr>
          <w:trHeight w:val="119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443"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故障排除率</w:t>
            </w:r>
          </w:p>
        </w:tc>
        <w:tc>
          <w:tcPr>
            <w:tcW w:w="2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6</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考核对信息系统出现的故障解决完成情况。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本指标得分=（本年故障排除数量/本年故障发生总数量）*100%*</w:t>
            </w:r>
            <w:r>
              <w:rPr>
                <w:rFonts w:ascii="仿宋_GB2312" w:hAnsi="Times New Roman" w:cs="Times New Roman"/>
                <w:color w:val="000000"/>
                <w:kern w:val="0"/>
                <w:sz w:val="21"/>
                <w:szCs w:val="21"/>
              </w:rPr>
              <w:t>6</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6</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　</w:t>
            </w:r>
          </w:p>
        </w:tc>
      </w:tr>
      <w:tr>
        <w:tblPrEx>
          <w:tblCellMar>
            <w:top w:w="0" w:type="dxa"/>
            <w:left w:w="108" w:type="dxa"/>
            <w:bottom w:w="0" w:type="dxa"/>
            <w:right w:w="108" w:type="dxa"/>
          </w:tblCellMar>
        </w:tblPrEx>
        <w:trPr>
          <w:trHeight w:val="145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产出时效</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5</w:t>
            </w:r>
          </w:p>
        </w:tc>
        <w:tc>
          <w:tcPr>
            <w:tcW w:w="443"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银行对账数据导入及时率</w:t>
            </w:r>
          </w:p>
        </w:tc>
        <w:tc>
          <w:tcPr>
            <w:tcW w:w="2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2</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考核银行对账数据导入工作的及时性情况。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本指标得分=银行对账数据导入及时率*</w:t>
            </w:r>
            <w:r>
              <w:rPr>
                <w:rFonts w:ascii="仿宋_GB2312" w:hAnsi="Times New Roman" w:cs="Times New Roman"/>
                <w:color w:val="000000"/>
                <w:kern w:val="0"/>
                <w:sz w:val="21"/>
                <w:szCs w:val="21"/>
              </w:rPr>
              <w:t>2</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1.51</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p>
        </w:tc>
      </w:tr>
      <w:tr>
        <w:tblPrEx>
          <w:tblCellMar>
            <w:top w:w="0" w:type="dxa"/>
            <w:left w:w="108" w:type="dxa"/>
            <w:bottom w:w="0" w:type="dxa"/>
            <w:right w:w="108" w:type="dxa"/>
          </w:tblCellMar>
        </w:tblPrEx>
        <w:trPr>
          <w:trHeight w:val="286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443"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故障处理及时率</w:t>
            </w:r>
          </w:p>
        </w:tc>
        <w:tc>
          <w:tcPr>
            <w:tcW w:w="2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3</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考核对于故障处理的及时性情况。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本指标得分=（故障2小时内处理数/总故障数）*100%*</w:t>
            </w:r>
            <w:r>
              <w:rPr>
                <w:rFonts w:ascii="仿宋_GB2312" w:hAnsi="Times New Roman" w:cs="Times New Roman"/>
                <w:color w:val="000000"/>
                <w:kern w:val="0"/>
                <w:sz w:val="21"/>
                <w:szCs w:val="21"/>
              </w:rPr>
              <w:t>3</w:t>
            </w:r>
            <w:r>
              <w:rPr>
                <w:rFonts w:hint="eastAsia" w:ascii="仿宋_GB2312" w:hAnsi="Times New Roman" w:cs="Times New Roman"/>
                <w:color w:val="000000"/>
                <w:kern w:val="0"/>
                <w:sz w:val="21"/>
                <w:szCs w:val="21"/>
              </w:rPr>
              <w:t>+（故障2-4小时内处理数/总故障数）*100%*</w:t>
            </w:r>
            <w:r>
              <w:rPr>
                <w:rFonts w:ascii="仿宋_GB2312" w:hAnsi="Times New Roman" w:cs="Times New Roman"/>
                <w:color w:val="000000"/>
                <w:kern w:val="0"/>
                <w:sz w:val="21"/>
                <w:szCs w:val="21"/>
              </w:rPr>
              <w:t>2</w:t>
            </w:r>
            <w:r>
              <w:rPr>
                <w:rFonts w:hint="eastAsia" w:ascii="仿宋_GB2312" w:hAnsi="Times New Roman" w:cs="Times New Roman"/>
                <w:color w:val="000000"/>
                <w:kern w:val="0"/>
                <w:sz w:val="21"/>
                <w:szCs w:val="21"/>
              </w:rPr>
              <w:t>+（故障4小时-2个工作日内处理数/总故障数）*100%*1+（故障超过2个工作日处理数/总故障数）*100%*0</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2.3</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p>
        </w:tc>
      </w:tr>
      <w:tr>
        <w:tblPrEx>
          <w:tblCellMar>
            <w:top w:w="0" w:type="dxa"/>
            <w:left w:w="108" w:type="dxa"/>
            <w:bottom w:w="0" w:type="dxa"/>
            <w:right w:w="108" w:type="dxa"/>
          </w:tblCellMar>
        </w:tblPrEx>
        <w:trPr>
          <w:trHeight w:val="100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产出成本</w:t>
            </w:r>
          </w:p>
        </w:tc>
        <w:tc>
          <w:tcPr>
            <w:tcW w:w="25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6</w:t>
            </w:r>
          </w:p>
        </w:tc>
        <w:tc>
          <w:tcPr>
            <w:tcW w:w="443"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支付进度达标率</w:t>
            </w:r>
          </w:p>
        </w:tc>
        <w:tc>
          <w:tcPr>
            <w:tcW w:w="2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6</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考核项目资金的支出进度与相关的工作计划及合同条款的匹配程度。</w:t>
            </w:r>
          </w:p>
        </w:tc>
        <w:tc>
          <w:tcPr>
            <w:tcW w:w="1746" w:type="pct"/>
            <w:tcBorders>
              <w:top w:val="single" w:color="auto" w:sz="4" w:space="0"/>
              <w:left w:val="nil"/>
              <w:bottom w:val="single" w:color="auto" w:sz="4" w:space="0"/>
              <w:right w:val="single" w:color="auto" w:sz="4" w:space="0"/>
            </w:tcBorders>
            <w:shd w:val="clear" w:color="auto" w:fill="auto"/>
            <w:vAlign w:val="center"/>
          </w:tcPr>
          <w:p>
            <w:pPr>
              <w:pStyle w:val="25"/>
              <w:widowControl/>
              <w:numPr>
                <w:ilvl w:val="0"/>
                <w:numId w:val="2"/>
              </w:numPr>
              <w:spacing w:line="240" w:lineRule="auto"/>
              <w:ind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项目支出进度符合项目合同及工作计划安排，得</w:t>
            </w:r>
            <w:r>
              <w:rPr>
                <w:rFonts w:ascii="仿宋_GB2312" w:hAnsi="Times New Roman" w:cs="Times New Roman"/>
                <w:color w:val="000000"/>
                <w:kern w:val="0"/>
                <w:sz w:val="21"/>
                <w:szCs w:val="21"/>
              </w:rPr>
              <w:t>3</w:t>
            </w:r>
            <w:r>
              <w:rPr>
                <w:rFonts w:hint="eastAsia" w:ascii="仿宋_GB2312" w:hAnsi="Times New Roman" w:cs="Times New Roman"/>
                <w:color w:val="000000"/>
                <w:kern w:val="0"/>
                <w:sz w:val="21"/>
                <w:szCs w:val="21"/>
              </w:rPr>
              <w:t>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②项目资金支付时间符合财务管理制度及项目合同要求，得</w:t>
            </w:r>
            <w:r>
              <w:rPr>
                <w:rFonts w:ascii="仿宋_GB2312" w:hAnsi="Times New Roman" w:cs="Times New Roman"/>
                <w:color w:val="000000"/>
                <w:kern w:val="0"/>
                <w:sz w:val="21"/>
                <w:szCs w:val="21"/>
              </w:rPr>
              <w:t>3</w:t>
            </w:r>
            <w:r>
              <w:rPr>
                <w:rFonts w:hint="eastAsia" w:ascii="仿宋_GB2312" w:hAnsi="Times New Roman" w:cs="Times New Roman"/>
                <w:color w:val="000000"/>
                <w:kern w:val="0"/>
                <w:sz w:val="21"/>
                <w:szCs w:val="21"/>
              </w:rPr>
              <w:t>分。</w:t>
            </w:r>
            <w:r>
              <w:rPr>
                <w:rFonts w:ascii="仿宋_GB2312" w:hAnsi="Times New Roman" w:cs="Times New Roman"/>
                <w:color w:val="000000"/>
                <w:kern w:val="0"/>
                <w:sz w:val="21"/>
                <w:szCs w:val="21"/>
              </w:rPr>
              <w:br w:type="textWrapping"/>
            </w:r>
            <w:r>
              <w:rPr>
                <w:rFonts w:hint="eastAsia" w:ascii="仿宋_GB2312" w:hAnsi="Times New Roman" w:cs="Times New Roman"/>
                <w:color w:val="000000"/>
                <w:kern w:val="0"/>
                <w:sz w:val="21"/>
                <w:szCs w:val="21"/>
              </w:rPr>
              <w:t>③超计划或合同要求支付本指标得0分。</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5</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　</w:t>
            </w:r>
          </w:p>
        </w:tc>
      </w:tr>
      <w:tr>
        <w:tblPrEx>
          <w:tblCellMar>
            <w:top w:w="0" w:type="dxa"/>
            <w:left w:w="108" w:type="dxa"/>
            <w:bottom w:w="0" w:type="dxa"/>
            <w:right w:w="108" w:type="dxa"/>
          </w:tblCellMar>
        </w:tblPrEx>
        <w:trPr>
          <w:trHeight w:val="1000" w:hRule="atLeast"/>
        </w:trPr>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项目效益</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25</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社会效益</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15</w:t>
            </w:r>
          </w:p>
        </w:tc>
        <w:tc>
          <w:tcPr>
            <w:tcW w:w="443"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全区集中核算单位系统覆盖率</w:t>
            </w:r>
          </w:p>
        </w:tc>
        <w:tc>
          <w:tcPr>
            <w:tcW w:w="2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7</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考核本财务信息系统覆盖全区集中核算单位情况。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本指标得分=全区集中核算单位系统覆盖率*</w:t>
            </w:r>
            <w:r>
              <w:rPr>
                <w:rFonts w:ascii="仿宋_GB2312" w:hAnsi="Times New Roman" w:cs="Times New Roman"/>
                <w:color w:val="000000"/>
                <w:kern w:val="0"/>
                <w:sz w:val="21"/>
                <w:szCs w:val="21"/>
              </w:rPr>
              <w:t>7</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7</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　</w:t>
            </w:r>
          </w:p>
        </w:tc>
      </w:tr>
      <w:tr>
        <w:tblPrEx>
          <w:tblCellMar>
            <w:top w:w="0" w:type="dxa"/>
            <w:left w:w="108" w:type="dxa"/>
            <w:bottom w:w="0" w:type="dxa"/>
            <w:right w:w="108" w:type="dxa"/>
          </w:tblCellMar>
        </w:tblPrEx>
        <w:trPr>
          <w:trHeight w:val="100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443"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系统运维保障各项工作正常运转率</w:t>
            </w:r>
          </w:p>
        </w:tc>
        <w:tc>
          <w:tcPr>
            <w:tcW w:w="2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8</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考核本信息系统维护工作对系统内操作的各项工作正常运转的保障情况。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本指标得分=系统运维保障各项工作正常运转率*</w:t>
            </w:r>
            <w:r>
              <w:rPr>
                <w:rFonts w:ascii="仿宋_GB2312" w:hAnsi="Times New Roman" w:cs="Times New Roman"/>
                <w:color w:val="000000"/>
                <w:kern w:val="0"/>
                <w:sz w:val="21"/>
                <w:szCs w:val="21"/>
              </w:rPr>
              <w:t>8</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8</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　</w:t>
            </w:r>
          </w:p>
        </w:tc>
      </w:tr>
      <w:tr>
        <w:tblPrEx>
          <w:tblCellMar>
            <w:top w:w="0" w:type="dxa"/>
            <w:left w:w="108" w:type="dxa"/>
            <w:bottom w:w="0" w:type="dxa"/>
            <w:right w:w="108" w:type="dxa"/>
          </w:tblCellMar>
        </w:tblPrEx>
        <w:trPr>
          <w:trHeight w:val="1170" w:hRule="atLeast"/>
        </w:trPr>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Times New Roman" w:cs="Times New Roman"/>
                <w:color w:val="000000"/>
                <w:kern w:val="0"/>
                <w:sz w:val="21"/>
                <w:szCs w:val="21"/>
              </w:rPr>
            </w:pPr>
          </w:p>
        </w:tc>
        <w:tc>
          <w:tcPr>
            <w:tcW w:w="25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满意度</w:t>
            </w:r>
          </w:p>
        </w:tc>
        <w:tc>
          <w:tcPr>
            <w:tcW w:w="25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10</w:t>
            </w:r>
          </w:p>
        </w:tc>
        <w:tc>
          <w:tcPr>
            <w:tcW w:w="443"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系统使用人员满意度</w:t>
            </w:r>
          </w:p>
        </w:tc>
        <w:tc>
          <w:tcPr>
            <w:tcW w:w="2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10</w:t>
            </w:r>
          </w:p>
        </w:tc>
        <w:tc>
          <w:tcPr>
            <w:tcW w:w="86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考核信息系统的使用人员对系统使用的满意度情况。</w:t>
            </w:r>
          </w:p>
        </w:tc>
        <w:tc>
          <w:tcPr>
            <w:tcW w:w="174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本指标得分=系统使用人员满意率*10</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ascii="仿宋_GB2312" w:hAnsi="Times New Roman" w:cs="Times New Roman"/>
                <w:color w:val="000000"/>
                <w:kern w:val="0"/>
                <w:sz w:val="21"/>
                <w:szCs w:val="21"/>
              </w:rPr>
              <w:t>9.15</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Times New Roman" w:cs="Times New Roman"/>
                <w:color w:val="000000"/>
                <w:kern w:val="0"/>
                <w:sz w:val="21"/>
                <w:szCs w:val="21"/>
              </w:rPr>
            </w:pPr>
          </w:p>
        </w:tc>
      </w:tr>
      <w:tr>
        <w:tblPrEx>
          <w:tblCellMar>
            <w:top w:w="0" w:type="dxa"/>
            <w:left w:w="108" w:type="dxa"/>
            <w:bottom w:w="0" w:type="dxa"/>
            <w:right w:w="108" w:type="dxa"/>
          </w:tblCellMar>
        </w:tblPrEx>
        <w:trPr>
          <w:trHeight w:val="368" w:hRule="atLeast"/>
        </w:trPr>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等线" w:cs="宋体"/>
                <w:color w:val="000000"/>
                <w:kern w:val="0"/>
                <w:sz w:val="21"/>
                <w:szCs w:val="21"/>
              </w:rPr>
            </w:pPr>
            <w:r>
              <w:rPr>
                <w:rFonts w:hint="eastAsia" w:ascii="仿宋_GB2312" w:hAnsi="等线" w:cs="宋体"/>
                <w:color w:val="000000"/>
                <w:kern w:val="0"/>
                <w:sz w:val="21"/>
                <w:szCs w:val="21"/>
              </w:rPr>
              <w:t>总分</w:t>
            </w:r>
          </w:p>
        </w:tc>
        <w:tc>
          <w:tcPr>
            <w:tcW w:w="25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等线" w:cs="宋体"/>
                <w:color w:val="000000"/>
                <w:kern w:val="0"/>
                <w:sz w:val="21"/>
                <w:szCs w:val="21"/>
              </w:rPr>
            </w:pPr>
            <w:r>
              <w:rPr>
                <w:rFonts w:ascii="仿宋_GB2312" w:hAnsi="等线" w:cs="宋体"/>
                <w:color w:val="000000"/>
                <w:kern w:val="0"/>
                <w:sz w:val="21"/>
                <w:szCs w:val="21"/>
              </w:rPr>
              <w:t>100</w:t>
            </w:r>
          </w:p>
        </w:tc>
        <w:tc>
          <w:tcPr>
            <w:tcW w:w="25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等线" w:cs="宋体"/>
                <w:color w:val="000000"/>
                <w:kern w:val="0"/>
                <w:sz w:val="21"/>
                <w:szCs w:val="21"/>
              </w:rPr>
            </w:pPr>
            <w:r>
              <w:rPr>
                <w:rFonts w:hint="eastAsia" w:ascii="仿宋_GB2312" w:hAnsi="等线" w:cs="宋体"/>
                <w:color w:val="000000"/>
                <w:kern w:val="0"/>
                <w:sz w:val="21"/>
                <w:szCs w:val="21"/>
              </w:rPr>
              <w:t>　</w:t>
            </w:r>
          </w:p>
        </w:tc>
        <w:tc>
          <w:tcPr>
            <w:tcW w:w="25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等线" w:cs="宋体"/>
                <w:color w:val="000000"/>
                <w:kern w:val="0"/>
                <w:sz w:val="21"/>
                <w:szCs w:val="21"/>
              </w:rPr>
            </w:pPr>
            <w:r>
              <w:rPr>
                <w:rFonts w:ascii="仿宋_GB2312" w:hAnsi="等线" w:cs="宋体"/>
                <w:color w:val="000000"/>
                <w:kern w:val="0"/>
                <w:sz w:val="21"/>
                <w:szCs w:val="21"/>
              </w:rPr>
              <w:t>100</w:t>
            </w:r>
          </w:p>
        </w:tc>
        <w:tc>
          <w:tcPr>
            <w:tcW w:w="44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等线" w:cs="宋体"/>
                <w:color w:val="000000"/>
                <w:kern w:val="0"/>
                <w:sz w:val="21"/>
                <w:szCs w:val="21"/>
              </w:rPr>
            </w:pPr>
            <w:r>
              <w:rPr>
                <w:rFonts w:hint="eastAsia" w:ascii="仿宋_GB2312" w:hAnsi="等线" w:cs="宋体"/>
                <w:color w:val="000000"/>
                <w:kern w:val="0"/>
                <w:sz w:val="21"/>
                <w:szCs w:val="21"/>
              </w:rPr>
              <w:t>　</w:t>
            </w:r>
          </w:p>
        </w:tc>
        <w:tc>
          <w:tcPr>
            <w:tcW w:w="26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等线" w:cs="宋体"/>
                <w:color w:val="000000"/>
                <w:kern w:val="0"/>
                <w:sz w:val="21"/>
                <w:szCs w:val="21"/>
              </w:rPr>
            </w:pPr>
            <w:r>
              <w:rPr>
                <w:rFonts w:ascii="仿宋_GB2312" w:hAnsi="等线" w:cs="宋体"/>
                <w:color w:val="000000"/>
                <w:kern w:val="0"/>
                <w:sz w:val="21"/>
                <w:szCs w:val="21"/>
              </w:rPr>
              <w:t>100</w:t>
            </w:r>
          </w:p>
        </w:tc>
        <w:tc>
          <w:tcPr>
            <w:tcW w:w="86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等线" w:cs="宋体"/>
                <w:color w:val="000000"/>
                <w:kern w:val="0"/>
                <w:sz w:val="21"/>
                <w:szCs w:val="21"/>
              </w:rPr>
            </w:pPr>
            <w:r>
              <w:rPr>
                <w:rFonts w:hint="eastAsia" w:ascii="仿宋_GB2312" w:hAnsi="等线" w:cs="宋体"/>
                <w:color w:val="000000"/>
                <w:kern w:val="0"/>
                <w:sz w:val="21"/>
                <w:szCs w:val="21"/>
              </w:rPr>
              <w:t>　</w:t>
            </w:r>
          </w:p>
        </w:tc>
        <w:tc>
          <w:tcPr>
            <w:tcW w:w="1746"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等线" w:cs="宋体"/>
                <w:color w:val="000000"/>
                <w:kern w:val="0"/>
                <w:sz w:val="21"/>
                <w:szCs w:val="21"/>
              </w:rPr>
            </w:pPr>
            <w:r>
              <w:rPr>
                <w:rFonts w:hint="eastAsia" w:ascii="仿宋_GB2312" w:hAnsi="等线" w:cs="宋体"/>
                <w:color w:val="000000"/>
                <w:kern w:val="0"/>
                <w:sz w:val="21"/>
                <w:szCs w:val="21"/>
              </w:rPr>
              <w:t>　</w:t>
            </w:r>
          </w:p>
        </w:tc>
        <w:tc>
          <w:tcPr>
            <w:tcW w:w="30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1"/>
                <w:szCs w:val="21"/>
              </w:rPr>
            </w:pPr>
            <w:r>
              <w:rPr>
                <w:rFonts w:ascii="仿宋_GB2312" w:hAnsi="宋体" w:cs="宋体"/>
                <w:color w:val="000000"/>
                <w:kern w:val="0"/>
                <w:sz w:val="21"/>
                <w:szCs w:val="21"/>
              </w:rPr>
              <w:t>95.59</w:t>
            </w:r>
          </w:p>
        </w:tc>
        <w:tc>
          <w:tcPr>
            <w:tcW w:w="38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Times New Roman" w:cs="Times New Roman"/>
                <w:color w:val="000000"/>
                <w:kern w:val="0"/>
                <w:sz w:val="21"/>
                <w:szCs w:val="21"/>
              </w:rPr>
            </w:pPr>
            <w:r>
              <w:rPr>
                <w:rFonts w:hint="eastAsia" w:ascii="仿宋_GB2312" w:hAnsi="Times New Roman" w:cs="Times New Roman"/>
                <w:color w:val="000000"/>
                <w:kern w:val="0"/>
                <w:sz w:val="21"/>
                <w:szCs w:val="21"/>
              </w:rPr>
              <w:t>　</w:t>
            </w:r>
          </w:p>
        </w:tc>
      </w:tr>
    </w:tbl>
    <w:p>
      <w:pPr>
        <w:widowControl/>
        <w:spacing w:line="240" w:lineRule="auto"/>
        <w:ind w:firstLine="0" w:firstLineChars="0"/>
        <w:jc w:val="left"/>
      </w:pPr>
    </w:p>
    <w:sectPr>
      <w:pgSz w:w="16838" w:h="11906" w:orient="landscape"/>
      <w:pgMar w:top="1800" w:right="1440" w:bottom="180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center"/>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674D3"/>
    <w:multiLevelType w:val="multilevel"/>
    <w:tmpl w:val="0C0674D3"/>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24710E"/>
    <w:multiLevelType w:val="multilevel"/>
    <w:tmpl w:val="1324710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hZmJkMTczMWNkYTJiYWYyMzM1Mzk1MDI4NGNlY2QifQ=="/>
  </w:docVars>
  <w:rsids>
    <w:rsidRoot w:val="00C33FE0"/>
    <w:rsid w:val="0000137C"/>
    <w:rsid w:val="00012048"/>
    <w:rsid w:val="00012616"/>
    <w:rsid w:val="00014421"/>
    <w:rsid w:val="000270DF"/>
    <w:rsid w:val="00032F57"/>
    <w:rsid w:val="000406A1"/>
    <w:rsid w:val="000418EF"/>
    <w:rsid w:val="00045026"/>
    <w:rsid w:val="00047AA4"/>
    <w:rsid w:val="000541F7"/>
    <w:rsid w:val="0005524C"/>
    <w:rsid w:val="00057BBA"/>
    <w:rsid w:val="00057CE0"/>
    <w:rsid w:val="0007044A"/>
    <w:rsid w:val="0007135B"/>
    <w:rsid w:val="00071B96"/>
    <w:rsid w:val="000752CA"/>
    <w:rsid w:val="00075981"/>
    <w:rsid w:val="000855BF"/>
    <w:rsid w:val="000862E7"/>
    <w:rsid w:val="000866C1"/>
    <w:rsid w:val="00087206"/>
    <w:rsid w:val="000A08B5"/>
    <w:rsid w:val="000A1C8A"/>
    <w:rsid w:val="000A22F1"/>
    <w:rsid w:val="000A6461"/>
    <w:rsid w:val="000B5625"/>
    <w:rsid w:val="000C172D"/>
    <w:rsid w:val="000C265B"/>
    <w:rsid w:val="000D18C1"/>
    <w:rsid w:val="000D1A92"/>
    <w:rsid w:val="000D1C85"/>
    <w:rsid w:val="000D6D5A"/>
    <w:rsid w:val="000E0603"/>
    <w:rsid w:val="000E351F"/>
    <w:rsid w:val="000F39E5"/>
    <w:rsid w:val="000F52CC"/>
    <w:rsid w:val="001033F9"/>
    <w:rsid w:val="00111971"/>
    <w:rsid w:val="00113BCA"/>
    <w:rsid w:val="00134E9D"/>
    <w:rsid w:val="00135376"/>
    <w:rsid w:val="00136799"/>
    <w:rsid w:val="001430D6"/>
    <w:rsid w:val="0014496E"/>
    <w:rsid w:val="00145583"/>
    <w:rsid w:val="001632D3"/>
    <w:rsid w:val="001710A7"/>
    <w:rsid w:val="00171E00"/>
    <w:rsid w:val="001822DE"/>
    <w:rsid w:val="00182B0D"/>
    <w:rsid w:val="00184C1C"/>
    <w:rsid w:val="001A0B98"/>
    <w:rsid w:val="001A302A"/>
    <w:rsid w:val="001A5DAA"/>
    <w:rsid w:val="001A641F"/>
    <w:rsid w:val="001D1365"/>
    <w:rsid w:val="001D2C20"/>
    <w:rsid w:val="001D374B"/>
    <w:rsid w:val="001D7162"/>
    <w:rsid w:val="001E77F8"/>
    <w:rsid w:val="001F02FB"/>
    <w:rsid w:val="001F7674"/>
    <w:rsid w:val="00201CE7"/>
    <w:rsid w:val="002039E7"/>
    <w:rsid w:val="002139A1"/>
    <w:rsid w:val="00220ADE"/>
    <w:rsid w:val="00221BFA"/>
    <w:rsid w:val="0022305B"/>
    <w:rsid w:val="00224329"/>
    <w:rsid w:val="00232ED8"/>
    <w:rsid w:val="00233E39"/>
    <w:rsid w:val="00242728"/>
    <w:rsid w:val="00245FA8"/>
    <w:rsid w:val="00246F35"/>
    <w:rsid w:val="00251343"/>
    <w:rsid w:val="002604E3"/>
    <w:rsid w:val="0026276A"/>
    <w:rsid w:val="002660E3"/>
    <w:rsid w:val="00270068"/>
    <w:rsid w:val="002827F4"/>
    <w:rsid w:val="002928CB"/>
    <w:rsid w:val="002A3321"/>
    <w:rsid w:val="002A4189"/>
    <w:rsid w:val="002C2484"/>
    <w:rsid w:val="002F0EDE"/>
    <w:rsid w:val="002F2F46"/>
    <w:rsid w:val="002F7BD7"/>
    <w:rsid w:val="0031601B"/>
    <w:rsid w:val="0031730C"/>
    <w:rsid w:val="003179F4"/>
    <w:rsid w:val="00331A0F"/>
    <w:rsid w:val="00331BAF"/>
    <w:rsid w:val="00340755"/>
    <w:rsid w:val="0035176C"/>
    <w:rsid w:val="003609E9"/>
    <w:rsid w:val="00363D43"/>
    <w:rsid w:val="00367942"/>
    <w:rsid w:val="00367BEA"/>
    <w:rsid w:val="0037735E"/>
    <w:rsid w:val="003843DF"/>
    <w:rsid w:val="00392FFC"/>
    <w:rsid w:val="00394D7A"/>
    <w:rsid w:val="003A1561"/>
    <w:rsid w:val="003A2454"/>
    <w:rsid w:val="003C601B"/>
    <w:rsid w:val="003F2E01"/>
    <w:rsid w:val="00403052"/>
    <w:rsid w:val="00407697"/>
    <w:rsid w:val="00411F96"/>
    <w:rsid w:val="00421DD4"/>
    <w:rsid w:val="00424FB9"/>
    <w:rsid w:val="004300EF"/>
    <w:rsid w:val="00431CE7"/>
    <w:rsid w:val="004368E5"/>
    <w:rsid w:val="00443AE9"/>
    <w:rsid w:val="00451CC7"/>
    <w:rsid w:val="004531CB"/>
    <w:rsid w:val="004536DB"/>
    <w:rsid w:val="00467932"/>
    <w:rsid w:val="0047145E"/>
    <w:rsid w:val="00474F4A"/>
    <w:rsid w:val="004779B6"/>
    <w:rsid w:val="00481FB7"/>
    <w:rsid w:val="00493F9F"/>
    <w:rsid w:val="004A43DA"/>
    <w:rsid w:val="004C0349"/>
    <w:rsid w:val="004C0936"/>
    <w:rsid w:val="004D29C5"/>
    <w:rsid w:val="004E11E4"/>
    <w:rsid w:val="004E502C"/>
    <w:rsid w:val="004E6D6F"/>
    <w:rsid w:val="00500F72"/>
    <w:rsid w:val="005111E7"/>
    <w:rsid w:val="00513A92"/>
    <w:rsid w:val="00526306"/>
    <w:rsid w:val="00530361"/>
    <w:rsid w:val="00544BA3"/>
    <w:rsid w:val="00554D21"/>
    <w:rsid w:val="005605D7"/>
    <w:rsid w:val="00591372"/>
    <w:rsid w:val="00597075"/>
    <w:rsid w:val="005A1407"/>
    <w:rsid w:val="005A1DF9"/>
    <w:rsid w:val="005C2A30"/>
    <w:rsid w:val="005D7BAA"/>
    <w:rsid w:val="005E0E1A"/>
    <w:rsid w:val="005E2091"/>
    <w:rsid w:val="005E45B5"/>
    <w:rsid w:val="005E641F"/>
    <w:rsid w:val="005E6E2A"/>
    <w:rsid w:val="00600444"/>
    <w:rsid w:val="006013A6"/>
    <w:rsid w:val="006075D1"/>
    <w:rsid w:val="00611665"/>
    <w:rsid w:val="00614CFE"/>
    <w:rsid w:val="0062086A"/>
    <w:rsid w:val="00621A6F"/>
    <w:rsid w:val="006232AF"/>
    <w:rsid w:val="00625924"/>
    <w:rsid w:val="006347A1"/>
    <w:rsid w:val="00642019"/>
    <w:rsid w:val="006552EF"/>
    <w:rsid w:val="006756C2"/>
    <w:rsid w:val="0068119D"/>
    <w:rsid w:val="00683012"/>
    <w:rsid w:val="00687D9B"/>
    <w:rsid w:val="006901B1"/>
    <w:rsid w:val="006921E6"/>
    <w:rsid w:val="00695F86"/>
    <w:rsid w:val="00696844"/>
    <w:rsid w:val="006A044B"/>
    <w:rsid w:val="006A43FC"/>
    <w:rsid w:val="006A61F8"/>
    <w:rsid w:val="006B002E"/>
    <w:rsid w:val="006B5308"/>
    <w:rsid w:val="006C1671"/>
    <w:rsid w:val="006D1E85"/>
    <w:rsid w:val="006D7B40"/>
    <w:rsid w:val="00700B0C"/>
    <w:rsid w:val="0070384C"/>
    <w:rsid w:val="00707674"/>
    <w:rsid w:val="00714EFC"/>
    <w:rsid w:val="00716DD3"/>
    <w:rsid w:val="007273B4"/>
    <w:rsid w:val="00736C5B"/>
    <w:rsid w:val="00742AAA"/>
    <w:rsid w:val="00742C56"/>
    <w:rsid w:val="00753BDA"/>
    <w:rsid w:val="00757931"/>
    <w:rsid w:val="00760550"/>
    <w:rsid w:val="00770A38"/>
    <w:rsid w:val="00772DD7"/>
    <w:rsid w:val="0078363A"/>
    <w:rsid w:val="007873FE"/>
    <w:rsid w:val="007910CF"/>
    <w:rsid w:val="00792CC4"/>
    <w:rsid w:val="00793AD3"/>
    <w:rsid w:val="00795D2E"/>
    <w:rsid w:val="00797D36"/>
    <w:rsid w:val="007A4005"/>
    <w:rsid w:val="007A6550"/>
    <w:rsid w:val="007C2D6E"/>
    <w:rsid w:val="007C3CA0"/>
    <w:rsid w:val="007D3884"/>
    <w:rsid w:val="007D4E52"/>
    <w:rsid w:val="007E059E"/>
    <w:rsid w:val="007E59E9"/>
    <w:rsid w:val="007E6560"/>
    <w:rsid w:val="007E7471"/>
    <w:rsid w:val="007E77C8"/>
    <w:rsid w:val="007F4EE5"/>
    <w:rsid w:val="007F6BE4"/>
    <w:rsid w:val="00802CFB"/>
    <w:rsid w:val="00802F51"/>
    <w:rsid w:val="00804C9B"/>
    <w:rsid w:val="00806643"/>
    <w:rsid w:val="00810EC8"/>
    <w:rsid w:val="008168EC"/>
    <w:rsid w:val="008202E0"/>
    <w:rsid w:val="0083293C"/>
    <w:rsid w:val="008365A7"/>
    <w:rsid w:val="00837ADE"/>
    <w:rsid w:val="00837BD6"/>
    <w:rsid w:val="008570C1"/>
    <w:rsid w:val="008613DF"/>
    <w:rsid w:val="00861C4B"/>
    <w:rsid w:val="00865CD8"/>
    <w:rsid w:val="008707B4"/>
    <w:rsid w:val="00873D2F"/>
    <w:rsid w:val="008812D0"/>
    <w:rsid w:val="0088253E"/>
    <w:rsid w:val="008834E8"/>
    <w:rsid w:val="00884365"/>
    <w:rsid w:val="00887352"/>
    <w:rsid w:val="008A11A9"/>
    <w:rsid w:val="008A790A"/>
    <w:rsid w:val="008B1006"/>
    <w:rsid w:val="008D260B"/>
    <w:rsid w:val="008E05A2"/>
    <w:rsid w:val="008E0966"/>
    <w:rsid w:val="008E0D5C"/>
    <w:rsid w:val="008E1048"/>
    <w:rsid w:val="008E2719"/>
    <w:rsid w:val="008E5247"/>
    <w:rsid w:val="00900612"/>
    <w:rsid w:val="009071B6"/>
    <w:rsid w:val="00917AB4"/>
    <w:rsid w:val="00925D84"/>
    <w:rsid w:val="00941565"/>
    <w:rsid w:val="009432C7"/>
    <w:rsid w:val="009443D3"/>
    <w:rsid w:val="00944B06"/>
    <w:rsid w:val="00946FE2"/>
    <w:rsid w:val="009526C0"/>
    <w:rsid w:val="00962CA4"/>
    <w:rsid w:val="0096787C"/>
    <w:rsid w:val="0097618E"/>
    <w:rsid w:val="009808A7"/>
    <w:rsid w:val="009876BD"/>
    <w:rsid w:val="00990226"/>
    <w:rsid w:val="00996D6A"/>
    <w:rsid w:val="009A4781"/>
    <w:rsid w:val="009B200E"/>
    <w:rsid w:val="009B4F84"/>
    <w:rsid w:val="009B54F2"/>
    <w:rsid w:val="009D3F2E"/>
    <w:rsid w:val="009D651E"/>
    <w:rsid w:val="009E6B1E"/>
    <w:rsid w:val="009E6B6E"/>
    <w:rsid w:val="009F04FA"/>
    <w:rsid w:val="009F1F39"/>
    <w:rsid w:val="009F4C6E"/>
    <w:rsid w:val="00A115C1"/>
    <w:rsid w:val="00A12BAB"/>
    <w:rsid w:val="00A13C93"/>
    <w:rsid w:val="00A27D33"/>
    <w:rsid w:val="00A34437"/>
    <w:rsid w:val="00A46962"/>
    <w:rsid w:val="00A46FD5"/>
    <w:rsid w:val="00A50EB4"/>
    <w:rsid w:val="00A51318"/>
    <w:rsid w:val="00A81482"/>
    <w:rsid w:val="00A93713"/>
    <w:rsid w:val="00AA7CAA"/>
    <w:rsid w:val="00AB29F1"/>
    <w:rsid w:val="00AB380F"/>
    <w:rsid w:val="00AB5A38"/>
    <w:rsid w:val="00AB6356"/>
    <w:rsid w:val="00AD7933"/>
    <w:rsid w:val="00AF12B4"/>
    <w:rsid w:val="00AF7451"/>
    <w:rsid w:val="00B06677"/>
    <w:rsid w:val="00B14993"/>
    <w:rsid w:val="00B14DB6"/>
    <w:rsid w:val="00B16B87"/>
    <w:rsid w:val="00B17E8A"/>
    <w:rsid w:val="00B20123"/>
    <w:rsid w:val="00B23FC2"/>
    <w:rsid w:val="00B24CB0"/>
    <w:rsid w:val="00B410B1"/>
    <w:rsid w:val="00B566E5"/>
    <w:rsid w:val="00B64F1A"/>
    <w:rsid w:val="00B745D8"/>
    <w:rsid w:val="00B9508D"/>
    <w:rsid w:val="00B95413"/>
    <w:rsid w:val="00BA1F65"/>
    <w:rsid w:val="00BA677F"/>
    <w:rsid w:val="00BB045C"/>
    <w:rsid w:val="00BB497C"/>
    <w:rsid w:val="00BB5934"/>
    <w:rsid w:val="00BB685F"/>
    <w:rsid w:val="00BD3184"/>
    <w:rsid w:val="00BD6477"/>
    <w:rsid w:val="00BD7298"/>
    <w:rsid w:val="00BE1C72"/>
    <w:rsid w:val="00BE3AC7"/>
    <w:rsid w:val="00BF347D"/>
    <w:rsid w:val="00C00466"/>
    <w:rsid w:val="00C12067"/>
    <w:rsid w:val="00C1207D"/>
    <w:rsid w:val="00C224A5"/>
    <w:rsid w:val="00C27C36"/>
    <w:rsid w:val="00C33BCB"/>
    <w:rsid w:val="00C33FE0"/>
    <w:rsid w:val="00C34426"/>
    <w:rsid w:val="00C3743F"/>
    <w:rsid w:val="00C60195"/>
    <w:rsid w:val="00C62F39"/>
    <w:rsid w:val="00C76FE3"/>
    <w:rsid w:val="00C83C5C"/>
    <w:rsid w:val="00C86B1A"/>
    <w:rsid w:val="00C8767E"/>
    <w:rsid w:val="00C92ECD"/>
    <w:rsid w:val="00C95C6D"/>
    <w:rsid w:val="00CA5428"/>
    <w:rsid w:val="00CB7F20"/>
    <w:rsid w:val="00D01EC6"/>
    <w:rsid w:val="00D108CF"/>
    <w:rsid w:val="00D13046"/>
    <w:rsid w:val="00D3630A"/>
    <w:rsid w:val="00D46938"/>
    <w:rsid w:val="00D531A9"/>
    <w:rsid w:val="00D61906"/>
    <w:rsid w:val="00D66D70"/>
    <w:rsid w:val="00D80028"/>
    <w:rsid w:val="00D826B8"/>
    <w:rsid w:val="00D8425F"/>
    <w:rsid w:val="00D866E5"/>
    <w:rsid w:val="00D87070"/>
    <w:rsid w:val="00D92121"/>
    <w:rsid w:val="00D92661"/>
    <w:rsid w:val="00DA640E"/>
    <w:rsid w:val="00DA6CF4"/>
    <w:rsid w:val="00DA7ECB"/>
    <w:rsid w:val="00DB14C1"/>
    <w:rsid w:val="00DC7504"/>
    <w:rsid w:val="00DD203E"/>
    <w:rsid w:val="00DD37A4"/>
    <w:rsid w:val="00DD6DEF"/>
    <w:rsid w:val="00DD6E95"/>
    <w:rsid w:val="00DF4EAD"/>
    <w:rsid w:val="00DF52C5"/>
    <w:rsid w:val="00E01622"/>
    <w:rsid w:val="00E03F41"/>
    <w:rsid w:val="00E16C29"/>
    <w:rsid w:val="00E2271D"/>
    <w:rsid w:val="00E25661"/>
    <w:rsid w:val="00E25F99"/>
    <w:rsid w:val="00E300F6"/>
    <w:rsid w:val="00E307CF"/>
    <w:rsid w:val="00E32BEC"/>
    <w:rsid w:val="00E33658"/>
    <w:rsid w:val="00E35611"/>
    <w:rsid w:val="00E435C2"/>
    <w:rsid w:val="00E534C9"/>
    <w:rsid w:val="00E60686"/>
    <w:rsid w:val="00E73684"/>
    <w:rsid w:val="00E76C3F"/>
    <w:rsid w:val="00E7707C"/>
    <w:rsid w:val="00E80ADD"/>
    <w:rsid w:val="00E95CFF"/>
    <w:rsid w:val="00EA606C"/>
    <w:rsid w:val="00EC5DE2"/>
    <w:rsid w:val="00EE008C"/>
    <w:rsid w:val="00EE3DE1"/>
    <w:rsid w:val="00EE6FAB"/>
    <w:rsid w:val="00EE79DD"/>
    <w:rsid w:val="00EF5712"/>
    <w:rsid w:val="00EF7246"/>
    <w:rsid w:val="00EF7C32"/>
    <w:rsid w:val="00F031C5"/>
    <w:rsid w:val="00F05413"/>
    <w:rsid w:val="00F17114"/>
    <w:rsid w:val="00F209F7"/>
    <w:rsid w:val="00F33CB7"/>
    <w:rsid w:val="00F52E7C"/>
    <w:rsid w:val="00F62983"/>
    <w:rsid w:val="00F72B13"/>
    <w:rsid w:val="00F85C0F"/>
    <w:rsid w:val="00F92FD4"/>
    <w:rsid w:val="00F97D55"/>
    <w:rsid w:val="00FA3BCC"/>
    <w:rsid w:val="00FA72F6"/>
    <w:rsid w:val="00FB74BD"/>
    <w:rsid w:val="00FC0041"/>
    <w:rsid w:val="00FC1701"/>
    <w:rsid w:val="00FC28A3"/>
    <w:rsid w:val="00FC5FAF"/>
    <w:rsid w:val="00FD5F9E"/>
    <w:rsid w:val="00FD7D2F"/>
    <w:rsid w:val="1B9F10DC"/>
    <w:rsid w:val="4808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8"/>
    <w:qFormat/>
    <w:uiPriority w:val="9"/>
    <w:pPr>
      <w:outlineLvl w:val="0"/>
    </w:pPr>
    <w:rPr>
      <w:rFonts w:eastAsia="黑体"/>
      <w:bCs/>
      <w:kern w:val="44"/>
      <w:szCs w:val="44"/>
    </w:rPr>
  </w:style>
  <w:style w:type="paragraph" w:styleId="3">
    <w:name w:val="heading 2"/>
    <w:basedOn w:val="1"/>
    <w:next w:val="1"/>
    <w:link w:val="21"/>
    <w:unhideWhenUsed/>
    <w:qFormat/>
    <w:uiPriority w:val="9"/>
    <w:pPr>
      <w:outlineLvl w:val="1"/>
    </w:pPr>
    <w:rPr>
      <w:rFonts w:eastAsia="楷体_GB2312" w:asciiTheme="majorHAnsi" w:hAnsiTheme="majorHAnsi" w:cstheme="majorBidi"/>
      <w:b/>
      <w:bCs/>
      <w:szCs w:val="32"/>
    </w:rPr>
  </w:style>
  <w:style w:type="paragraph" w:styleId="4">
    <w:name w:val="heading 3"/>
    <w:basedOn w:val="1"/>
    <w:next w:val="1"/>
    <w:link w:val="22"/>
    <w:unhideWhenUsed/>
    <w:qFormat/>
    <w:uiPriority w:val="9"/>
    <w:pPr>
      <w:outlineLvl w:val="2"/>
    </w:pPr>
    <w:rPr>
      <w:b/>
      <w:bCs/>
      <w:szCs w:val="32"/>
    </w:rPr>
  </w:style>
  <w:style w:type="paragraph" w:styleId="5">
    <w:name w:val="heading 4"/>
    <w:basedOn w:val="1"/>
    <w:next w:val="1"/>
    <w:link w:val="23"/>
    <w:semiHidden/>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6"/>
    <w:unhideWhenUsed/>
    <w:uiPriority w:val="99"/>
    <w:pPr>
      <w:jc w:val="left"/>
    </w:pPr>
  </w:style>
  <w:style w:type="paragraph" w:styleId="7">
    <w:name w:val="toc 3"/>
    <w:basedOn w:val="1"/>
    <w:next w:val="1"/>
    <w:unhideWhenUsed/>
    <w:qFormat/>
    <w:uiPriority w:val="39"/>
    <w:pPr>
      <w:ind w:left="840" w:leftChars="400"/>
    </w:pPr>
  </w:style>
  <w:style w:type="paragraph" w:styleId="8">
    <w:name w:val="Balloon Text"/>
    <w:basedOn w:val="1"/>
    <w:link w:val="29"/>
    <w:semiHidden/>
    <w:unhideWhenUsed/>
    <w:uiPriority w:val="99"/>
    <w:pPr>
      <w:spacing w:line="240" w:lineRule="auto"/>
    </w:pPr>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tabs>
        <w:tab w:val="right" w:leader="dot" w:pos="8296"/>
      </w:tabs>
      <w:ind w:firstLine="643"/>
    </w:pPr>
    <w:rPr>
      <w:rFonts w:ascii="仿宋_GB2312"/>
      <w:b/>
      <w:bCs/>
    </w:rPr>
  </w:style>
  <w:style w:type="paragraph" w:styleId="13">
    <w:name w:val="annotation subject"/>
    <w:basedOn w:val="6"/>
    <w:next w:val="6"/>
    <w:link w:val="27"/>
    <w:semiHidden/>
    <w:unhideWhenUsed/>
    <w:uiPriority w:val="99"/>
    <w:rPr>
      <w:b/>
      <w:bCs/>
    </w:r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标题 1 Char"/>
    <w:basedOn w:val="15"/>
    <w:link w:val="2"/>
    <w:qFormat/>
    <w:uiPriority w:val="9"/>
    <w:rPr>
      <w:rFonts w:eastAsia="黑体"/>
      <w:bCs/>
      <w:kern w:val="44"/>
      <w:sz w:val="32"/>
      <w:szCs w:val="44"/>
    </w:rPr>
  </w:style>
  <w:style w:type="character" w:customStyle="1" w:styleId="19">
    <w:name w:val="页眉 Char"/>
    <w:basedOn w:val="15"/>
    <w:link w:val="10"/>
    <w:qFormat/>
    <w:uiPriority w:val="99"/>
    <w:rPr>
      <w:sz w:val="18"/>
      <w:szCs w:val="18"/>
    </w:rPr>
  </w:style>
  <w:style w:type="character" w:customStyle="1" w:styleId="20">
    <w:name w:val="页脚 Char"/>
    <w:basedOn w:val="15"/>
    <w:link w:val="9"/>
    <w:qFormat/>
    <w:uiPriority w:val="99"/>
    <w:rPr>
      <w:sz w:val="18"/>
      <w:szCs w:val="18"/>
    </w:rPr>
  </w:style>
  <w:style w:type="character" w:customStyle="1" w:styleId="21">
    <w:name w:val="标题 2 Char"/>
    <w:basedOn w:val="15"/>
    <w:link w:val="3"/>
    <w:uiPriority w:val="9"/>
    <w:rPr>
      <w:rFonts w:eastAsia="楷体_GB2312" w:asciiTheme="majorHAnsi" w:hAnsiTheme="majorHAnsi" w:cstheme="majorBidi"/>
      <w:b/>
      <w:bCs/>
      <w:sz w:val="32"/>
      <w:szCs w:val="32"/>
    </w:rPr>
  </w:style>
  <w:style w:type="character" w:customStyle="1" w:styleId="22">
    <w:name w:val="标题 3 Char"/>
    <w:basedOn w:val="15"/>
    <w:link w:val="4"/>
    <w:uiPriority w:val="9"/>
    <w:rPr>
      <w:rFonts w:eastAsia="仿宋_GB2312"/>
      <w:b/>
      <w:bCs/>
      <w:kern w:val="2"/>
      <w:sz w:val="32"/>
      <w:szCs w:val="32"/>
    </w:rPr>
  </w:style>
  <w:style w:type="character" w:customStyle="1" w:styleId="23">
    <w:name w:val="标题 4 Char"/>
    <w:basedOn w:val="15"/>
    <w:link w:val="5"/>
    <w:semiHidden/>
    <w:uiPriority w:val="9"/>
    <w:rPr>
      <w:rFonts w:asciiTheme="majorHAnsi" w:hAnsiTheme="majorHAnsi" w:eastAsiaTheme="majorEastAsia" w:cstheme="majorBidi"/>
      <w:b/>
      <w:bCs/>
      <w:sz w:val="28"/>
      <w:szCs w:val="28"/>
    </w:rPr>
  </w:style>
  <w:style w:type="paragraph" w:customStyle="1" w:styleId="24">
    <w:name w:val="TOC 标题1"/>
    <w:basedOn w:val="2"/>
    <w:next w:val="1"/>
    <w:unhideWhenUsed/>
    <w:qFormat/>
    <w:uiPriority w:val="39"/>
    <w:pPr>
      <w:keepNext/>
      <w:keepLines/>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paragraph" w:styleId="25">
    <w:name w:val="List Paragraph"/>
    <w:basedOn w:val="1"/>
    <w:qFormat/>
    <w:uiPriority w:val="34"/>
    <w:pPr>
      <w:ind w:firstLine="420"/>
    </w:pPr>
  </w:style>
  <w:style w:type="character" w:customStyle="1" w:styleId="26">
    <w:name w:val="批注文字 Char"/>
    <w:basedOn w:val="15"/>
    <w:link w:val="6"/>
    <w:uiPriority w:val="99"/>
    <w:rPr>
      <w:rFonts w:eastAsia="仿宋_GB2312"/>
      <w:sz w:val="32"/>
    </w:rPr>
  </w:style>
  <w:style w:type="character" w:customStyle="1" w:styleId="27">
    <w:name w:val="批注主题 Char"/>
    <w:basedOn w:val="26"/>
    <w:link w:val="13"/>
    <w:semiHidden/>
    <w:uiPriority w:val="99"/>
    <w:rPr>
      <w:rFonts w:eastAsia="仿宋_GB2312"/>
      <w:b/>
      <w:bCs/>
      <w:sz w:val="32"/>
    </w:rPr>
  </w:style>
  <w:style w:type="paragraph" w:customStyle="1" w:styleId="28">
    <w:name w:val="Revision"/>
    <w:hidden/>
    <w:semiHidden/>
    <w:uiPriority w:val="99"/>
    <w:rPr>
      <w:rFonts w:eastAsia="仿宋_GB2312" w:asciiTheme="minorHAnsi" w:hAnsiTheme="minorHAnsi" w:cstheme="minorBidi"/>
      <w:kern w:val="2"/>
      <w:sz w:val="32"/>
      <w:szCs w:val="22"/>
      <w:lang w:val="en-US" w:eastAsia="zh-CN" w:bidi="ar-SA"/>
    </w:rPr>
  </w:style>
  <w:style w:type="character" w:customStyle="1" w:styleId="29">
    <w:name w:val="批注框文本 Char"/>
    <w:basedOn w:val="15"/>
    <w:link w:val="8"/>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A1652-B6E7-4235-A499-13C60B2DE835}">
  <ds:schemaRefs/>
</ds:datastoreItem>
</file>

<file path=docProps/app.xml><?xml version="1.0" encoding="utf-8"?>
<Properties xmlns="http://schemas.openxmlformats.org/officeDocument/2006/extended-properties" xmlns:vt="http://schemas.openxmlformats.org/officeDocument/2006/docPropsVTypes">
  <Template>Normal</Template>
  <Pages>1</Pages>
  <Words>2010</Words>
  <Characters>11457</Characters>
  <Lines>95</Lines>
  <Paragraphs>26</Paragraphs>
  <TotalTime>2</TotalTime>
  <ScaleCrop>false</ScaleCrop>
  <LinksUpToDate>false</LinksUpToDate>
  <CharactersWithSpaces>13441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2022-08-31T03:27:00Z</dcterms:created>
  <dc:creator>罗冰</dc:creator>
  <cp:lastModifiedBy>Administrator</cp:lastModifiedBy>
  <dcterms:modified xsi:type="dcterms:W3CDTF">2024-09-12T08:26:32Z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66E5A5CC23D7400FABD9873B6516586E</vt:lpwstr>
  </property>
</Properties>
</file>