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rPr>
          <w:rFonts w:hint="eastAsia"/>
        </w:rPr>
      </w:pPr>
      <w:bookmarkStart w:id="0" w:name="_Toc139284261"/>
      <w:r>
        <w:rPr>
          <w:rFonts w:hint="eastAsia"/>
        </w:rPr>
        <w:t>福田区工业发展“十一五”规划</w:t>
      </w:r>
      <w:bookmarkEnd w:id="0"/>
    </w:p>
    <w:p>
      <w:pPr>
        <w:adjustRightInd w:val="0"/>
        <w:snapToGrid w:val="0"/>
        <w:jc w:val="center"/>
        <w:rPr>
          <w:rFonts w:hint="eastAsia" w:ascii="宋体" w:hAnsi="宋体"/>
          <w:sz w:val="24"/>
        </w:rPr>
      </w:pPr>
    </w:p>
    <w:p>
      <w:pPr>
        <w:adjustRightInd w:val="0"/>
        <w:snapToGrid w:val="0"/>
        <w:ind w:firstLine="602" w:firstLineChars="200"/>
        <w:rPr>
          <w:rFonts w:hint="eastAsia" w:ascii="宋体" w:hAnsi="宋体"/>
          <w:b/>
          <w:bCs/>
          <w:sz w:val="30"/>
        </w:rPr>
      </w:pPr>
      <w:r>
        <w:rPr>
          <w:rFonts w:hint="eastAsia" w:ascii="宋体" w:hAnsi="宋体"/>
          <w:b/>
          <w:bCs/>
          <w:sz w:val="30"/>
        </w:rPr>
        <w:t>前  言</w:t>
      </w:r>
    </w:p>
    <w:p>
      <w:pPr>
        <w:adjustRightInd w:val="0"/>
        <w:snapToGrid w:val="0"/>
        <w:ind w:firstLine="480" w:firstLineChars="200"/>
        <w:rPr>
          <w:rFonts w:hint="eastAsia" w:ascii="宋体" w:hAnsi="宋体"/>
          <w:sz w:val="24"/>
          <w:szCs w:val="18"/>
        </w:rPr>
      </w:pPr>
      <w:r>
        <w:rPr>
          <w:rFonts w:hint="eastAsia" w:ascii="宋体" w:hAnsi="宋体"/>
          <w:sz w:val="24"/>
          <w:szCs w:val="21"/>
        </w:rPr>
        <w:t>2006年到2010年，是深圳市实现“</w:t>
      </w:r>
      <w:r>
        <w:rPr>
          <w:rFonts w:ascii="宋体" w:hAnsi="宋体"/>
          <w:sz w:val="24"/>
          <w:szCs w:val="21"/>
        </w:rPr>
        <w:t>力争到2010年左右基本实现社会主义现代化</w:t>
      </w:r>
      <w:r>
        <w:rPr>
          <w:rFonts w:hint="eastAsia" w:ascii="宋体" w:hAnsi="宋体"/>
          <w:sz w:val="24"/>
          <w:szCs w:val="21"/>
        </w:rPr>
        <w:t>”目标的关键时期，也是福田区都市工业重要的发展阶段。为了提高工业</w:t>
      </w:r>
      <w:r>
        <w:rPr>
          <w:rFonts w:ascii="宋体" w:hAnsi="宋体"/>
          <w:sz w:val="24"/>
          <w:szCs w:val="18"/>
        </w:rPr>
        <w:t>经济增长的质量，增强工业的综合实力和</w:t>
      </w:r>
      <w:r>
        <w:rPr>
          <w:rFonts w:hint="eastAsia" w:ascii="宋体" w:hAnsi="宋体"/>
          <w:sz w:val="24"/>
          <w:szCs w:val="18"/>
        </w:rPr>
        <w:t>产业</w:t>
      </w:r>
      <w:r>
        <w:rPr>
          <w:rFonts w:ascii="宋体" w:hAnsi="宋体"/>
          <w:sz w:val="24"/>
          <w:szCs w:val="18"/>
        </w:rPr>
        <w:t>竞争力，</w:t>
      </w:r>
      <w:r>
        <w:rPr>
          <w:rFonts w:hint="eastAsia" w:ascii="宋体" w:hAnsi="宋体"/>
          <w:sz w:val="24"/>
          <w:szCs w:val="21"/>
        </w:rPr>
        <w:t>继续保持工业的持续、稳定发展，</w:t>
      </w:r>
      <w:r>
        <w:rPr>
          <w:rFonts w:ascii="宋体" w:hAnsi="宋体"/>
          <w:sz w:val="24"/>
          <w:szCs w:val="18"/>
        </w:rPr>
        <w:t>特制定本规划。</w:t>
      </w:r>
    </w:p>
    <w:p>
      <w:pPr>
        <w:adjustRightInd w:val="0"/>
        <w:snapToGrid w:val="0"/>
        <w:rPr>
          <w:rFonts w:hint="eastAsia" w:ascii="宋体" w:hAnsi="宋体"/>
          <w:sz w:val="24"/>
          <w:szCs w:val="18"/>
        </w:rPr>
      </w:pPr>
    </w:p>
    <w:p>
      <w:pPr>
        <w:adjustRightInd w:val="0"/>
        <w:snapToGrid w:val="0"/>
        <w:ind w:firstLine="602" w:firstLineChars="200"/>
        <w:rPr>
          <w:rFonts w:hint="eastAsia" w:ascii="宋体" w:hAnsi="宋体"/>
          <w:b/>
          <w:bCs/>
          <w:sz w:val="30"/>
        </w:rPr>
      </w:pPr>
      <w:r>
        <w:rPr>
          <w:rFonts w:hint="eastAsia" w:ascii="宋体" w:hAnsi="宋体"/>
          <w:b/>
          <w:bCs/>
          <w:sz w:val="30"/>
          <w:szCs w:val="18"/>
        </w:rPr>
        <w:t>一、</w:t>
      </w:r>
      <w:r>
        <w:rPr>
          <w:rFonts w:hint="eastAsia" w:ascii="宋体" w:hAnsi="宋体"/>
          <w:b/>
          <w:bCs/>
          <w:sz w:val="30"/>
        </w:rPr>
        <w:t>福田区工业“十五”期间的发展状况</w:t>
      </w:r>
    </w:p>
    <w:p>
      <w:pPr>
        <w:adjustRightInd w:val="0"/>
        <w:snapToGrid w:val="0"/>
        <w:ind w:firstLine="480" w:firstLineChars="200"/>
        <w:rPr>
          <w:rFonts w:hint="eastAsia" w:ascii="宋体" w:hAnsi="宋体"/>
          <w:b/>
          <w:bCs/>
          <w:sz w:val="24"/>
        </w:rPr>
      </w:pPr>
      <w:r>
        <w:rPr>
          <w:rFonts w:hint="eastAsia" w:ascii="宋体" w:hAnsi="宋体"/>
          <w:sz w:val="24"/>
          <w:szCs w:val="18"/>
        </w:rPr>
        <w:t>“十五”期间，辖区的工业质量、工业现代化水平迅速提高，工业化进程进一步加快，工业企业的国际竞争力大大增强。主要产品以高科技的通讯设备、计算机及电子设备制造业产品为主，大企业集团带动作用进一步增强，同时民族工业呈现快速发展势头。</w:t>
      </w:r>
    </w:p>
    <w:p>
      <w:pPr>
        <w:adjustRightInd w:val="0"/>
        <w:snapToGrid w:val="0"/>
        <w:ind w:firstLine="562" w:firstLineChars="200"/>
        <w:rPr>
          <w:rFonts w:hint="eastAsia" w:ascii="宋体" w:hAnsi="宋体"/>
          <w:b/>
          <w:bCs/>
          <w:sz w:val="28"/>
        </w:rPr>
      </w:pPr>
      <w:r>
        <w:rPr>
          <w:rFonts w:hint="eastAsia" w:ascii="宋体" w:hAnsi="宋体"/>
          <w:b/>
          <w:bCs/>
          <w:sz w:val="28"/>
        </w:rPr>
        <w:t>（一）辖区工业发展概况</w:t>
      </w:r>
    </w:p>
    <w:p>
      <w:pPr>
        <w:adjustRightInd w:val="0"/>
        <w:snapToGrid w:val="0"/>
        <w:ind w:firstLine="630"/>
        <w:rPr>
          <w:rFonts w:hint="eastAsia" w:ascii="宋体" w:hAnsi="宋体"/>
          <w:sz w:val="24"/>
        </w:rPr>
      </w:pPr>
      <w:r>
        <w:rPr>
          <w:rFonts w:hint="eastAsia" w:ascii="宋体" w:hAnsi="宋体"/>
          <w:sz w:val="24"/>
        </w:rPr>
        <w:t>到“十五”末期，全区有1700家工业企业，与“九五”时期相比，虽然数量有所减少，但规模以上的企业却比“九五”末期增加了260家，达到490家，增长113%，工业质量和工业效益不断提高。</w:t>
      </w:r>
    </w:p>
    <w:p>
      <w:pPr>
        <w:adjustRightInd w:val="0"/>
        <w:snapToGrid w:val="0"/>
        <w:ind w:firstLine="480" w:firstLineChars="200"/>
        <w:rPr>
          <w:rFonts w:hint="eastAsia" w:ascii="宋体" w:hAnsi="宋体"/>
          <w:sz w:val="24"/>
        </w:rPr>
      </w:pPr>
      <w:r>
        <w:rPr>
          <w:rFonts w:hint="eastAsia" w:ascii="宋体" w:hAnsi="宋体"/>
          <w:sz w:val="24"/>
          <w:szCs w:val="28"/>
        </w:rPr>
        <w:t>福田工业行业集中度较高，园区集聚效应明显，已经形成了以通讯、电子、计算机软件等</w:t>
      </w:r>
      <w:r>
        <w:rPr>
          <w:rFonts w:ascii="宋体" w:hAnsi="宋体"/>
          <w:sz w:val="24"/>
          <w:szCs w:val="28"/>
        </w:rPr>
        <w:t>IT</w:t>
      </w:r>
      <w:r>
        <w:rPr>
          <w:rFonts w:hint="eastAsia" w:ascii="宋体" w:hAnsi="宋体"/>
          <w:sz w:val="24"/>
          <w:szCs w:val="28"/>
        </w:rPr>
        <w:t>产业为主，服装、制药、钟表、印刷等多个行业并举，国有、外资、民营等多种经济成</w:t>
      </w:r>
      <w:r>
        <w:rPr>
          <w:rFonts w:hint="eastAsia" w:ascii="宋体" w:hAnsi="宋体"/>
          <w:sz w:val="24"/>
          <w:szCs w:val="28"/>
          <w:lang w:eastAsia="zh-CN"/>
        </w:rPr>
        <w:t>分</w:t>
      </w:r>
      <w:bookmarkStart w:id="1" w:name="_GoBack"/>
      <w:bookmarkEnd w:id="1"/>
      <w:r>
        <w:rPr>
          <w:rFonts w:hint="eastAsia" w:ascii="宋体" w:hAnsi="宋体"/>
          <w:sz w:val="24"/>
          <w:szCs w:val="28"/>
        </w:rPr>
        <w:t>共同发展的</w:t>
      </w:r>
      <w:r>
        <w:rPr>
          <w:rFonts w:hint="eastAsia" w:ascii="宋体" w:hAnsi="宋体"/>
          <w:sz w:val="24"/>
          <w:szCs w:val="21"/>
        </w:rPr>
        <w:t>都市工业</w:t>
      </w:r>
      <w:r>
        <w:rPr>
          <w:rFonts w:hint="eastAsia" w:ascii="宋体" w:hAnsi="宋体"/>
          <w:sz w:val="24"/>
          <w:szCs w:val="28"/>
        </w:rPr>
        <w:t>体系，</w:t>
      </w:r>
      <w:r>
        <w:rPr>
          <w:rFonts w:hint="eastAsia" w:ascii="宋体" w:hAnsi="宋体"/>
          <w:sz w:val="24"/>
        </w:rPr>
        <w:t>辖区工业产值贡献最大前20位工业企业主要集中在福田保税区、彩田北、泰然、天安等大型工业区，</w:t>
      </w:r>
      <w:r>
        <w:rPr>
          <w:rFonts w:hint="eastAsia" w:ascii="宋体" w:hAnsi="宋体"/>
          <w:sz w:val="24"/>
          <w:szCs w:val="28"/>
        </w:rPr>
        <w:t>培育出联想国际、开发科技、三星视界、飞通光电、大族激光、同洲电子等一批占据同行业领先地位的超大型骨干企业和民营科技企业。</w:t>
      </w:r>
    </w:p>
    <w:p>
      <w:pPr>
        <w:adjustRightInd w:val="0"/>
        <w:snapToGrid w:val="0"/>
        <w:ind w:firstLine="480" w:firstLineChars="200"/>
        <w:rPr>
          <w:rFonts w:hint="eastAsia" w:ascii="宋体" w:hAnsi="宋体"/>
          <w:color w:val="000000"/>
          <w:sz w:val="24"/>
        </w:rPr>
      </w:pPr>
      <w:r>
        <w:rPr>
          <w:rFonts w:hint="eastAsia" w:ascii="宋体" w:hAnsi="宋体"/>
          <w:sz w:val="24"/>
          <w:szCs w:val="28"/>
        </w:rPr>
        <w:t>福田工业的</w:t>
      </w:r>
      <w:r>
        <w:rPr>
          <w:rFonts w:hint="eastAsia" w:ascii="宋体" w:hAnsi="宋体"/>
          <w:sz w:val="24"/>
        </w:rPr>
        <w:t>外向型特征突出，现有工业企业中40%是外商投资企业。“十五”末期，辖区工业产值贡献最大的前20位工业企业中，19家是外商独资或中外合资、合作企业。工业产品销售更是以外向型为主要特征，全区加工贸易出口从“九五”末期的</w:t>
      </w:r>
      <w:r>
        <w:rPr>
          <w:rFonts w:ascii="宋体" w:hAnsi="宋体"/>
          <w:color w:val="000000"/>
          <w:sz w:val="24"/>
        </w:rPr>
        <w:t>35</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1亿美元（占外贸出口总额比重77.14%）增加到2005年的122.24亿美元（占外贸出口总额比重55.96%），年均增长49.63%，工业成为辖区外贸出口的主力军。</w:t>
      </w:r>
    </w:p>
    <w:p>
      <w:pPr>
        <w:tabs>
          <w:tab w:val="left" w:pos="435"/>
        </w:tabs>
        <w:adjustRightInd w:val="0"/>
        <w:snapToGrid w:val="0"/>
        <w:ind w:firstLine="480" w:firstLineChars="200"/>
        <w:rPr>
          <w:rFonts w:hint="eastAsia" w:ascii="宋体" w:hAnsi="宋体"/>
          <w:sz w:val="24"/>
        </w:rPr>
      </w:pPr>
      <w:r>
        <w:rPr>
          <w:rFonts w:hint="eastAsia" w:ascii="宋体" w:hAnsi="宋体"/>
          <w:sz w:val="24"/>
        </w:rPr>
        <w:t>目前，福田辖区内共有大小工业区29个，总占地面积约620万平方米，总建筑面积约760万平方米。其中较具规模的工业区7个，包括福田保税区、彩田北工业区、泰然、天安、八卦岭、上步、金地（含沙尾）；另有22个工业小区,零散分布在辖区沙头、上梅林、下梅林、香蜜湖、莲花等片区。其中：</w:t>
      </w:r>
    </w:p>
    <w:p>
      <w:pPr>
        <w:tabs>
          <w:tab w:val="left" w:pos="435"/>
        </w:tabs>
        <w:adjustRightInd w:val="0"/>
        <w:snapToGrid w:val="0"/>
        <w:ind w:firstLine="480" w:firstLineChars="200"/>
        <w:rPr>
          <w:rFonts w:hint="eastAsia" w:ascii="宋体" w:hAnsi="宋体"/>
          <w:bCs/>
          <w:sz w:val="24"/>
        </w:rPr>
      </w:pPr>
      <w:r>
        <w:rPr>
          <w:rFonts w:hint="eastAsia" w:ascii="宋体" w:hAnsi="宋体"/>
          <w:bCs/>
          <w:sz w:val="24"/>
        </w:rPr>
        <w:t>——福田保税区，占地面积135万平方米（不含生活区），现有厂房21栋（含保税区管理局办公楼），总建筑面积147万平方米。截止2005年6月底，入驻企业为1080家，其中包括联想国际、日立环球、长城国际系统科技、赛意法、杜邦等超大型工业企业，以及三星、英特尔、理光、日立、三洋、松下、索尼等一批跨国集团设立的物流中心。</w:t>
      </w:r>
    </w:p>
    <w:p>
      <w:pPr>
        <w:tabs>
          <w:tab w:val="left" w:pos="435"/>
        </w:tabs>
        <w:adjustRightInd w:val="0"/>
        <w:snapToGrid w:val="0"/>
        <w:ind w:firstLine="480" w:firstLineChars="200"/>
        <w:rPr>
          <w:rFonts w:hint="eastAsia" w:ascii="宋体" w:hAnsi="宋体"/>
          <w:bCs/>
          <w:sz w:val="24"/>
        </w:rPr>
      </w:pPr>
      <w:r>
        <w:rPr>
          <w:rFonts w:hint="eastAsia" w:ascii="宋体" w:hAnsi="宋体"/>
          <w:bCs/>
          <w:sz w:val="24"/>
        </w:rPr>
        <w:t>——彩田北工业区，占地面积40万平方米，建筑面积47万平方米，主要聚集了三星视界、理光工业、开发科技、易拓科技和赛格日立等5家我市工业百强企业。</w:t>
      </w:r>
    </w:p>
    <w:p>
      <w:pPr>
        <w:adjustRightInd w:val="0"/>
        <w:snapToGrid w:val="0"/>
        <w:ind w:firstLine="480" w:firstLineChars="200"/>
        <w:rPr>
          <w:rFonts w:hint="eastAsia" w:ascii="宋体" w:hAnsi="宋体"/>
          <w:bCs/>
          <w:sz w:val="24"/>
        </w:rPr>
      </w:pPr>
      <w:r>
        <w:rPr>
          <w:rFonts w:hint="eastAsia" w:ascii="宋体" w:hAnsi="宋体"/>
          <w:bCs/>
          <w:sz w:val="24"/>
        </w:rPr>
        <w:t>——泰然工贸园，由泰然实业股份有限公司开发建设，占地面积85万平方米，建筑面积130万平方米，区内环境优美，入驻企业1320家，包括杜邦、大冷王、好富顿、百安居等世界500强驻深企业，南瑞、中国网通等国内高科技企业及深圳金融结算中心、工商银行结算中心、建设银行结算中心、农业银行结算中心等辖区重点企业。</w:t>
      </w:r>
    </w:p>
    <w:p>
      <w:pPr>
        <w:adjustRightInd w:val="0"/>
        <w:snapToGrid w:val="0"/>
        <w:ind w:firstLine="480" w:firstLineChars="200"/>
        <w:rPr>
          <w:rFonts w:hint="eastAsia" w:ascii="宋体" w:hAnsi="宋体"/>
          <w:bCs/>
          <w:sz w:val="24"/>
        </w:rPr>
      </w:pPr>
      <w:r>
        <w:rPr>
          <w:rFonts w:hint="eastAsia" w:ascii="宋体" w:hAnsi="宋体"/>
          <w:bCs/>
          <w:sz w:val="24"/>
        </w:rPr>
        <w:t>——天安数码城，是泰然实业股份有限公司与香港天安中国投资有限公司合资开发的工业小区，占地面积30万平方米，建筑面积约80万平方米，进驻了1000余家高科技优质企业，其中包括精量、研详智能、海川等规模以上高新技术企业。园区是集产品研发、设计、生产和配套商务、金融为一体的高科技产业园区，被科学技术部授予全国首家“国家级民营科技园区”荣誉称号。</w:t>
      </w:r>
    </w:p>
    <w:p>
      <w:pPr>
        <w:tabs>
          <w:tab w:val="left" w:pos="435"/>
        </w:tabs>
        <w:adjustRightInd w:val="0"/>
        <w:snapToGrid w:val="0"/>
        <w:ind w:firstLine="480" w:firstLineChars="200"/>
        <w:rPr>
          <w:rFonts w:hint="eastAsia" w:ascii="宋体" w:hAnsi="宋体"/>
          <w:bCs/>
          <w:sz w:val="24"/>
        </w:rPr>
      </w:pPr>
      <w:r>
        <w:rPr>
          <w:rFonts w:hint="eastAsia" w:ascii="宋体" w:hAnsi="宋体"/>
          <w:bCs/>
          <w:sz w:val="24"/>
        </w:rPr>
        <w:t>——八卦岭工业区，由深圳鹏基工业发展总公司开发建设，规划总占地面积116万平方米，其中工业厂房（含原厂房配套宿舍区）的占地面积约99万平方米，建筑面积为134万平方米，有相当部份工业厂房已转为商业或写字楼用途。该工业区现已发展成集工业、商贸、写字楼、餐饮业、商住等为一体的综合性多功能小区，工业区功能空间受到一定的挤占。</w:t>
      </w:r>
    </w:p>
    <w:p>
      <w:pPr>
        <w:adjustRightInd w:val="0"/>
        <w:snapToGrid w:val="0"/>
        <w:ind w:firstLine="562" w:firstLineChars="200"/>
        <w:rPr>
          <w:rFonts w:hint="eastAsia" w:ascii="宋体" w:hAnsi="宋体"/>
          <w:b/>
          <w:bCs/>
          <w:sz w:val="28"/>
        </w:rPr>
      </w:pPr>
      <w:r>
        <w:rPr>
          <w:rFonts w:hint="eastAsia" w:ascii="宋体" w:hAnsi="宋体"/>
          <w:b/>
          <w:bCs/>
          <w:sz w:val="28"/>
        </w:rPr>
        <w:t>（二）工业效益逐年提高</w:t>
      </w:r>
    </w:p>
    <w:p>
      <w:pPr>
        <w:pStyle w:val="12"/>
        <w:adjustRightInd w:val="0"/>
        <w:snapToGrid w:val="0"/>
        <w:spacing w:after="300" w:afterLines="50"/>
        <w:ind w:firstLine="480" w:firstLineChars="200"/>
        <w:rPr>
          <w:rFonts w:hint="eastAsia" w:hAnsi="宋体"/>
          <w:sz w:val="24"/>
        </w:rPr>
      </w:pPr>
      <w:r>
        <w:rPr>
          <w:rFonts w:hint="eastAsia" w:hAnsi="宋体"/>
          <w:sz w:val="24"/>
        </w:rPr>
        <w:t>“十五”期间，福田工业继续保持快速健康发展，综合实力显著增强。全区规模以上工业企业总产值（现价）从“九五”末期的432.01亿元，增至2005年的1155.09亿元，增长167.38％（见图1）。</w:t>
      </w:r>
    </w:p>
    <w:p>
      <w:pPr>
        <w:pStyle w:val="12"/>
        <w:adjustRightInd w:val="0"/>
        <w:snapToGrid w:val="0"/>
        <w:ind w:firstLine="480" w:firstLineChars="200"/>
        <w:jc w:val="center"/>
        <w:rPr>
          <w:rFonts w:hint="eastAsia" w:hAnsi="宋体"/>
          <w:sz w:val="24"/>
        </w:rPr>
      </w:pPr>
      <w:r>
        <w:rPr>
          <w:rFonts w:hAnsi="宋体"/>
          <w:sz w:val="24"/>
        </w:rPr>
        <w:object>
          <v:shape id="_x0000_i1025" o:spt="75" type="#_x0000_t75" style="height:212.25pt;width:323.25pt;" o:ole="t" filled="f"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adjustRightInd w:val="0"/>
        <w:snapToGrid w:val="0"/>
        <w:jc w:val="center"/>
        <w:rPr>
          <w:rFonts w:hint="eastAsia" w:ascii="宋体" w:hAnsi="宋体"/>
          <w:b/>
          <w:bCs/>
          <w:sz w:val="24"/>
        </w:rPr>
      </w:pPr>
      <w:r>
        <w:rPr>
          <w:rFonts w:hint="eastAsia" w:ascii="宋体" w:hAnsi="宋体"/>
          <w:b/>
          <w:bCs/>
          <w:sz w:val="24"/>
        </w:rPr>
        <w:t>图1：辖区“十五”期间规模以上工业总产值及增长速度</w:t>
      </w:r>
    </w:p>
    <w:p>
      <w:pPr>
        <w:pStyle w:val="12"/>
        <w:adjustRightInd w:val="0"/>
        <w:snapToGrid w:val="0"/>
        <w:spacing w:before="300" w:beforeLines="50"/>
        <w:ind w:firstLine="480" w:firstLineChars="200"/>
        <w:rPr>
          <w:rFonts w:hint="eastAsia" w:hAnsi="宋体"/>
          <w:sz w:val="24"/>
        </w:rPr>
      </w:pPr>
      <w:r>
        <w:rPr>
          <w:rFonts w:hint="eastAsia" w:hAnsi="宋体"/>
          <w:sz w:val="24"/>
        </w:rPr>
        <w:t>辖区每平方公里土地工业总产值从“九五”末期的5.48亿元，增至2005年的14.66亿元，增长了167.52%，实现年均递增33.50%。</w:t>
      </w:r>
    </w:p>
    <w:p>
      <w:pPr>
        <w:pStyle w:val="12"/>
        <w:adjustRightInd w:val="0"/>
        <w:snapToGrid w:val="0"/>
        <w:ind w:firstLine="480" w:firstLineChars="200"/>
        <w:rPr>
          <w:rFonts w:hint="eastAsia" w:hAnsi="宋体"/>
          <w:sz w:val="24"/>
        </w:rPr>
      </w:pPr>
      <w:r>
        <w:rPr>
          <w:rFonts w:hint="eastAsia" w:hAnsi="宋体"/>
          <w:sz w:val="24"/>
        </w:rPr>
        <w:t>辖区每平方公里工业用地工业总产值从“九五”末期的69.68亿元，增至2005年的186.30亿元，增长了167.37%，实现年均递增33.47%。</w:t>
      </w:r>
    </w:p>
    <w:p>
      <w:pPr>
        <w:pStyle w:val="12"/>
        <w:adjustRightInd w:val="0"/>
        <w:snapToGrid w:val="0"/>
        <w:ind w:firstLine="480" w:firstLineChars="200"/>
        <w:rPr>
          <w:rFonts w:hint="eastAsia" w:hAnsi="宋体"/>
          <w:sz w:val="24"/>
        </w:rPr>
      </w:pPr>
      <w:r>
        <w:rPr>
          <w:rFonts w:hint="eastAsia" w:hAnsi="宋体"/>
          <w:sz w:val="24"/>
        </w:rPr>
        <w:t>工业增加值从“九五”末期的137.86亿元，增至2005年的270.21亿元，增长96.00％，实现年均递增19.20％，五年累计实现增加值1027.59亿元（见图2）。</w:t>
      </w:r>
    </w:p>
    <w:p>
      <w:pPr>
        <w:pStyle w:val="12"/>
        <w:adjustRightInd w:val="0"/>
        <w:snapToGrid w:val="0"/>
        <w:ind w:firstLine="560"/>
        <w:jc w:val="center"/>
        <w:rPr>
          <w:rFonts w:hint="eastAsia" w:hAnsi="宋体"/>
          <w:sz w:val="24"/>
        </w:rPr>
      </w:pPr>
      <w:r>
        <w:rPr>
          <w:rFonts w:hAnsi="宋体"/>
          <w:sz w:val="24"/>
        </w:rPr>
        <w:object>
          <v:shape id="_x0000_i1026" o:spt="75" type="#_x0000_t75" style="height:212.25pt;width:323.25pt;" o:ole="t" filled="f"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pPr>
        <w:adjustRightInd w:val="0"/>
        <w:snapToGrid w:val="0"/>
        <w:jc w:val="center"/>
        <w:rPr>
          <w:rFonts w:hint="eastAsia" w:ascii="宋体" w:hAnsi="宋体"/>
          <w:b/>
          <w:bCs/>
          <w:sz w:val="24"/>
        </w:rPr>
      </w:pPr>
      <w:r>
        <w:rPr>
          <w:rFonts w:hint="eastAsia" w:ascii="宋体" w:hAnsi="宋体"/>
          <w:b/>
          <w:bCs/>
          <w:sz w:val="24"/>
        </w:rPr>
        <w:t>图2：辖区“十五”期间规模以上工业增加值及增长速度</w:t>
      </w:r>
    </w:p>
    <w:p>
      <w:pPr>
        <w:pStyle w:val="12"/>
        <w:adjustRightInd w:val="0"/>
        <w:snapToGrid w:val="0"/>
        <w:spacing w:before="300" w:beforeLines="50"/>
        <w:ind w:firstLine="480" w:firstLineChars="200"/>
        <w:rPr>
          <w:rFonts w:hint="eastAsia" w:hAnsi="宋体"/>
          <w:sz w:val="24"/>
        </w:rPr>
      </w:pPr>
      <w:r>
        <w:rPr>
          <w:rFonts w:hint="eastAsia" w:hAnsi="宋体"/>
          <w:sz w:val="24"/>
        </w:rPr>
        <w:t>辖区每平方公里土地工业增加值从“九五”末期的1.75亿元，增至2005年的3.43亿元，增长了96.00%，实现年均递增19.20%。</w:t>
      </w:r>
    </w:p>
    <w:p>
      <w:pPr>
        <w:pStyle w:val="12"/>
        <w:adjustRightInd w:val="0"/>
        <w:snapToGrid w:val="0"/>
        <w:ind w:firstLine="480" w:firstLineChars="200"/>
        <w:rPr>
          <w:rFonts w:hint="eastAsia" w:hAnsi="宋体"/>
          <w:sz w:val="24"/>
        </w:rPr>
      </w:pPr>
      <w:r>
        <w:rPr>
          <w:rFonts w:hint="eastAsia" w:hAnsi="宋体"/>
          <w:sz w:val="24"/>
        </w:rPr>
        <w:t>辖区每平方公里工业用地工业增加值从“九五”末期的22.24亿元，增至2005年的43.58亿元，增长了95.95%，实现年均递增19.19%。</w:t>
      </w:r>
    </w:p>
    <w:p>
      <w:pPr>
        <w:pStyle w:val="12"/>
        <w:adjustRightInd w:val="0"/>
        <w:snapToGrid w:val="0"/>
        <w:ind w:firstLine="480" w:firstLineChars="200"/>
        <w:rPr>
          <w:rFonts w:hint="eastAsia" w:hAnsi="宋体"/>
          <w:sz w:val="24"/>
        </w:rPr>
      </w:pPr>
      <w:r>
        <w:rPr>
          <w:rFonts w:hint="eastAsia" w:hAnsi="宋体"/>
          <w:sz w:val="24"/>
        </w:rPr>
        <w:t>工业全员劳动生产率从“九五”末期的</w:t>
      </w:r>
      <w:r>
        <w:rPr>
          <w:rFonts w:hAnsi="宋体"/>
          <w:sz w:val="24"/>
        </w:rPr>
        <w:t>5</w:t>
      </w:r>
      <w:r>
        <w:rPr>
          <w:rFonts w:hint="eastAsia" w:hAnsi="宋体"/>
          <w:sz w:val="24"/>
        </w:rPr>
        <w:t>.</w:t>
      </w:r>
      <w:r>
        <w:rPr>
          <w:rFonts w:hAnsi="宋体"/>
          <w:sz w:val="24"/>
        </w:rPr>
        <w:t>4</w:t>
      </w:r>
      <w:r>
        <w:rPr>
          <w:rFonts w:hint="eastAsia" w:hAnsi="宋体"/>
          <w:sz w:val="24"/>
        </w:rPr>
        <w:t>万元，增至2005年的22.48万元，增长316.30％，实现年均递增63.26％（见图3）。</w:t>
      </w:r>
    </w:p>
    <w:p>
      <w:pPr>
        <w:pStyle w:val="12"/>
        <w:adjustRightInd w:val="0"/>
        <w:snapToGrid w:val="0"/>
        <w:ind w:firstLine="480" w:firstLineChars="200"/>
        <w:jc w:val="center"/>
        <w:rPr>
          <w:rFonts w:hint="eastAsia" w:hAnsi="宋体"/>
          <w:sz w:val="24"/>
        </w:rPr>
      </w:pPr>
      <w:r>
        <w:rPr>
          <w:rFonts w:hAnsi="宋体"/>
          <w:sz w:val="24"/>
        </w:rPr>
        <w:object>
          <v:shape id="_x0000_i1027" o:spt="75" type="#_x0000_t75" style="height:207.75pt;width:324pt;" o:ole="t" filled="f"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pStyle w:val="12"/>
        <w:adjustRightInd w:val="0"/>
        <w:snapToGrid w:val="0"/>
        <w:ind w:firstLine="481" w:firstLineChars="200"/>
        <w:jc w:val="center"/>
        <w:rPr>
          <w:rFonts w:hint="eastAsia" w:hAnsi="宋体"/>
          <w:sz w:val="24"/>
        </w:rPr>
      </w:pPr>
      <w:r>
        <w:rPr>
          <w:rFonts w:hint="eastAsia" w:hAnsi="宋体"/>
          <w:b/>
          <w:bCs/>
          <w:sz w:val="24"/>
        </w:rPr>
        <w:t>图3：辖区“十五”期间规模以上工业全员劳动生产率</w:t>
      </w:r>
    </w:p>
    <w:p>
      <w:pPr>
        <w:pStyle w:val="12"/>
        <w:adjustRightInd w:val="0"/>
        <w:snapToGrid w:val="0"/>
        <w:spacing w:before="300" w:beforeLines="50"/>
        <w:ind w:firstLine="480" w:firstLineChars="200"/>
        <w:rPr>
          <w:rFonts w:hint="eastAsia" w:hAnsi="宋体"/>
          <w:sz w:val="24"/>
        </w:rPr>
      </w:pPr>
      <w:r>
        <w:rPr>
          <w:rFonts w:hint="eastAsia" w:hAnsi="宋体"/>
          <w:sz w:val="24"/>
        </w:rPr>
        <w:t>工业产品销售率“九五”末期为96.7％，2005年为95.9％，</w:t>
      </w:r>
      <w:r>
        <w:rPr>
          <w:rFonts w:hAnsi="宋体"/>
          <w:sz w:val="24"/>
        </w:rPr>
        <w:t>“</w:t>
      </w:r>
      <w:r>
        <w:rPr>
          <w:rFonts w:hint="eastAsia" w:hAnsi="宋体"/>
          <w:sz w:val="24"/>
        </w:rPr>
        <w:t>十五”期间工业产品销售始终保持均衡的发展水平。</w:t>
      </w:r>
    </w:p>
    <w:p>
      <w:pPr>
        <w:adjustRightInd w:val="0"/>
        <w:snapToGrid w:val="0"/>
        <w:ind w:firstLine="480" w:firstLineChars="200"/>
        <w:rPr>
          <w:rFonts w:hint="eastAsia" w:ascii="宋体" w:hAnsi="宋体"/>
          <w:b/>
          <w:bCs/>
          <w:sz w:val="24"/>
        </w:rPr>
      </w:pPr>
      <w:r>
        <w:rPr>
          <w:rFonts w:ascii="宋体" w:hAnsi="宋体"/>
          <w:sz w:val="24"/>
        </w:rPr>
        <w:t>“</w:t>
      </w:r>
      <w:r>
        <w:rPr>
          <w:rFonts w:hint="eastAsia" w:ascii="宋体" w:hAnsi="宋体"/>
          <w:sz w:val="24"/>
        </w:rPr>
        <w:t>十五”期间，工业增加值占全区GDP的比重基本保持在25%以上，工业对全区经济增长的贡献率保持在20%以上，成为拉动全区经济增长贡献最大的单个产业和主要力量。</w:t>
      </w:r>
    </w:p>
    <w:p>
      <w:pPr>
        <w:adjustRightInd w:val="0"/>
        <w:snapToGrid w:val="0"/>
        <w:ind w:firstLine="562" w:firstLineChars="200"/>
        <w:rPr>
          <w:rFonts w:hint="eastAsia" w:ascii="宋体" w:hAnsi="宋体"/>
          <w:b/>
          <w:bCs/>
          <w:sz w:val="28"/>
        </w:rPr>
      </w:pPr>
      <w:r>
        <w:rPr>
          <w:rFonts w:hint="eastAsia" w:ascii="宋体" w:hAnsi="宋体"/>
          <w:b/>
          <w:bCs/>
          <w:sz w:val="28"/>
        </w:rPr>
        <w:t>（三）结构调整成效显著</w:t>
      </w:r>
    </w:p>
    <w:p>
      <w:pPr>
        <w:pStyle w:val="9"/>
        <w:adjustRightInd w:val="0"/>
        <w:snapToGrid w:val="0"/>
        <w:rPr>
          <w:rFonts w:hint="eastAsia" w:ascii="宋体" w:hAnsi="宋体" w:eastAsia="宋体"/>
          <w:sz w:val="24"/>
        </w:rPr>
      </w:pPr>
      <w:r>
        <w:rPr>
          <w:rFonts w:hint="eastAsia" w:ascii="宋体" w:hAnsi="宋体" w:eastAsia="宋体"/>
          <w:sz w:val="24"/>
        </w:rPr>
        <w:t>“十五”期间，福田区积极推动产业结构调整，辖区工业以高新技术产业、传统优势制造业和工业总部为主体的都市工业格局基本形成。</w:t>
      </w:r>
    </w:p>
    <w:p>
      <w:pPr>
        <w:pStyle w:val="12"/>
        <w:adjustRightInd w:val="0"/>
        <w:snapToGrid w:val="0"/>
        <w:ind w:firstLine="480" w:firstLineChars="200"/>
        <w:rPr>
          <w:rFonts w:hint="eastAsia" w:hAnsi="宋体"/>
          <w:color w:val="000000"/>
          <w:sz w:val="24"/>
        </w:rPr>
      </w:pPr>
      <w:r>
        <w:rPr>
          <w:rFonts w:hint="eastAsia" w:hAnsi="宋体"/>
          <w:sz w:val="24"/>
        </w:rPr>
        <w:t>高新技术产业快速增长，规模不断扩大，已成为福田工业的主导产业。到“十五”末期，辖区内经深圳市认定的高新技术企业</w:t>
      </w:r>
      <w:r>
        <w:rPr>
          <w:rFonts w:hint="eastAsia" w:hAnsi="宋体"/>
          <w:color w:val="000000"/>
          <w:sz w:val="24"/>
        </w:rPr>
        <w:t>有341家，约占全市三成。</w:t>
      </w:r>
      <w:r>
        <w:rPr>
          <w:rFonts w:hint="eastAsia" w:hAnsi="宋体"/>
          <w:sz w:val="24"/>
        </w:rPr>
        <w:t>辖区高新技术产品产值从“九五”末期的2</w:t>
      </w:r>
      <w:r>
        <w:rPr>
          <w:rFonts w:hint="eastAsia" w:hAnsi="宋体"/>
          <w:color w:val="000000"/>
          <w:sz w:val="24"/>
        </w:rPr>
        <w:t>82.68亿元，增至2005年的845.01亿元，增长了198.93%，年均增长24.48%（见图4）。</w:t>
      </w:r>
    </w:p>
    <w:p>
      <w:pPr>
        <w:pStyle w:val="12"/>
        <w:adjustRightInd w:val="0"/>
        <w:snapToGrid w:val="0"/>
        <w:ind w:firstLine="480" w:firstLineChars="200"/>
        <w:jc w:val="center"/>
        <w:rPr>
          <w:rFonts w:hint="eastAsia" w:hAnsi="宋体"/>
          <w:color w:val="000000"/>
          <w:sz w:val="24"/>
        </w:rPr>
      </w:pPr>
      <w:r>
        <w:rPr>
          <w:rFonts w:hAnsi="宋体"/>
          <w:color w:val="000000"/>
          <w:sz w:val="24"/>
        </w:rPr>
        <w:object>
          <v:shape id="_x0000_i1028" o:spt="75" type="#_x0000_t75" style="height:200.25pt;width:324.7pt;" o:ole="t" filled="f" stroked="f" coordsize="21600,21600">
            <v:path/>
            <v:fill on="f" alignshape="1" focussize="0,0"/>
            <v:stroke on="f"/>
            <v:imagedata r:id="rId13" grayscale="f" bilevel="f" o:title=""/>
            <o:lock v:ext="edit" aspectratio="t"/>
            <w10:wrap type="none"/>
            <w10:anchorlock/>
          </v:shape>
          <o:OLEObject Type="Embed" ProgID="Excel.Chart.8" ShapeID="_x0000_i1028" DrawAspect="Content" ObjectID="_1468075728" r:id="rId12">
            <o:LockedField>false</o:LockedField>
          </o:OLEObject>
        </w:object>
      </w:r>
    </w:p>
    <w:p>
      <w:pPr>
        <w:pStyle w:val="12"/>
        <w:adjustRightInd w:val="0"/>
        <w:snapToGrid w:val="0"/>
        <w:ind w:firstLine="481" w:firstLineChars="200"/>
        <w:jc w:val="center"/>
        <w:rPr>
          <w:rFonts w:hint="eastAsia" w:hAnsi="宋体"/>
          <w:sz w:val="24"/>
        </w:rPr>
      </w:pPr>
      <w:r>
        <w:rPr>
          <w:rFonts w:hint="eastAsia" w:hAnsi="宋体"/>
          <w:b/>
          <w:bCs/>
          <w:sz w:val="24"/>
        </w:rPr>
        <w:t>图4：辖区“十五”期间高新技术产品产值</w:t>
      </w:r>
    </w:p>
    <w:p>
      <w:pPr>
        <w:pStyle w:val="12"/>
        <w:adjustRightInd w:val="0"/>
        <w:snapToGrid w:val="0"/>
        <w:spacing w:before="300" w:beforeLines="50"/>
        <w:ind w:firstLine="480" w:firstLineChars="200"/>
        <w:rPr>
          <w:rFonts w:hint="eastAsia" w:hAnsi="宋体"/>
          <w:sz w:val="24"/>
        </w:rPr>
      </w:pPr>
      <w:r>
        <w:rPr>
          <w:rFonts w:hint="eastAsia" w:hAnsi="宋体"/>
          <w:sz w:val="24"/>
        </w:rPr>
        <w:t>传统优势产业改造升级步伐加快，传统产业与高新技术产业的融合，形成技术先进型的传统制造业。工业布局调整有序进行，工业总部经济雏形显现。根据深圳市“南软北硬”、“南高北重”的产业分工布局，“十五”期间，福田工业部分的加工工业逐步外迁，但是，福田区“五大中心”的优势同时吸引了工业企业的总部、物流中心、研发中心、营运中心进驻，使工业继续保持对全区经济较高的贡献。</w:t>
      </w:r>
    </w:p>
    <w:p>
      <w:pPr>
        <w:adjustRightInd w:val="0"/>
        <w:snapToGrid w:val="0"/>
        <w:ind w:firstLine="562" w:firstLineChars="200"/>
        <w:rPr>
          <w:rFonts w:hint="eastAsia" w:ascii="宋体" w:hAnsi="宋体"/>
          <w:b/>
          <w:bCs/>
          <w:sz w:val="28"/>
        </w:rPr>
      </w:pPr>
      <w:r>
        <w:rPr>
          <w:rFonts w:hint="eastAsia" w:ascii="宋体" w:hAnsi="宋体"/>
          <w:b/>
          <w:bCs/>
          <w:sz w:val="28"/>
        </w:rPr>
        <w:t>（四）技术进步明显加快</w:t>
      </w:r>
    </w:p>
    <w:p>
      <w:pPr>
        <w:pStyle w:val="12"/>
        <w:adjustRightInd w:val="0"/>
        <w:snapToGrid w:val="0"/>
        <w:ind w:firstLine="480" w:firstLineChars="200"/>
        <w:rPr>
          <w:rFonts w:hint="eastAsia" w:hAnsi="宋体"/>
          <w:sz w:val="24"/>
        </w:rPr>
      </w:pPr>
      <w:r>
        <w:rPr>
          <w:rFonts w:hint="eastAsia" w:hAnsi="宋体"/>
          <w:sz w:val="24"/>
        </w:rPr>
        <w:t>“十五”期间，福田区纳入深圳市的工业技术改造项目24项，完成投资12.00亿元；技术创新项目39项，完成投资4.27亿元；技术中心的建设得到了进一步发展，到2005年底，已认定华强集团、中金岭南等国家级技术中心2家，绿色动力环境工程、先科企业集团、金证科技等市级技术中心10家</w:t>
      </w:r>
      <w:r>
        <w:rPr>
          <w:rFonts w:hint="eastAsia" w:hAnsi="宋体"/>
          <w:color w:val="000000"/>
          <w:sz w:val="24"/>
          <w:szCs w:val="22"/>
        </w:rPr>
        <w:t>（见表1）</w:t>
      </w:r>
      <w:r>
        <w:rPr>
          <w:rFonts w:hint="eastAsia" w:hAnsi="宋体"/>
          <w:sz w:val="24"/>
        </w:rPr>
        <w:t>，为推动企业技术进步提供了有力的支撑。</w:t>
      </w: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ind w:firstLine="481" w:firstLineChars="200"/>
        <w:jc w:val="center"/>
        <w:rPr>
          <w:rFonts w:hint="eastAsia" w:hAnsi="宋体"/>
          <w:b/>
          <w:bCs/>
          <w:color w:val="000000"/>
          <w:sz w:val="24"/>
        </w:rPr>
      </w:pPr>
    </w:p>
    <w:p>
      <w:pPr>
        <w:pStyle w:val="12"/>
        <w:adjustRightInd w:val="0"/>
        <w:snapToGrid w:val="0"/>
        <w:spacing w:after="300" w:afterLines="50"/>
        <w:ind w:firstLine="481" w:firstLineChars="200"/>
        <w:jc w:val="center"/>
        <w:rPr>
          <w:rFonts w:hint="eastAsia" w:hAnsi="宋体"/>
          <w:b/>
          <w:bCs/>
          <w:sz w:val="24"/>
        </w:rPr>
      </w:pPr>
      <w:r>
        <w:rPr>
          <w:rFonts w:hint="eastAsia" w:hAnsi="宋体"/>
          <w:b/>
          <w:bCs/>
          <w:color w:val="000000"/>
          <w:sz w:val="24"/>
        </w:rPr>
        <w:t>表1：辖区获得</w:t>
      </w:r>
      <w:r>
        <w:rPr>
          <w:rFonts w:hint="eastAsia" w:hAnsi="宋体"/>
          <w:b/>
          <w:bCs/>
          <w:sz w:val="24"/>
        </w:rPr>
        <w:t>技术中心</w:t>
      </w:r>
      <w:r>
        <w:rPr>
          <w:rFonts w:hint="eastAsia" w:hAnsi="宋体"/>
          <w:b/>
          <w:bCs/>
          <w:color w:val="000000"/>
          <w:sz w:val="24"/>
        </w:rPr>
        <w:t>的企业</w:t>
      </w:r>
    </w:p>
    <w:tbl>
      <w:tblPr>
        <w:tblStyle w:val="29"/>
        <w:tblW w:w="8339" w:type="dxa"/>
        <w:jc w:val="center"/>
        <w:tblLayout w:type="autofit"/>
        <w:tblCellMar>
          <w:top w:w="0" w:type="dxa"/>
          <w:left w:w="0" w:type="dxa"/>
          <w:bottom w:w="0" w:type="dxa"/>
          <w:right w:w="0" w:type="dxa"/>
        </w:tblCellMar>
      </w:tblPr>
      <w:tblGrid>
        <w:gridCol w:w="5400"/>
        <w:gridCol w:w="2939"/>
      </w:tblGrid>
      <w:tr>
        <w:tblPrEx>
          <w:tblCellMar>
            <w:top w:w="0" w:type="dxa"/>
            <w:left w:w="0" w:type="dxa"/>
            <w:bottom w:w="0" w:type="dxa"/>
            <w:right w:w="0" w:type="dxa"/>
          </w:tblCellMar>
        </w:tblPrEx>
        <w:trPr>
          <w:wBefore w:w="0" w:type="auto"/>
          <w:trHeight w:val="250" w:hRule="atLeast"/>
          <w:jc w:val="center"/>
        </w:trPr>
        <w:tc>
          <w:tcPr>
            <w:tcW w:w="5400" w:type="dxa"/>
            <w:tcBorders>
              <w:top w:val="single" w:color="auto" w:sz="4" w:space="0"/>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b/>
                <w:bCs/>
                <w:sz w:val="24"/>
              </w:rPr>
            </w:pPr>
            <w:r>
              <w:rPr>
                <w:rFonts w:hint="eastAsia" w:ascii="宋体" w:hAnsi="宋体"/>
                <w:b/>
                <w:bCs/>
                <w:sz w:val="24"/>
              </w:rPr>
              <w:t>技术中心所在企业名称</w:t>
            </w:r>
          </w:p>
        </w:tc>
        <w:tc>
          <w:tcPr>
            <w:tcW w:w="2939" w:type="dxa"/>
            <w:tcBorders>
              <w:top w:val="single" w:color="auto" w:sz="4" w:space="0"/>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b/>
                <w:bCs/>
                <w:sz w:val="24"/>
              </w:rPr>
            </w:pPr>
            <w:r>
              <w:rPr>
                <w:rFonts w:hint="eastAsia" w:ascii="宋体" w:hAnsi="宋体"/>
                <w:b/>
                <w:bCs/>
                <w:sz w:val="24"/>
              </w:rPr>
              <w:t>级别</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深圳华强集团有限公司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sz w:val="24"/>
              </w:rPr>
            </w:pPr>
            <w:r>
              <w:rPr>
                <w:rFonts w:hint="eastAsia" w:ascii="宋体" w:hAnsi="宋体"/>
                <w:sz w:val="24"/>
              </w:rPr>
              <w:t>国家级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深圳市中金岭南有色金属股份有限公司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国家级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深圳市特发黎明（集团）有限公司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深圳市蓝津科技股份有限公司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深圳绿色动力环境工程有限公司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深圳市先科企业集团</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深圳市康源实业发展股份有限公司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深圳国人通信有限公司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深圳市金证科技股份有限公司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深圳市联动技术科技有限公司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大冷王运输制冷有限公司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r>
        <w:tblPrEx>
          <w:tblCellMar>
            <w:top w:w="0" w:type="dxa"/>
            <w:left w:w="0" w:type="dxa"/>
            <w:bottom w:w="0" w:type="dxa"/>
            <w:right w:w="0" w:type="dxa"/>
          </w:tblCellMar>
        </w:tblPrEx>
        <w:trPr>
          <w:wBefore w:w="0" w:type="auto"/>
          <w:trHeight w:val="405" w:hRule="atLeast"/>
          <w:jc w:val="center"/>
        </w:trPr>
        <w:tc>
          <w:tcPr>
            <w:tcW w:w="5400" w:type="dxa"/>
            <w:tcBorders>
              <w:top w:val="nil"/>
              <w:left w:val="single" w:color="auto" w:sz="4" w:space="0"/>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rPr>
                <w:rFonts w:ascii="宋体" w:hAnsi="宋体"/>
                <w:color w:val="000000"/>
                <w:sz w:val="24"/>
              </w:rPr>
            </w:pPr>
            <w:r>
              <w:rPr>
                <w:rFonts w:hint="eastAsia" w:ascii="宋体" w:hAnsi="宋体"/>
                <w:color w:val="000000"/>
                <w:sz w:val="24"/>
              </w:rPr>
              <w:t>深圳市元征科技股份有限公司</w:t>
            </w:r>
          </w:p>
        </w:tc>
        <w:tc>
          <w:tcPr>
            <w:tcW w:w="2939" w:type="dxa"/>
            <w:tcBorders>
              <w:top w:val="nil"/>
              <w:left w:val="nil"/>
              <w:bottom w:val="single" w:color="auto" w:sz="4" w:space="0"/>
              <w:right w:val="single" w:color="auto" w:sz="4" w:space="0"/>
            </w:tcBorders>
            <w:noWrap w:val="0"/>
            <w:tcMar>
              <w:top w:w="17" w:type="dxa"/>
              <w:left w:w="17" w:type="dxa"/>
              <w:bottom w:w="0" w:type="dxa"/>
              <w:right w:w="17" w:type="dxa"/>
            </w:tcMar>
            <w:vAlign w:val="center"/>
          </w:tcPr>
          <w:p>
            <w:pPr>
              <w:adjustRightInd w:val="0"/>
              <w:snapToGrid w:val="0"/>
              <w:jc w:val="center"/>
              <w:rPr>
                <w:rFonts w:ascii="宋体" w:hAnsi="宋体"/>
                <w:color w:val="000000"/>
                <w:sz w:val="24"/>
              </w:rPr>
            </w:pPr>
            <w:r>
              <w:rPr>
                <w:rFonts w:hint="eastAsia" w:ascii="宋体" w:hAnsi="宋体"/>
                <w:color w:val="000000"/>
                <w:sz w:val="24"/>
              </w:rPr>
              <w:t>市级</w:t>
            </w:r>
          </w:p>
        </w:tc>
      </w:tr>
    </w:tbl>
    <w:p>
      <w:pPr>
        <w:pStyle w:val="12"/>
        <w:adjustRightInd w:val="0"/>
        <w:snapToGrid w:val="0"/>
        <w:spacing w:before="300" w:beforeLines="50"/>
        <w:ind w:firstLine="480" w:firstLineChars="200"/>
        <w:rPr>
          <w:rFonts w:hint="eastAsia" w:hAnsi="宋体"/>
          <w:sz w:val="24"/>
        </w:rPr>
      </w:pPr>
      <w:r>
        <w:rPr>
          <w:rFonts w:hint="eastAsia" w:hAnsi="宋体"/>
          <w:sz w:val="24"/>
        </w:rPr>
        <w:t>经过“十五”的发展，福田区的工业企业形成了较好的技术改造、技术创新氛围，地方财政收入不断提高，深圳市、区级政府加大扶持辖区企业实施技术改造，为建立辖区自主的技术改造和技术创新体系打下了坚实的基础。</w:t>
      </w:r>
    </w:p>
    <w:p>
      <w:pPr>
        <w:pStyle w:val="12"/>
        <w:adjustRightInd w:val="0"/>
        <w:snapToGrid w:val="0"/>
        <w:ind w:firstLine="562" w:firstLineChars="200"/>
        <w:rPr>
          <w:rFonts w:hint="eastAsia" w:hAnsi="宋体"/>
          <w:b/>
          <w:bCs/>
          <w:sz w:val="28"/>
        </w:rPr>
      </w:pPr>
      <w:r>
        <w:rPr>
          <w:rFonts w:hint="eastAsia" w:hAnsi="宋体"/>
          <w:b/>
          <w:bCs/>
          <w:sz w:val="28"/>
        </w:rPr>
        <w:t>（五）产品质量不断提高</w:t>
      </w:r>
    </w:p>
    <w:p>
      <w:pPr>
        <w:tabs>
          <w:tab w:val="left" w:pos="675"/>
        </w:tabs>
        <w:adjustRightInd w:val="0"/>
        <w:snapToGrid w:val="0"/>
        <w:ind w:firstLine="480" w:firstLineChars="200"/>
        <w:rPr>
          <w:rFonts w:hint="eastAsia" w:ascii="宋体" w:hAnsi="宋体"/>
          <w:sz w:val="24"/>
        </w:rPr>
      </w:pPr>
      <w:r>
        <w:rPr>
          <w:rFonts w:hint="eastAsia" w:ascii="宋体" w:hAnsi="宋体"/>
          <w:sz w:val="24"/>
        </w:rPr>
        <w:t>“十五”期间，福田区成为广东省“质量兴区”计划中首批的试点城区，辖区内深入开展“质量兴区”活动，大力实施工业企业名牌发展战略，工业产品质量不断提高，产品竞争力日益增强，极大地促进了福田工业的可持续发展。福田区出台了一系列优惠措施鼓励辖区企业出精品、创名牌，辖区已有创维、飞亚达、先科、金帝等14家企业荣获“</w:t>
      </w:r>
      <w:r>
        <w:rPr>
          <w:rFonts w:ascii="宋体" w:hAnsi="宋体"/>
          <w:color w:val="000000"/>
          <w:sz w:val="24"/>
          <w:szCs w:val="22"/>
        </w:rPr>
        <w:t>中国名牌产品</w:t>
      </w:r>
      <w:r>
        <w:rPr>
          <w:rFonts w:hint="eastAsia" w:ascii="宋体" w:hAnsi="宋体"/>
          <w:color w:val="000000"/>
          <w:sz w:val="24"/>
          <w:szCs w:val="22"/>
        </w:rPr>
        <w:t>”和“</w:t>
      </w:r>
      <w:r>
        <w:rPr>
          <w:rFonts w:ascii="宋体" w:hAnsi="宋体"/>
          <w:color w:val="000000"/>
          <w:sz w:val="24"/>
          <w:szCs w:val="22"/>
        </w:rPr>
        <w:t>中国驰名商标</w:t>
      </w:r>
      <w:r>
        <w:rPr>
          <w:rFonts w:hint="eastAsia" w:ascii="宋体" w:hAnsi="宋体"/>
          <w:color w:val="000000"/>
          <w:sz w:val="24"/>
          <w:szCs w:val="22"/>
        </w:rPr>
        <w:t>” 称号（见表2和表3）；另外，还涌现了一批获得“</w:t>
      </w:r>
      <w:r>
        <w:rPr>
          <w:rFonts w:ascii="宋体" w:hAnsi="宋体"/>
          <w:color w:val="000000"/>
          <w:sz w:val="24"/>
          <w:szCs w:val="22"/>
        </w:rPr>
        <w:t>广东省名牌产品</w:t>
      </w:r>
      <w:r>
        <w:rPr>
          <w:rFonts w:hint="eastAsia" w:ascii="宋体" w:hAnsi="宋体"/>
          <w:color w:val="000000"/>
          <w:sz w:val="24"/>
          <w:szCs w:val="22"/>
        </w:rPr>
        <w:t>”和“</w:t>
      </w:r>
      <w:r>
        <w:rPr>
          <w:rFonts w:ascii="宋体" w:hAnsi="宋体"/>
          <w:color w:val="000000"/>
          <w:sz w:val="24"/>
          <w:szCs w:val="22"/>
        </w:rPr>
        <w:t>广东省著名商标</w:t>
      </w:r>
      <w:r>
        <w:rPr>
          <w:rFonts w:hint="eastAsia" w:ascii="宋体" w:hAnsi="宋体"/>
          <w:color w:val="000000"/>
          <w:sz w:val="24"/>
          <w:szCs w:val="22"/>
        </w:rPr>
        <w:t>”称号的企业。</w:t>
      </w:r>
      <w:r>
        <w:rPr>
          <w:rFonts w:hint="eastAsia" w:ascii="宋体" w:hAnsi="宋体"/>
          <w:sz w:val="24"/>
        </w:rPr>
        <w:t>区政府对获奖企业进行奖励，积极引导和鼓励辖区工业企业实施名牌发展战略，争创国际名牌、中国名牌、广东名牌和深圳名牌，带动辖区工业由贴牌加工向自主产品品牌的高层次方向发展，实现福田工业质与量两翼齐飞。</w:t>
      </w: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p>
      <w:pPr>
        <w:tabs>
          <w:tab w:val="left" w:pos="675"/>
        </w:tabs>
        <w:adjustRightInd w:val="0"/>
        <w:snapToGrid w:val="0"/>
        <w:ind w:firstLine="480" w:firstLineChars="200"/>
        <w:rPr>
          <w:rFonts w:hint="eastAsia" w:ascii="宋体" w:hAnsi="宋体"/>
          <w:sz w:val="24"/>
        </w:rPr>
      </w:pPr>
    </w:p>
    <w:tbl>
      <w:tblPr>
        <w:tblStyle w:val="29"/>
        <w:tblW w:w="8640" w:type="dxa"/>
        <w:tblInd w:w="15" w:type="dxa"/>
        <w:tblLayout w:type="autofit"/>
        <w:tblCellMar>
          <w:top w:w="0" w:type="dxa"/>
          <w:left w:w="0" w:type="dxa"/>
          <w:bottom w:w="0" w:type="dxa"/>
          <w:right w:w="0" w:type="dxa"/>
        </w:tblCellMar>
      </w:tblPr>
      <w:tblGrid>
        <w:gridCol w:w="4368"/>
        <w:gridCol w:w="492"/>
        <w:gridCol w:w="1108"/>
        <w:gridCol w:w="2672"/>
      </w:tblGrid>
      <w:tr>
        <w:tblPrEx>
          <w:tblCellMar>
            <w:top w:w="0" w:type="dxa"/>
            <w:left w:w="0" w:type="dxa"/>
            <w:bottom w:w="0" w:type="dxa"/>
            <w:right w:w="0" w:type="dxa"/>
          </w:tblCellMar>
        </w:tblPrEx>
        <w:trPr>
          <w:wBefore w:w="0" w:type="dxa"/>
          <w:wAfter w:w="0" w:type="dxa"/>
          <w:trHeight w:val="402" w:hRule="atLeast"/>
        </w:trPr>
        <w:tc>
          <w:tcPr>
            <w:tcW w:w="8640" w:type="dxa"/>
            <w:gridSpan w:val="4"/>
            <w:tcBorders>
              <w:top w:val="nil"/>
              <w:left w:val="nil"/>
              <w:bottom w:val="nil"/>
              <w:right w:val="nil"/>
            </w:tcBorders>
            <w:noWrap/>
            <w:tcMar>
              <w:top w:w="15" w:type="dxa"/>
              <w:left w:w="15" w:type="dxa"/>
              <w:bottom w:w="0" w:type="dxa"/>
              <w:right w:w="15" w:type="dxa"/>
            </w:tcMar>
            <w:vAlign w:val="bottom"/>
          </w:tcPr>
          <w:p>
            <w:pPr>
              <w:adjustRightInd w:val="0"/>
              <w:snapToGrid w:val="0"/>
              <w:spacing w:after="300" w:afterLines="50"/>
              <w:jc w:val="center"/>
              <w:rPr>
                <w:rFonts w:ascii="宋体" w:hAnsi="宋体"/>
                <w:b/>
                <w:bCs/>
                <w:color w:val="000000"/>
                <w:sz w:val="24"/>
              </w:rPr>
            </w:pPr>
            <w:r>
              <w:rPr>
                <w:rFonts w:hint="eastAsia" w:ascii="宋体" w:hAnsi="宋体"/>
                <w:b/>
                <w:bCs/>
                <w:color w:val="000000"/>
                <w:sz w:val="24"/>
              </w:rPr>
              <w:t>表2：辖区“十五”期间获得“中国名牌产品”的生产企业</w:t>
            </w:r>
          </w:p>
        </w:tc>
      </w:tr>
      <w:tr>
        <w:tblPrEx>
          <w:tblCellMar>
            <w:top w:w="0" w:type="dxa"/>
            <w:left w:w="0" w:type="dxa"/>
            <w:bottom w:w="0" w:type="dxa"/>
            <w:right w:w="0" w:type="dxa"/>
          </w:tblCellMar>
        </w:tblPrEx>
        <w:trPr>
          <w:wBefore w:w="0" w:type="dxa"/>
          <w:wAfter w:w="0" w:type="dxa"/>
          <w:trHeight w:val="402" w:hRule="atLeast"/>
        </w:trPr>
        <w:tc>
          <w:tcPr>
            <w:tcW w:w="43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jc w:val="center"/>
              <w:rPr>
                <w:rFonts w:ascii="宋体" w:hAnsi="宋体"/>
                <w:b/>
                <w:bCs/>
                <w:color w:val="000000"/>
                <w:sz w:val="24"/>
              </w:rPr>
            </w:pPr>
            <w:r>
              <w:rPr>
                <w:rFonts w:hint="eastAsia" w:ascii="宋体" w:hAnsi="宋体"/>
                <w:b/>
                <w:bCs/>
                <w:color w:val="000000"/>
                <w:sz w:val="24"/>
              </w:rPr>
              <w:t>生产企业名称</w:t>
            </w:r>
          </w:p>
        </w:tc>
        <w:tc>
          <w:tcPr>
            <w:tcW w:w="0" w:type="auto"/>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jc w:val="center"/>
              <w:rPr>
                <w:rFonts w:ascii="宋体" w:hAnsi="宋体"/>
                <w:b/>
                <w:bCs/>
                <w:color w:val="000000"/>
                <w:sz w:val="24"/>
              </w:rPr>
            </w:pPr>
            <w:r>
              <w:rPr>
                <w:rFonts w:hint="eastAsia" w:ascii="宋体" w:hAnsi="宋体"/>
                <w:b/>
                <w:bCs/>
                <w:color w:val="000000"/>
                <w:sz w:val="24"/>
              </w:rPr>
              <w:t>品牌</w:t>
            </w:r>
          </w:p>
        </w:tc>
        <w:tc>
          <w:tcPr>
            <w:tcW w:w="267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color w:val="000000"/>
                <w:sz w:val="24"/>
              </w:rPr>
            </w:pPr>
            <w:r>
              <w:rPr>
                <w:rFonts w:hint="eastAsia" w:ascii="宋体" w:hAnsi="宋体"/>
                <w:b/>
                <w:bCs/>
                <w:color w:val="000000"/>
                <w:sz w:val="24"/>
              </w:rPr>
              <w:t>产品</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深圳创维</w:t>
            </w:r>
            <w:r>
              <w:rPr>
                <w:rFonts w:ascii="宋体" w:hAnsi="宋体"/>
                <w:color w:val="000000"/>
                <w:sz w:val="24"/>
              </w:rPr>
              <w:t>-RGB电子有限公司</w:t>
            </w:r>
          </w:p>
        </w:tc>
        <w:tc>
          <w:tcPr>
            <w:tcW w:w="1600" w:type="dxa"/>
            <w:gridSpan w:val="2"/>
            <w:tcBorders>
              <w:top w:val="nil"/>
              <w:left w:val="nil"/>
              <w:bottom w:val="single" w:color="auto" w:sz="4" w:space="0"/>
              <w:right w:val="single" w:color="auto" w:sz="4" w:space="0"/>
            </w:tcBorders>
            <w:shd w:val="clear" w:color="auto" w:fill="auto"/>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创维</w:t>
            </w:r>
          </w:p>
        </w:tc>
        <w:tc>
          <w:tcPr>
            <w:tcW w:w="2672" w:type="dxa"/>
            <w:tcBorders>
              <w:top w:val="nil"/>
              <w:left w:val="nil"/>
              <w:bottom w:val="single" w:color="auto" w:sz="4" w:space="0"/>
              <w:right w:val="single" w:color="auto" w:sz="4" w:space="0"/>
            </w:tcBorders>
            <w:shd w:val="clear" w:color="auto" w:fill="FFFFFF"/>
            <w:noWrap w:val="0"/>
            <w:tcMar>
              <w:top w:w="15" w:type="dxa"/>
              <w:left w:w="15" w:type="dxa"/>
              <w:bottom w:w="0" w:type="dxa"/>
              <w:right w:w="15" w:type="dxa"/>
            </w:tcMar>
            <w:vAlign w:val="top"/>
          </w:tcPr>
          <w:p>
            <w:pPr>
              <w:adjustRightInd w:val="0"/>
              <w:snapToGrid w:val="0"/>
              <w:jc w:val="center"/>
              <w:rPr>
                <w:rFonts w:ascii="宋体" w:hAnsi="宋体"/>
                <w:color w:val="000000"/>
                <w:sz w:val="24"/>
              </w:rPr>
            </w:pPr>
            <w:r>
              <w:rPr>
                <w:rFonts w:hint="eastAsia" w:ascii="宋体" w:hAnsi="宋体"/>
                <w:color w:val="000000"/>
                <w:sz w:val="24"/>
              </w:rPr>
              <w:t>彩色电视机</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深圳飞亚达（集团）股份有限公司</w:t>
            </w:r>
          </w:p>
        </w:tc>
        <w:tc>
          <w:tcPr>
            <w:tcW w:w="160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飞亚达</w:t>
            </w:r>
          </w:p>
        </w:tc>
        <w:tc>
          <w:tcPr>
            <w:tcW w:w="2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手表</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深圳市先科企业集团</w:t>
            </w:r>
          </w:p>
        </w:tc>
        <w:tc>
          <w:tcPr>
            <w:tcW w:w="160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先科</w:t>
            </w:r>
          </w:p>
        </w:tc>
        <w:tc>
          <w:tcPr>
            <w:tcW w:w="2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激光视盘机</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深圳金帝食品有限公司</w:t>
            </w:r>
          </w:p>
        </w:tc>
        <w:tc>
          <w:tcPr>
            <w:tcW w:w="160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金帝</w:t>
            </w:r>
          </w:p>
        </w:tc>
        <w:tc>
          <w:tcPr>
            <w:tcW w:w="267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巧克力</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深圳市霸王实业集团有限公司</w:t>
            </w:r>
          </w:p>
        </w:tc>
        <w:tc>
          <w:tcPr>
            <w:tcW w:w="1600" w:type="dxa"/>
            <w:gridSpan w:val="2"/>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霸王</w:t>
            </w:r>
          </w:p>
        </w:tc>
        <w:tc>
          <w:tcPr>
            <w:tcW w:w="2672" w:type="dxa"/>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时钟</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深圳市富理实业有限公司</w:t>
            </w:r>
          </w:p>
        </w:tc>
        <w:tc>
          <w:tcPr>
            <w:tcW w:w="1600" w:type="dxa"/>
            <w:gridSpan w:val="2"/>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艾尚</w:t>
            </w:r>
          </w:p>
        </w:tc>
        <w:tc>
          <w:tcPr>
            <w:tcW w:w="2672" w:type="dxa"/>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首饰</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深圳市联创实业有限公司</w:t>
            </w:r>
          </w:p>
        </w:tc>
        <w:tc>
          <w:tcPr>
            <w:tcW w:w="1600" w:type="dxa"/>
            <w:gridSpan w:val="2"/>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ascii="宋体" w:hAnsi="宋体"/>
                <w:color w:val="000000"/>
                <w:sz w:val="24"/>
              </w:rPr>
              <w:t>LIAN联创</w:t>
            </w:r>
          </w:p>
        </w:tc>
        <w:tc>
          <w:tcPr>
            <w:tcW w:w="2672" w:type="dxa"/>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家用电风扇</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深圳市日神实业集团有限公司</w:t>
            </w:r>
          </w:p>
        </w:tc>
        <w:tc>
          <w:tcPr>
            <w:tcW w:w="1600" w:type="dxa"/>
            <w:gridSpan w:val="2"/>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日神</w:t>
            </w:r>
          </w:p>
        </w:tc>
        <w:tc>
          <w:tcPr>
            <w:tcW w:w="2672" w:type="dxa"/>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羊绒衫</w:t>
            </w:r>
          </w:p>
        </w:tc>
      </w:tr>
      <w:tr>
        <w:tblPrEx>
          <w:tblCellMar>
            <w:top w:w="0" w:type="dxa"/>
            <w:left w:w="0" w:type="dxa"/>
            <w:bottom w:w="0" w:type="dxa"/>
            <w:right w:w="0" w:type="dxa"/>
          </w:tblCellMar>
        </w:tblPrEx>
        <w:trPr>
          <w:wBefore w:w="0" w:type="dxa"/>
          <w:wAfter w:w="0" w:type="dxa"/>
          <w:trHeight w:val="402" w:hRule="atLeast"/>
        </w:trPr>
        <w:tc>
          <w:tcPr>
            <w:tcW w:w="4368" w:type="dxa"/>
            <w:tcBorders>
              <w:top w:val="nil"/>
              <w:left w:val="single" w:color="auto" w:sz="4" w:space="0"/>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rPr>
                <w:rFonts w:ascii="宋体" w:hAnsi="宋体"/>
                <w:color w:val="000000"/>
                <w:sz w:val="24"/>
              </w:rPr>
            </w:pPr>
            <w:r>
              <w:rPr>
                <w:rFonts w:hint="eastAsia" w:ascii="宋体" w:hAnsi="宋体"/>
                <w:color w:val="000000"/>
                <w:sz w:val="24"/>
              </w:rPr>
              <w:t>天王电子</w:t>
            </w:r>
            <w:r>
              <w:rPr>
                <w:rFonts w:ascii="宋体" w:hAnsi="宋体"/>
                <w:color w:val="000000"/>
                <w:sz w:val="24"/>
              </w:rPr>
              <w:t>(深圳)有限公司</w:t>
            </w:r>
          </w:p>
        </w:tc>
        <w:tc>
          <w:tcPr>
            <w:tcW w:w="1600" w:type="dxa"/>
            <w:gridSpan w:val="2"/>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ascii="宋体" w:hAnsi="宋体"/>
                <w:color w:val="000000"/>
                <w:sz w:val="24"/>
              </w:rPr>
              <w:t>TIANWANG</w:t>
            </w:r>
          </w:p>
        </w:tc>
        <w:tc>
          <w:tcPr>
            <w:tcW w:w="2672" w:type="dxa"/>
            <w:tcBorders>
              <w:top w:val="nil"/>
              <w:left w:val="nil"/>
              <w:bottom w:val="single" w:color="auto" w:sz="4" w:space="0"/>
              <w:right w:val="single" w:color="auto" w:sz="4" w:space="0"/>
            </w:tcBorders>
            <w:shd w:val="clear" w:color="FFFFFF" w:fill="FFFFFF"/>
            <w:noWrap w:val="0"/>
            <w:tcMar>
              <w:top w:w="15" w:type="dxa"/>
              <w:left w:w="15" w:type="dxa"/>
              <w:bottom w:w="0" w:type="dxa"/>
              <w:right w:w="15" w:type="dxa"/>
            </w:tcMar>
            <w:vAlign w:val="center"/>
          </w:tcPr>
          <w:p>
            <w:pPr>
              <w:adjustRightInd w:val="0"/>
              <w:snapToGrid w:val="0"/>
              <w:jc w:val="center"/>
              <w:rPr>
                <w:rFonts w:ascii="宋体" w:hAnsi="宋体"/>
                <w:color w:val="000000"/>
                <w:sz w:val="24"/>
              </w:rPr>
            </w:pPr>
            <w:r>
              <w:rPr>
                <w:rFonts w:hint="eastAsia" w:ascii="宋体" w:hAnsi="宋体"/>
                <w:color w:val="000000"/>
                <w:sz w:val="24"/>
              </w:rPr>
              <w:t>手表</w:t>
            </w:r>
          </w:p>
        </w:tc>
      </w:tr>
      <w:tr>
        <w:tblPrEx>
          <w:tblCellMar>
            <w:top w:w="0" w:type="dxa"/>
            <w:left w:w="0" w:type="dxa"/>
            <w:bottom w:w="0" w:type="dxa"/>
            <w:right w:w="0" w:type="dxa"/>
          </w:tblCellMar>
        </w:tblPrEx>
        <w:trPr>
          <w:wBefore w:w="0" w:type="auto"/>
          <w:wAfter w:w="0" w:type="dxa"/>
          <w:trHeight w:val="402" w:hRule="atLeast"/>
        </w:trPr>
        <w:tc>
          <w:tcPr>
            <w:tcW w:w="8640" w:type="dxa"/>
            <w:gridSpan w:val="4"/>
            <w:tcBorders>
              <w:top w:val="nil"/>
              <w:left w:val="nil"/>
              <w:bottom w:val="nil"/>
              <w:right w:val="nil"/>
            </w:tcBorders>
            <w:noWrap/>
            <w:tcMar>
              <w:top w:w="15" w:type="dxa"/>
              <w:left w:w="15" w:type="dxa"/>
              <w:bottom w:w="0" w:type="dxa"/>
              <w:right w:w="15" w:type="dxa"/>
            </w:tcMar>
            <w:vAlign w:val="bottom"/>
          </w:tcPr>
          <w:p>
            <w:pPr>
              <w:adjustRightInd w:val="0"/>
              <w:snapToGrid w:val="0"/>
              <w:rPr>
                <w:rFonts w:hint="eastAsia" w:ascii="宋体" w:hAnsi="宋体"/>
                <w:b/>
                <w:bCs/>
                <w:color w:val="000000"/>
                <w:sz w:val="24"/>
              </w:rPr>
            </w:pPr>
          </w:p>
          <w:p>
            <w:pPr>
              <w:adjustRightInd w:val="0"/>
              <w:snapToGrid w:val="0"/>
              <w:spacing w:after="300" w:afterLines="50"/>
              <w:ind w:firstLine="481" w:firstLineChars="200"/>
              <w:jc w:val="center"/>
              <w:rPr>
                <w:rFonts w:ascii="宋体" w:hAnsi="宋体"/>
                <w:b/>
                <w:bCs/>
                <w:sz w:val="24"/>
              </w:rPr>
            </w:pPr>
            <w:r>
              <w:rPr>
                <w:rFonts w:hint="eastAsia" w:ascii="宋体" w:hAnsi="宋体"/>
                <w:b/>
                <w:bCs/>
                <w:color w:val="000000"/>
                <w:sz w:val="24"/>
              </w:rPr>
              <w:t>表3：</w:t>
            </w:r>
            <w:r>
              <w:rPr>
                <w:rFonts w:hint="eastAsia" w:ascii="宋体" w:hAnsi="宋体"/>
                <w:b/>
                <w:bCs/>
                <w:sz w:val="24"/>
              </w:rPr>
              <w:t>辖区“十五”期间获得“中国驰名商标”的企业</w:t>
            </w:r>
          </w:p>
        </w:tc>
      </w:tr>
      <w:tr>
        <w:tblPrEx>
          <w:tblCellMar>
            <w:top w:w="0" w:type="dxa"/>
            <w:left w:w="0" w:type="dxa"/>
            <w:bottom w:w="0" w:type="dxa"/>
            <w:right w:w="0" w:type="dxa"/>
          </w:tblCellMar>
        </w:tblPrEx>
        <w:trPr>
          <w:wBefore w:w="0" w:type="auto"/>
          <w:wAfter w:w="0" w:type="dxa"/>
          <w:trHeight w:val="402" w:hRule="atLeast"/>
        </w:trPr>
        <w:tc>
          <w:tcPr>
            <w:tcW w:w="4860"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djustRightInd w:val="0"/>
              <w:snapToGrid w:val="0"/>
              <w:jc w:val="center"/>
              <w:rPr>
                <w:rFonts w:ascii="宋体" w:hAnsi="宋体"/>
                <w:b/>
                <w:bCs/>
                <w:sz w:val="24"/>
              </w:rPr>
            </w:pPr>
            <w:r>
              <w:rPr>
                <w:rFonts w:hint="eastAsia" w:ascii="宋体" w:hAnsi="宋体"/>
                <w:b/>
                <w:bCs/>
                <w:sz w:val="24"/>
              </w:rPr>
              <w:t>企业名称</w:t>
            </w:r>
          </w:p>
        </w:tc>
        <w:tc>
          <w:tcPr>
            <w:tcW w:w="3780"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adjustRightInd w:val="0"/>
              <w:snapToGrid w:val="0"/>
              <w:jc w:val="center"/>
              <w:rPr>
                <w:rFonts w:ascii="宋体" w:hAnsi="宋体"/>
                <w:b/>
                <w:bCs/>
                <w:sz w:val="24"/>
              </w:rPr>
            </w:pPr>
            <w:r>
              <w:rPr>
                <w:rFonts w:hint="eastAsia" w:ascii="宋体" w:hAnsi="宋体"/>
                <w:b/>
                <w:bCs/>
                <w:sz w:val="24"/>
              </w:rPr>
              <w:t>商标</w:t>
            </w:r>
          </w:p>
        </w:tc>
      </w:tr>
      <w:tr>
        <w:trPr>
          <w:wBefore w:w="0" w:type="auto"/>
          <w:wAfter w:w="0" w:type="dxa"/>
          <w:trHeight w:val="402" w:hRule="atLeast"/>
        </w:trPr>
        <w:tc>
          <w:tcPr>
            <w:tcW w:w="486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rPr>
            </w:pPr>
            <w:r>
              <w:rPr>
                <w:rFonts w:hint="eastAsia" w:ascii="宋体" w:hAnsi="宋体"/>
                <w:sz w:val="24"/>
              </w:rPr>
              <w:t>深圳市先科企业集团</w:t>
            </w:r>
          </w:p>
        </w:tc>
        <w:tc>
          <w:tcPr>
            <w:tcW w:w="37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rPr>
            </w:pPr>
            <w:r>
              <w:rPr>
                <w:rFonts w:hint="eastAsia" w:ascii="宋体" w:hAnsi="宋体"/>
                <w:sz w:val="24"/>
              </w:rPr>
              <w:t>先科</w:t>
            </w:r>
          </w:p>
        </w:tc>
      </w:tr>
      <w:tr>
        <w:tblPrEx>
          <w:tblCellMar>
            <w:top w:w="0" w:type="dxa"/>
            <w:left w:w="0" w:type="dxa"/>
            <w:bottom w:w="0" w:type="dxa"/>
            <w:right w:w="0" w:type="dxa"/>
          </w:tblCellMar>
        </w:tblPrEx>
        <w:trPr>
          <w:wBefore w:w="0" w:type="auto"/>
          <w:wAfter w:w="0" w:type="dxa"/>
          <w:trHeight w:val="402" w:hRule="atLeast"/>
        </w:trPr>
        <w:tc>
          <w:tcPr>
            <w:tcW w:w="486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rPr>
            </w:pPr>
            <w:r>
              <w:rPr>
                <w:rFonts w:hint="eastAsia" w:ascii="宋体" w:hAnsi="宋体"/>
                <w:sz w:val="24"/>
              </w:rPr>
              <w:t>深圳飞亚达（集团）股份有限公司</w:t>
            </w:r>
          </w:p>
        </w:tc>
        <w:tc>
          <w:tcPr>
            <w:tcW w:w="37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rPr>
            </w:pPr>
            <w:r>
              <w:rPr>
                <w:rFonts w:hint="eastAsia" w:ascii="宋体" w:hAnsi="宋体"/>
                <w:sz w:val="24"/>
              </w:rPr>
              <w:t>飞亚达</w:t>
            </w:r>
          </w:p>
        </w:tc>
      </w:tr>
      <w:tr>
        <w:tblPrEx>
          <w:tblCellMar>
            <w:top w:w="0" w:type="dxa"/>
            <w:left w:w="0" w:type="dxa"/>
            <w:bottom w:w="0" w:type="dxa"/>
            <w:right w:w="0" w:type="dxa"/>
          </w:tblCellMar>
        </w:tblPrEx>
        <w:trPr>
          <w:wBefore w:w="0" w:type="auto"/>
          <w:wAfter w:w="0" w:type="dxa"/>
          <w:trHeight w:val="402" w:hRule="atLeast"/>
        </w:trPr>
        <w:tc>
          <w:tcPr>
            <w:tcW w:w="486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rPr>
            </w:pPr>
            <w:r>
              <w:rPr>
                <w:rFonts w:hint="eastAsia" w:ascii="宋体" w:hAnsi="宋体"/>
                <w:sz w:val="24"/>
              </w:rPr>
              <w:t>深圳创维</w:t>
            </w:r>
            <w:r>
              <w:rPr>
                <w:rFonts w:ascii="宋体" w:hAnsi="宋体"/>
                <w:sz w:val="24"/>
              </w:rPr>
              <w:t>-RGB电子有限公司</w:t>
            </w:r>
          </w:p>
        </w:tc>
        <w:tc>
          <w:tcPr>
            <w:tcW w:w="37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rPr>
            </w:pPr>
            <w:r>
              <w:rPr>
                <w:rFonts w:ascii="宋体" w:hAnsi="宋体"/>
                <w:sz w:val="24"/>
              </w:rPr>
              <w:t>SKYWORTH创维</w:t>
            </w:r>
          </w:p>
        </w:tc>
      </w:tr>
      <w:tr>
        <w:tblPrEx>
          <w:tblCellMar>
            <w:top w:w="0" w:type="dxa"/>
            <w:left w:w="0" w:type="dxa"/>
            <w:bottom w:w="0" w:type="dxa"/>
            <w:right w:w="0" w:type="dxa"/>
          </w:tblCellMar>
        </w:tblPrEx>
        <w:trPr>
          <w:wBefore w:w="0" w:type="auto"/>
          <w:wAfter w:w="0" w:type="dxa"/>
          <w:trHeight w:val="402" w:hRule="atLeast"/>
        </w:trPr>
        <w:tc>
          <w:tcPr>
            <w:tcW w:w="486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rPr>
            </w:pPr>
            <w:r>
              <w:rPr>
                <w:rFonts w:hint="eastAsia" w:ascii="宋体" w:hAnsi="宋体"/>
                <w:sz w:val="24"/>
              </w:rPr>
              <w:t>万科企业股份有限公司</w:t>
            </w:r>
          </w:p>
        </w:tc>
        <w:tc>
          <w:tcPr>
            <w:tcW w:w="37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rPr>
            </w:pPr>
            <w:r>
              <w:rPr>
                <w:rFonts w:hint="eastAsia" w:ascii="宋体" w:hAnsi="宋体"/>
                <w:sz w:val="24"/>
              </w:rPr>
              <w:t>万科</w:t>
            </w:r>
          </w:p>
        </w:tc>
      </w:tr>
      <w:tr>
        <w:trPr>
          <w:wBefore w:w="0" w:type="auto"/>
          <w:wAfter w:w="0" w:type="dxa"/>
          <w:trHeight w:val="402" w:hRule="atLeast"/>
        </w:trPr>
        <w:tc>
          <w:tcPr>
            <w:tcW w:w="4860"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rPr>
            </w:pPr>
            <w:r>
              <w:rPr>
                <w:rFonts w:hint="eastAsia" w:ascii="宋体" w:hAnsi="宋体"/>
                <w:sz w:val="24"/>
              </w:rPr>
              <w:t>深圳新世纪饮水科技有限公司</w:t>
            </w:r>
          </w:p>
        </w:tc>
        <w:tc>
          <w:tcPr>
            <w:tcW w:w="3780"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rPr>
            </w:pPr>
            <w:r>
              <w:rPr>
                <w:rFonts w:hint="eastAsia" w:ascii="宋体" w:hAnsi="宋体"/>
                <w:sz w:val="24"/>
              </w:rPr>
              <w:t>安吉尔</w:t>
            </w:r>
          </w:p>
        </w:tc>
      </w:tr>
    </w:tbl>
    <w:p>
      <w:pPr>
        <w:adjustRightInd w:val="0"/>
        <w:snapToGrid w:val="0"/>
        <w:ind w:firstLine="480" w:firstLineChars="200"/>
        <w:rPr>
          <w:rFonts w:hint="eastAsia" w:ascii="宋体" w:hAnsi="宋体"/>
          <w:sz w:val="24"/>
        </w:rPr>
      </w:pPr>
    </w:p>
    <w:p>
      <w:pPr>
        <w:adjustRightInd w:val="0"/>
        <w:snapToGrid w:val="0"/>
        <w:ind w:firstLine="602" w:firstLineChars="200"/>
        <w:rPr>
          <w:rFonts w:hint="eastAsia" w:ascii="宋体" w:hAnsi="宋体"/>
          <w:b/>
          <w:bCs/>
          <w:sz w:val="30"/>
        </w:rPr>
      </w:pPr>
      <w:r>
        <w:rPr>
          <w:rFonts w:hint="eastAsia" w:ascii="宋体" w:hAnsi="宋体"/>
          <w:b/>
          <w:bCs/>
          <w:sz w:val="30"/>
        </w:rPr>
        <w:t>二、福田区工业发展面临的形势</w:t>
      </w:r>
    </w:p>
    <w:p>
      <w:pPr>
        <w:adjustRightInd w:val="0"/>
        <w:snapToGrid w:val="0"/>
        <w:ind w:firstLine="562" w:firstLineChars="200"/>
        <w:rPr>
          <w:rFonts w:hint="eastAsia" w:ascii="宋体" w:hAnsi="宋体"/>
          <w:b/>
          <w:bCs/>
          <w:sz w:val="28"/>
        </w:rPr>
      </w:pPr>
      <w:r>
        <w:rPr>
          <w:rFonts w:hint="eastAsia" w:ascii="宋体" w:hAnsi="宋体"/>
          <w:b/>
          <w:bCs/>
          <w:sz w:val="28"/>
        </w:rPr>
        <w:t>（一）福田区发展工业的有利因素</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地理位置优越，工业基础扎实</w:t>
      </w:r>
    </w:p>
    <w:p>
      <w:pPr>
        <w:adjustRightInd w:val="0"/>
        <w:snapToGrid w:val="0"/>
        <w:ind w:firstLine="480" w:firstLineChars="200"/>
        <w:rPr>
          <w:rFonts w:hint="eastAsia"/>
          <w:sz w:val="24"/>
        </w:rPr>
      </w:pPr>
      <w:r>
        <w:rPr>
          <w:rFonts w:hint="eastAsia"/>
          <w:sz w:val="24"/>
        </w:rPr>
        <w:t>福田区是全市行政、文化、信息、国际展览和商务中心，城市功能日益完备。交通四通八达，广深高速公路起点站和深圳地铁中心枢纽站位于福田中心地带。亚洲最大的陆路口岸——皇岗口岸坐落在福田南部，实施</w:t>
      </w:r>
      <w:r>
        <w:rPr>
          <w:sz w:val="24"/>
        </w:rPr>
        <w:t>24</w:t>
      </w:r>
      <w:r>
        <w:rPr>
          <w:rFonts w:hint="eastAsia"/>
          <w:sz w:val="24"/>
        </w:rPr>
        <w:t>小时通关服务。深圳市铁路、公路、水路和航空运输的蓬勃发展，形成了福田十分便捷的立体交通体系。</w:t>
      </w:r>
    </w:p>
    <w:p>
      <w:pPr>
        <w:adjustRightInd w:val="0"/>
        <w:snapToGrid w:val="0"/>
        <w:ind w:firstLine="480" w:firstLineChars="200"/>
        <w:rPr>
          <w:rFonts w:hint="eastAsia" w:ascii="宋体" w:hAnsi="宋体"/>
          <w:sz w:val="24"/>
        </w:rPr>
      </w:pPr>
      <w:r>
        <w:rPr>
          <w:rFonts w:hint="eastAsia" w:ascii="宋体" w:hAnsi="宋体"/>
          <w:sz w:val="24"/>
        </w:rPr>
        <w:t>福田区在二十世纪80年代建设初期开始走工业立区的发展道路，区内曾经建设有包括八卦岭工业区、上步工业区、福田保税区、车公庙工业区及15个村办工业小区等30多个工业园区，具有一定的改造发展空间。目前，福田区拥有一批大型加工生产企业，在辖区经济中具有举足轻重的地位，工业基础扎实，工业一直是辖区增加值最大的产业。福田区聚集了大批以研发、设计为主的中小型科技企业，为辖区建立以高新技术为主的工业体系奠定了坚实的基础。</w:t>
      </w:r>
    </w:p>
    <w:p>
      <w:pPr>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hint="eastAsia" w:ascii="宋体" w:hAnsi="宋体"/>
          <w:b/>
          <w:bCs/>
          <w:sz w:val="24"/>
        </w:rPr>
        <w:t>产业配套服务体系健全</w:t>
      </w:r>
    </w:p>
    <w:p>
      <w:pPr>
        <w:adjustRightInd w:val="0"/>
        <w:snapToGrid w:val="0"/>
        <w:ind w:firstLine="480" w:firstLineChars="200"/>
        <w:rPr>
          <w:rFonts w:hint="eastAsia" w:ascii="宋体" w:hAnsi="宋体"/>
          <w:sz w:val="24"/>
        </w:rPr>
      </w:pPr>
      <w:r>
        <w:rPr>
          <w:rFonts w:hint="eastAsia" w:ascii="宋体" w:hAnsi="宋体"/>
          <w:sz w:val="24"/>
        </w:rPr>
        <w:t>福田区是深圳市中央商务区（CBD）所在地</w:t>
      </w:r>
      <w:r>
        <w:rPr>
          <w:rFonts w:hint="eastAsia" w:ascii="宋体" w:hAnsi="宋体"/>
          <w:sz w:val="24"/>
          <w:szCs w:val="28"/>
        </w:rPr>
        <w:t>，赛格和华强电子配套市场、钟表配套市场配套能力强，直接辐射内地、香港和东南亚等地区。中小企业板在深圳创立，为广大中小型科技和工业企业提供了更为便利的融资途径。深圳会议展览中心能举办各种不同规模的国际性展会，一年一度的“中国国际高新技术成果交易会”在此举办。</w:t>
      </w:r>
      <w:r>
        <w:rPr>
          <w:rFonts w:hint="eastAsia" w:ascii="宋体" w:hAnsi="宋体"/>
          <w:sz w:val="24"/>
        </w:rPr>
        <w:t>强大的产业配套服务体系，为工业的发展提供有力的支持。</w:t>
      </w:r>
    </w:p>
    <w:p>
      <w:pPr>
        <w:adjustRightInd w:val="0"/>
        <w:snapToGrid w:val="0"/>
        <w:ind w:firstLine="562" w:firstLineChars="200"/>
        <w:rPr>
          <w:rFonts w:hint="eastAsia" w:ascii="宋体" w:hAnsi="宋体"/>
          <w:b/>
          <w:bCs/>
          <w:sz w:val="28"/>
        </w:rPr>
      </w:pPr>
      <w:r>
        <w:rPr>
          <w:rFonts w:hint="eastAsia" w:ascii="宋体" w:hAnsi="宋体"/>
          <w:b/>
          <w:bCs/>
          <w:sz w:val="28"/>
        </w:rPr>
        <w:t>（二）福田区工业发展存在的主要问题</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工业发展空间有限</w:t>
      </w:r>
    </w:p>
    <w:p>
      <w:pPr>
        <w:adjustRightInd w:val="0"/>
        <w:snapToGrid w:val="0"/>
        <w:ind w:firstLine="480" w:firstLineChars="200"/>
        <w:rPr>
          <w:rFonts w:hint="eastAsia" w:ascii="宋体" w:hAnsi="宋体"/>
          <w:sz w:val="24"/>
        </w:rPr>
      </w:pPr>
      <w:r>
        <w:rPr>
          <w:rFonts w:hint="eastAsia" w:ascii="宋体" w:hAnsi="宋体"/>
          <w:sz w:val="24"/>
        </w:rPr>
        <w:t>根据深圳市城市总体规划，辖区内近20年没有新增工业用地，同时，原有的30多个形成片区的工业区在空间上都不同程度地受到房地产业等其他产业的挤占，特别是上步、八卦岭、车公庙、梅林、15个村办工业区等工业区部分改建成使用年限达70年之久的高层商住楼，不但长期挤占了辖区工业产业发展空间，更使工业区的区域功能整体性逐年萎缩和破坏，为今后工业区改造和厂房再造增加了障碍。现在保留下来的福田保税区、八卦岭工业区、彩田工业区、车公庙工业区（泰然、天安）、金地工业区、多丽工业区以及原村办的上沙、下沙、新洲、梅林等29个工业小区，已经成为福田区弥足珍贵的工业发展资源。</w:t>
      </w:r>
    </w:p>
    <w:p>
      <w:pPr>
        <w:adjustRightInd w:val="0"/>
        <w:snapToGrid w:val="0"/>
        <w:ind w:firstLine="480" w:firstLineChars="200"/>
        <w:rPr>
          <w:rFonts w:hint="eastAsia" w:ascii="宋体" w:hAnsi="宋体"/>
          <w:sz w:val="24"/>
        </w:rPr>
      </w:pPr>
      <w:r>
        <w:rPr>
          <w:rFonts w:hint="eastAsia" w:ascii="宋体" w:hAnsi="宋体"/>
          <w:sz w:val="24"/>
        </w:rPr>
        <w:t>“十五”末期，为进一步落实“效益深圳”发展战略，提升传统优势产业竞争力，市政府相继认定了服装、内衣、家具、模具、黄金珠宝、钟表、现代家电、汽车电子、新型自行车和数字化装备等十个产业集聚基地，根据其建设规划，十大基地均选址在福田区区外，并计划在“十一五”期间全面产生效益。因此，“十一五”期间，福田区的传统工业将出现新一轮的外迁，在客观上，为实施“产业置换”提供较为有利的市场条件，福田区应抓住时机，积极推进老工业区改造，为发展福田特色的都市工业拓展空间。</w:t>
      </w:r>
    </w:p>
    <w:p>
      <w:pPr>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ascii="宋体" w:hAnsi="宋体"/>
          <w:b/>
          <w:bCs/>
          <w:sz w:val="24"/>
        </w:rPr>
        <w:t>工业投入不足</w:t>
      </w:r>
    </w:p>
    <w:p>
      <w:pPr>
        <w:adjustRightInd w:val="0"/>
        <w:snapToGrid w:val="0"/>
        <w:ind w:firstLine="480" w:firstLineChars="200"/>
        <w:rPr>
          <w:rFonts w:hint="eastAsia" w:ascii="宋体" w:hAnsi="宋体"/>
          <w:sz w:val="24"/>
        </w:rPr>
      </w:pPr>
      <w:r>
        <w:rPr>
          <w:rFonts w:hint="eastAsia" w:ascii="宋体" w:hAnsi="宋体"/>
          <w:sz w:val="24"/>
        </w:rPr>
        <w:t>“十五”期间，福田区加大了科技三项经费的投入，对辖区高新技术产业的发展产生了积极的推动作用。但在工业区实施“厂房再造，产业置换”、传统优势制造业实施技术改造和技术创新等工业发展最迫切需要扶持的领域，政府投入不足。同时，辖区部分工业企业的增资扩股仍以设备投入、扩大生产为主，研发和技改等投入严重不足，直接导致整体竞争力乏力。辖区工业企业在开展技术改造和技术创新活动中，主要靠自身的积累，以及来自市级政府的政策和资金扶持，渠道较少，辖区企业对区级政府加大工业领域的扶持力度寄予希望。</w:t>
      </w:r>
    </w:p>
    <w:p>
      <w:pPr>
        <w:adjustRightInd w:val="0"/>
        <w:snapToGrid w:val="0"/>
        <w:ind w:firstLine="481" w:firstLineChars="200"/>
        <w:rPr>
          <w:rFonts w:hint="eastAsia" w:ascii="宋体" w:hAnsi="宋体"/>
          <w:b/>
          <w:bCs/>
          <w:sz w:val="24"/>
        </w:rPr>
      </w:pPr>
      <w:r>
        <w:rPr>
          <w:rFonts w:hint="eastAsia" w:ascii="宋体" w:hAnsi="宋体"/>
          <w:b/>
          <w:bCs/>
          <w:sz w:val="24"/>
        </w:rPr>
        <w:t>3</w:t>
      </w:r>
      <w:r>
        <w:rPr>
          <w:rFonts w:hint="eastAsia" w:ascii="宋体" w:hAnsi="宋体"/>
          <w:sz w:val="24"/>
        </w:rPr>
        <w:t>、</w:t>
      </w:r>
      <w:r>
        <w:rPr>
          <w:rFonts w:ascii="宋体" w:hAnsi="宋体"/>
          <w:b/>
          <w:bCs/>
          <w:sz w:val="24"/>
        </w:rPr>
        <w:t>产业核心竞争力提升后劲不足</w:t>
      </w:r>
    </w:p>
    <w:p>
      <w:pPr>
        <w:adjustRightInd w:val="0"/>
        <w:snapToGrid w:val="0"/>
        <w:ind w:firstLine="480" w:firstLineChars="200"/>
        <w:rPr>
          <w:rFonts w:hint="eastAsia" w:ascii="宋体" w:hAnsi="宋体"/>
          <w:sz w:val="24"/>
        </w:rPr>
      </w:pPr>
      <w:r>
        <w:rPr>
          <w:rFonts w:hint="eastAsia" w:ascii="宋体" w:hAnsi="宋体"/>
          <w:sz w:val="24"/>
          <w:szCs w:val="18"/>
        </w:rPr>
        <w:t>自主创新的能力和高技术自主知识产权的拥有量，是工业的产业核心竞争力。</w:t>
      </w:r>
      <w:r>
        <w:rPr>
          <w:rFonts w:hint="eastAsia" w:ascii="宋体" w:hAnsi="宋体"/>
          <w:sz w:val="24"/>
        </w:rPr>
        <w:t>“十五”期间，辖区工业企业自主创新能力有所提高，拥有</w:t>
      </w:r>
      <w:r>
        <w:rPr>
          <w:rFonts w:hint="eastAsia" w:ascii="宋体" w:hAnsi="宋体"/>
          <w:sz w:val="24"/>
          <w:szCs w:val="18"/>
        </w:rPr>
        <w:t>自主知识产权的工业产品不断增加，</w:t>
      </w:r>
      <w:r>
        <w:rPr>
          <w:rFonts w:hint="eastAsia" w:ascii="宋体" w:hAnsi="宋体"/>
          <w:sz w:val="24"/>
        </w:rPr>
        <w:t>但由于辖区大部分工业企业仍以加工为主，自主开发和生产自主品牌产品的企业尚未形成群体效应，因此，辖区工业整体的自主创新能力仍然不强，工业产品的升级换代</w:t>
      </w:r>
      <w:r>
        <w:rPr>
          <w:rFonts w:ascii="宋体" w:hAnsi="宋体"/>
          <w:sz w:val="24"/>
        </w:rPr>
        <w:t>更多的是依靠引进和仿制，</w:t>
      </w:r>
      <w:r>
        <w:rPr>
          <w:rFonts w:hint="eastAsia" w:ascii="宋体" w:hAnsi="宋体"/>
          <w:sz w:val="24"/>
        </w:rPr>
        <w:t>掌握核心技术的产品不多，</w:t>
      </w:r>
      <w:r>
        <w:rPr>
          <w:rFonts w:ascii="宋体" w:hAnsi="宋体"/>
          <w:sz w:val="24"/>
        </w:rPr>
        <w:t>核心竞争力</w:t>
      </w:r>
      <w:r>
        <w:rPr>
          <w:rFonts w:hint="eastAsia" w:ascii="宋体" w:hAnsi="宋体"/>
          <w:sz w:val="24"/>
        </w:rPr>
        <w:t>有待进一步提高。</w:t>
      </w:r>
    </w:p>
    <w:p>
      <w:pPr>
        <w:adjustRightInd w:val="0"/>
        <w:snapToGrid w:val="0"/>
        <w:ind w:firstLine="480" w:firstLineChars="200"/>
        <w:rPr>
          <w:rFonts w:hint="eastAsia" w:ascii="宋体" w:hAnsi="宋体"/>
          <w:sz w:val="24"/>
        </w:rPr>
      </w:pPr>
    </w:p>
    <w:p>
      <w:pPr>
        <w:adjustRightInd w:val="0"/>
        <w:snapToGrid w:val="0"/>
        <w:ind w:firstLine="602" w:firstLineChars="200"/>
        <w:rPr>
          <w:rFonts w:hint="eastAsia" w:ascii="宋体" w:hAnsi="宋体"/>
          <w:b/>
          <w:bCs/>
          <w:sz w:val="30"/>
        </w:rPr>
      </w:pPr>
      <w:r>
        <w:rPr>
          <w:rFonts w:hint="eastAsia" w:ascii="宋体" w:hAnsi="宋体"/>
          <w:b/>
          <w:bCs/>
          <w:sz w:val="30"/>
        </w:rPr>
        <w:t>三、福田区“十一五”工业规划的指导思想和发展目标</w:t>
      </w:r>
    </w:p>
    <w:p>
      <w:pPr>
        <w:adjustRightInd w:val="0"/>
        <w:snapToGrid w:val="0"/>
        <w:ind w:firstLine="562" w:firstLineChars="200"/>
        <w:rPr>
          <w:rFonts w:hint="eastAsia" w:ascii="宋体" w:hAnsi="宋体"/>
          <w:b/>
          <w:bCs/>
          <w:sz w:val="28"/>
        </w:rPr>
      </w:pPr>
      <w:r>
        <w:rPr>
          <w:rFonts w:hint="eastAsia" w:ascii="宋体" w:hAnsi="宋体"/>
          <w:b/>
          <w:bCs/>
          <w:sz w:val="28"/>
        </w:rPr>
        <w:t>（一）指导思想</w:t>
      </w:r>
    </w:p>
    <w:p>
      <w:pPr>
        <w:adjustRightInd w:val="0"/>
        <w:snapToGrid w:val="0"/>
        <w:ind w:firstLine="480" w:firstLineChars="200"/>
        <w:rPr>
          <w:rFonts w:hint="eastAsia" w:ascii="宋体" w:hAnsi="宋体"/>
          <w:sz w:val="24"/>
        </w:rPr>
      </w:pPr>
      <w:r>
        <w:rPr>
          <w:rFonts w:hint="eastAsia" w:ascii="宋体" w:hAnsi="宋体"/>
          <w:sz w:val="24"/>
        </w:rPr>
        <w:t>贯彻区委、区政府“大经济，大文化，大环境，大服务”的“四大”发展战略，全面树立和落实科学发展观，着力转变经济增长方式，逐步走上新型工业化道路，</w:t>
      </w:r>
      <w:r>
        <w:rPr>
          <w:rFonts w:ascii="宋体" w:hAnsi="宋体"/>
          <w:sz w:val="24"/>
        </w:rPr>
        <w:t>以</w:t>
      </w:r>
      <w:r>
        <w:rPr>
          <w:rFonts w:hint="eastAsia" w:ascii="宋体" w:hAnsi="宋体"/>
          <w:sz w:val="24"/>
        </w:rPr>
        <w:t>工业产业</w:t>
      </w:r>
      <w:r>
        <w:rPr>
          <w:rFonts w:ascii="宋体" w:hAnsi="宋体"/>
          <w:sz w:val="24"/>
        </w:rPr>
        <w:t>结构调整为主线，以市场为导向，以提高</w:t>
      </w:r>
      <w:r>
        <w:rPr>
          <w:rFonts w:hint="eastAsia" w:ascii="宋体" w:hAnsi="宋体"/>
          <w:sz w:val="24"/>
        </w:rPr>
        <w:t>自主</w:t>
      </w:r>
      <w:r>
        <w:rPr>
          <w:rFonts w:ascii="宋体" w:hAnsi="宋体"/>
          <w:sz w:val="24"/>
        </w:rPr>
        <w:t>创新</w:t>
      </w:r>
      <w:r>
        <w:rPr>
          <w:rFonts w:hint="eastAsia" w:ascii="宋体" w:hAnsi="宋体"/>
          <w:sz w:val="24"/>
        </w:rPr>
        <w:t>能力</w:t>
      </w:r>
      <w:r>
        <w:rPr>
          <w:rFonts w:ascii="宋体" w:hAnsi="宋体"/>
          <w:sz w:val="24"/>
        </w:rPr>
        <w:t>为动力，加快技术进步步伐</w:t>
      </w:r>
      <w:r>
        <w:rPr>
          <w:rFonts w:hint="eastAsia" w:ascii="宋体" w:hAnsi="宋体"/>
          <w:sz w:val="24"/>
        </w:rPr>
        <w:t>，增强</w:t>
      </w:r>
      <w:r>
        <w:rPr>
          <w:rFonts w:ascii="宋体" w:hAnsi="宋体"/>
          <w:sz w:val="24"/>
        </w:rPr>
        <w:t>产业核心竞争力，</w:t>
      </w:r>
      <w:r>
        <w:rPr>
          <w:rFonts w:hint="eastAsia" w:ascii="宋体" w:hAnsi="宋体"/>
          <w:sz w:val="24"/>
        </w:rPr>
        <w:t>积极引进外资和民营资本，</w:t>
      </w:r>
      <w:r>
        <w:rPr>
          <w:rFonts w:ascii="宋体" w:hAnsi="宋体"/>
          <w:sz w:val="24"/>
        </w:rPr>
        <w:t>坚持</w:t>
      </w:r>
      <w:r>
        <w:rPr>
          <w:rFonts w:hint="eastAsia" w:ascii="宋体" w:hAnsi="宋体"/>
          <w:sz w:val="24"/>
        </w:rPr>
        <w:t>高新技术产业和传统优势制造业并举、大力发展工业总部经济和循环经济的都市工业</w:t>
      </w:r>
      <w:r>
        <w:rPr>
          <w:rFonts w:ascii="宋体" w:hAnsi="宋体"/>
          <w:sz w:val="24"/>
        </w:rPr>
        <w:t>，</w:t>
      </w:r>
      <w:r>
        <w:rPr>
          <w:rFonts w:hint="eastAsia" w:ascii="宋体" w:hAnsi="宋体"/>
          <w:sz w:val="24"/>
        </w:rPr>
        <w:t>努力</w:t>
      </w:r>
      <w:r>
        <w:rPr>
          <w:rFonts w:ascii="宋体" w:hAnsi="宋体"/>
          <w:sz w:val="24"/>
        </w:rPr>
        <w:t>实现速度和结构、质量、效益的统一，</w:t>
      </w:r>
      <w:r>
        <w:rPr>
          <w:rFonts w:hint="eastAsia" w:ascii="宋体" w:hAnsi="宋体"/>
          <w:sz w:val="24"/>
        </w:rPr>
        <w:t>进一步</w:t>
      </w:r>
      <w:r>
        <w:rPr>
          <w:rFonts w:ascii="宋体" w:hAnsi="宋体"/>
          <w:sz w:val="24"/>
        </w:rPr>
        <w:t>优化</w:t>
      </w:r>
      <w:r>
        <w:rPr>
          <w:rFonts w:hint="eastAsia" w:ascii="宋体" w:hAnsi="宋体"/>
          <w:sz w:val="24"/>
        </w:rPr>
        <w:t>辖区</w:t>
      </w:r>
      <w:r>
        <w:rPr>
          <w:rFonts w:ascii="宋体" w:hAnsi="宋体"/>
          <w:sz w:val="24"/>
        </w:rPr>
        <w:t>工业整体素质，</w:t>
      </w:r>
      <w:r>
        <w:rPr>
          <w:rFonts w:hint="eastAsia" w:ascii="宋体" w:hAnsi="宋体"/>
          <w:sz w:val="24"/>
        </w:rPr>
        <w:t>营造一流的生产经营环境，扶持生产性服务业跨越式发展，培植工业经济新的增长点，继续保持</w:t>
      </w:r>
      <w:r>
        <w:rPr>
          <w:rFonts w:ascii="宋体" w:hAnsi="宋体"/>
          <w:sz w:val="24"/>
        </w:rPr>
        <w:t>工业对全</w:t>
      </w:r>
      <w:r>
        <w:rPr>
          <w:rFonts w:hint="eastAsia" w:ascii="宋体" w:hAnsi="宋体"/>
          <w:sz w:val="24"/>
        </w:rPr>
        <w:t>区</w:t>
      </w:r>
      <w:r>
        <w:rPr>
          <w:rFonts w:ascii="宋体" w:hAnsi="宋体"/>
          <w:sz w:val="24"/>
        </w:rPr>
        <w:t>经济发展的支撑带动作用</w:t>
      </w:r>
      <w:r>
        <w:rPr>
          <w:rFonts w:hint="eastAsia" w:ascii="宋体" w:hAnsi="宋体"/>
          <w:sz w:val="24"/>
        </w:rPr>
        <w:t>，为实现“效益福田”作出最大贡献</w:t>
      </w:r>
      <w:r>
        <w:rPr>
          <w:rFonts w:ascii="宋体" w:hAnsi="宋体"/>
          <w:sz w:val="24"/>
        </w:rPr>
        <w:t>。</w:t>
      </w:r>
    </w:p>
    <w:p>
      <w:pPr>
        <w:adjustRightInd w:val="0"/>
        <w:snapToGrid w:val="0"/>
        <w:ind w:firstLine="562" w:firstLineChars="200"/>
        <w:rPr>
          <w:rFonts w:hint="eastAsia" w:ascii="宋体" w:hAnsi="宋体"/>
          <w:b/>
          <w:bCs/>
          <w:sz w:val="28"/>
        </w:rPr>
      </w:pPr>
      <w:r>
        <w:rPr>
          <w:rFonts w:hint="eastAsia" w:ascii="宋体" w:hAnsi="宋体"/>
          <w:b/>
          <w:bCs/>
          <w:sz w:val="28"/>
        </w:rPr>
        <w:t>（二）发展目标</w:t>
      </w:r>
    </w:p>
    <w:p>
      <w:pPr>
        <w:adjustRightInd w:val="0"/>
        <w:snapToGrid w:val="0"/>
        <w:ind w:firstLine="481" w:firstLineChars="200"/>
        <w:rPr>
          <w:rFonts w:hint="eastAsia" w:ascii="宋体" w:hAnsi="宋体"/>
          <w:b/>
          <w:bCs/>
          <w:sz w:val="24"/>
        </w:rPr>
      </w:pPr>
      <w:r>
        <w:rPr>
          <w:rFonts w:hint="eastAsia" w:ascii="宋体" w:hAnsi="宋体"/>
          <w:b/>
          <w:bCs/>
          <w:sz w:val="24"/>
        </w:rPr>
        <w:t>1.工业经济指标发展目标（</w:t>
      </w:r>
      <w:r>
        <w:rPr>
          <w:rFonts w:hint="eastAsia" w:ascii="宋体" w:hAnsi="宋体"/>
          <w:b/>
          <w:bCs/>
          <w:color w:val="000000"/>
          <w:sz w:val="24"/>
          <w:szCs w:val="22"/>
        </w:rPr>
        <w:t>见表4）</w:t>
      </w:r>
    </w:p>
    <w:p>
      <w:pPr>
        <w:adjustRightInd w:val="0"/>
        <w:snapToGrid w:val="0"/>
        <w:ind w:firstLine="480" w:firstLineChars="200"/>
        <w:rPr>
          <w:rFonts w:hint="eastAsia" w:ascii="宋体" w:hAnsi="宋体"/>
          <w:sz w:val="24"/>
        </w:rPr>
      </w:pPr>
      <w:r>
        <w:rPr>
          <w:rFonts w:hint="eastAsia" w:ascii="宋体" w:hAnsi="宋体"/>
          <w:sz w:val="24"/>
        </w:rPr>
        <w:t>工业总产值：1580亿元，年均递增6.5%；辖区每平方公里土地实现工业总产值：20亿元，年均递增6.5%。</w:t>
      </w:r>
    </w:p>
    <w:p>
      <w:pPr>
        <w:adjustRightInd w:val="0"/>
        <w:snapToGrid w:val="0"/>
        <w:ind w:firstLine="480" w:firstLineChars="200"/>
        <w:rPr>
          <w:rFonts w:hint="eastAsia" w:ascii="宋体" w:hAnsi="宋体"/>
          <w:sz w:val="24"/>
        </w:rPr>
      </w:pPr>
      <w:r>
        <w:rPr>
          <w:rFonts w:hint="eastAsia" w:ascii="宋体" w:hAnsi="宋体"/>
          <w:sz w:val="24"/>
        </w:rPr>
        <w:t>工业增加值：380亿元，年均递增7.3%；辖区每平方公里土地实现工业增加值：5亿元，年均递增7.3%。</w:t>
      </w:r>
    </w:p>
    <w:p>
      <w:pPr>
        <w:adjustRightInd w:val="0"/>
        <w:snapToGrid w:val="0"/>
        <w:ind w:firstLine="480" w:firstLineChars="200"/>
        <w:rPr>
          <w:rFonts w:hint="eastAsia" w:ascii="宋体" w:hAnsi="宋体"/>
          <w:sz w:val="24"/>
        </w:rPr>
      </w:pPr>
      <w:r>
        <w:rPr>
          <w:rFonts w:hint="eastAsia" w:ascii="宋体" w:hAnsi="宋体"/>
          <w:sz w:val="24"/>
        </w:rPr>
        <w:t>高新技术产品产值：1300亿元，年均递增9%。</w:t>
      </w:r>
    </w:p>
    <w:p>
      <w:pPr>
        <w:adjustRightInd w:val="0"/>
        <w:snapToGrid w:val="0"/>
        <w:ind w:firstLine="480" w:firstLineChars="200"/>
        <w:rPr>
          <w:rFonts w:hint="eastAsia" w:ascii="宋体" w:hAnsi="宋体"/>
          <w:sz w:val="24"/>
        </w:rPr>
      </w:pPr>
      <w:r>
        <w:rPr>
          <w:rFonts w:hint="eastAsia" w:ascii="宋体" w:hAnsi="宋体"/>
          <w:sz w:val="24"/>
          <w:szCs w:val="20"/>
        </w:rPr>
        <w:t>工业全员劳动生产率：41万元，</w:t>
      </w:r>
      <w:r>
        <w:rPr>
          <w:rFonts w:hint="eastAsia" w:ascii="宋体" w:hAnsi="宋体"/>
          <w:sz w:val="24"/>
        </w:rPr>
        <w:t>年均递增12.5%。</w:t>
      </w:r>
    </w:p>
    <w:tbl>
      <w:tblPr>
        <w:tblStyle w:val="29"/>
        <w:tblW w:w="8724" w:type="dxa"/>
        <w:jc w:val="center"/>
        <w:tblLayout w:type="autofit"/>
        <w:tblCellMar>
          <w:top w:w="0" w:type="dxa"/>
          <w:left w:w="0" w:type="dxa"/>
          <w:bottom w:w="0" w:type="dxa"/>
          <w:right w:w="0" w:type="dxa"/>
        </w:tblCellMar>
      </w:tblPr>
      <w:tblGrid>
        <w:gridCol w:w="297"/>
        <w:gridCol w:w="1339"/>
        <w:gridCol w:w="1010"/>
        <w:gridCol w:w="752"/>
        <w:gridCol w:w="870"/>
        <w:gridCol w:w="896"/>
        <w:gridCol w:w="896"/>
        <w:gridCol w:w="896"/>
        <w:gridCol w:w="896"/>
        <w:gridCol w:w="873"/>
      </w:tblGrid>
      <w:tr>
        <w:tblPrEx>
          <w:tblCellMar>
            <w:top w:w="0" w:type="dxa"/>
            <w:left w:w="0" w:type="dxa"/>
            <w:bottom w:w="0" w:type="dxa"/>
            <w:right w:w="0" w:type="dxa"/>
          </w:tblCellMar>
        </w:tblPrEx>
        <w:trPr>
          <w:wBefore w:w="0" w:type="auto"/>
          <w:trHeight w:val="315" w:hRule="atLeast"/>
          <w:jc w:val="center"/>
        </w:trPr>
        <w:tc>
          <w:tcPr>
            <w:tcW w:w="8724" w:type="dxa"/>
            <w:gridSpan w:val="10"/>
            <w:tcBorders>
              <w:top w:val="nil"/>
              <w:left w:val="nil"/>
              <w:bottom w:val="nil"/>
              <w:right w:val="nil"/>
            </w:tcBorders>
            <w:noWrap/>
            <w:tcMar>
              <w:top w:w="15" w:type="dxa"/>
              <w:left w:w="15" w:type="dxa"/>
              <w:bottom w:w="0" w:type="dxa"/>
              <w:right w:w="15" w:type="dxa"/>
            </w:tcMar>
            <w:vAlign w:val="center"/>
          </w:tcPr>
          <w:p>
            <w:pPr>
              <w:adjustRightInd w:val="0"/>
              <w:snapToGrid w:val="0"/>
              <w:spacing w:before="300" w:beforeLines="50" w:after="300" w:afterLines="50"/>
              <w:jc w:val="center"/>
              <w:rPr>
                <w:rFonts w:ascii="宋体" w:hAnsi="宋体"/>
                <w:b/>
                <w:bCs/>
                <w:sz w:val="24"/>
              </w:rPr>
            </w:pPr>
            <w:r>
              <w:rPr>
                <w:rFonts w:hint="eastAsia" w:ascii="宋体" w:hAnsi="宋体"/>
                <w:b/>
                <w:bCs/>
                <w:color w:val="000000"/>
                <w:sz w:val="24"/>
                <w:szCs w:val="22"/>
              </w:rPr>
              <w:t>表4</w:t>
            </w:r>
            <w:r>
              <w:rPr>
                <w:rFonts w:hint="eastAsia" w:ascii="宋体" w:hAnsi="宋体"/>
                <w:b/>
                <w:bCs/>
                <w:sz w:val="24"/>
              </w:rPr>
              <w:t>:“十一五”工业经济指标发展目标</w:t>
            </w:r>
          </w:p>
        </w:tc>
      </w:tr>
      <w:tr>
        <w:tblPrEx>
          <w:tblCellMar>
            <w:top w:w="0" w:type="dxa"/>
            <w:left w:w="0" w:type="dxa"/>
            <w:bottom w:w="0" w:type="dxa"/>
            <w:right w:w="0" w:type="dxa"/>
          </w:tblCellMar>
        </w:tblPrEx>
        <w:trPr>
          <w:wBefore w:w="0" w:type="auto"/>
          <w:trHeight w:val="462" w:hRule="atLeast"/>
          <w:jc w:val="center"/>
        </w:trPr>
        <w:tc>
          <w:tcPr>
            <w:tcW w:w="299" w:type="dxa"/>
            <w:tcBorders>
              <w:top w:val="single" w:color="auto" w:sz="4" w:space="0"/>
              <w:left w:val="single" w:color="auto" w:sz="4" w:space="0"/>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hint="eastAsia" w:ascii="宋体" w:hAnsi="宋体"/>
                <w:b/>
                <w:bCs/>
                <w:sz w:val="24"/>
                <w:szCs w:val="20"/>
              </w:rPr>
              <w:t>序号</w:t>
            </w:r>
          </w:p>
        </w:tc>
        <w:tc>
          <w:tcPr>
            <w:tcW w:w="1400"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hint="eastAsia" w:ascii="宋体" w:hAnsi="宋体"/>
                <w:b/>
                <w:bCs/>
                <w:sz w:val="24"/>
                <w:szCs w:val="20"/>
              </w:rPr>
              <w:t>指</w:t>
            </w:r>
            <w:r>
              <w:rPr>
                <w:rFonts w:ascii="宋体" w:hAnsi="宋体"/>
                <w:b/>
                <w:bCs/>
                <w:sz w:val="24"/>
                <w:szCs w:val="20"/>
              </w:rPr>
              <w:t xml:space="preserve">  </w:t>
            </w:r>
            <w:r>
              <w:rPr>
                <w:rFonts w:hint="eastAsia" w:ascii="宋体" w:hAnsi="宋体"/>
                <w:b/>
                <w:bCs/>
                <w:sz w:val="24"/>
                <w:szCs w:val="20"/>
              </w:rPr>
              <w:t>标</w:t>
            </w:r>
          </w:p>
        </w:tc>
        <w:tc>
          <w:tcPr>
            <w:tcW w:w="1052"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hint="eastAsia" w:ascii="宋体" w:hAnsi="宋体"/>
                <w:b/>
                <w:bCs/>
                <w:sz w:val="24"/>
                <w:szCs w:val="20"/>
              </w:rPr>
              <w:t>单</w:t>
            </w:r>
            <w:r>
              <w:rPr>
                <w:rFonts w:ascii="宋体" w:hAnsi="宋体"/>
                <w:b/>
                <w:bCs/>
                <w:sz w:val="24"/>
                <w:szCs w:val="20"/>
              </w:rPr>
              <w:t xml:space="preserve"> </w:t>
            </w:r>
            <w:r>
              <w:rPr>
                <w:rFonts w:hint="eastAsia" w:ascii="宋体" w:hAnsi="宋体"/>
                <w:b/>
                <w:bCs/>
                <w:sz w:val="24"/>
                <w:szCs w:val="20"/>
              </w:rPr>
              <w:t xml:space="preserve"> </w:t>
            </w:r>
            <w:r>
              <w:rPr>
                <w:rFonts w:ascii="宋体" w:hAnsi="宋体"/>
                <w:b/>
                <w:bCs/>
                <w:sz w:val="24"/>
                <w:szCs w:val="20"/>
              </w:rPr>
              <w:t>位</w:t>
            </w:r>
          </w:p>
        </w:tc>
        <w:tc>
          <w:tcPr>
            <w:tcW w:w="759"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hint="eastAsia" w:ascii="宋体" w:hAnsi="宋体"/>
                <w:b/>
                <w:bCs/>
                <w:sz w:val="24"/>
                <w:szCs w:val="20"/>
              </w:rPr>
              <w:t>增长率</w:t>
            </w:r>
          </w:p>
        </w:tc>
        <w:tc>
          <w:tcPr>
            <w:tcW w:w="753"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2005年</w:t>
            </w:r>
          </w:p>
        </w:tc>
        <w:tc>
          <w:tcPr>
            <w:tcW w:w="897"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2006年</w:t>
            </w:r>
          </w:p>
        </w:tc>
        <w:tc>
          <w:tcPr>
            <w:tcW w:w="897"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2007年</w:t>
            </w:r>
          </w:p>
        </w:tc>
        <w:tc>
          <w:tcPr>
            <w:tcW w:w="897"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2008年</w:t>
            </w:r>
          </w:p>
        </w:tc>
        <w:tc>
          <w:tcPr>
            <w:tcW w:w="897"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2009年</w:t>
            </w:r>
          </w:p>
        </w:tc>
        <w:tc>
          <w:tcPr>
            <w:tcW w:w="873" w:type="dxa"/>
            <w:tcBorders>
              <w:top w:val="single" w:color="auto" w:sz="4" w:space="0"/>
              <w:left w:val="nil"/>
              <w:bottom w:val="nil"/>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b/>
                <w:bCs/>
                <w:sz w:val="24"/>
                <w:szCs w:val="20"/>
              </w:rPr>
            </w:pPr>
            <w:r>
              <w:rPr>
                <w:rFonts w:ascii="宋体" w:hAnsi="宋体"/>
                <w:b/>
                <w:bCs/>
                <w:sz w:val="24"/>
                <w:szCs w:val="20"/>
              </w:rPr>
              <w:t>2010年</w:t>
            </w:r>
          </w:p>
        </w:tc>
      </w:tr>
      <w:tr>
        <w:tblPrEx>
          <w:tblCellMar>
            <w:top w:w="0" w:type="dxa"/>
            <w:left w:w="0" w:type="dxa"/>
            <w:bottom w:w="0" w:type="dxa"/>
            <w:right w:w="0" w:type="dxa"/>
          </w:tblCellMar>
        </w:tblPrEx>
        <w:trPr>
          <w:wBefore w:w="0" w:type="auto"/>
          <w:trHeight w:val="672" w:hRule="atLeast"/>
          <w:jc w:val="center"/>
        </w:trPr>
        <w:tc>
          <w:tcPr>
            <w:tcW w:w="2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ascii="宋体" w:hAnsi="宋体"/>
                <w:sz w:val="24"/>
                <w:szCs w:val="20"/>
              </w:rPr>
              <w:t>1</w:t>
            </w:r>
          </w:p>
        </w:tc>
        <w:tc>
          <w:tcPr>
            <w:tcW w:w="1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rPr>
              <w:t>工业总产值</w:t>
            </w:r>
          </w:p>
        </w:tc>
        <w:tc>
          <w:tcPr>
            <w:tcW w:w="105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szCs w:val="20"/>
              </w:rPr>
              <w:t>亿元</w:t>
            </w:r>
          </w:p>
        </w:tc>
        <w:tc>
          <w:tcPr>
            <w:tcW w:w="7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szCs w:val="20"/>
              </w:rPr>
            </w:pPr>
            <w:r>
              <w:rPr>
                <w:rFonts w:hint="eastAsia" w:ascii="宋体" w:hAnsi="宋体"/>
                <w:color w:val="000000"/>
                <w:sz w:val="24"/>
                <w:szCs w:val="20"/>
              </w:rPr>
              <w:t>6.5</w:t>
            </w:r>
            <w:r>
              <w:rPr>
                <w:rFonts w:ascii="宋体" w:hAnsi="宋体"/>
                <w:color w:val="000000"/>
                <w:sz w:val="24"/>
                <w:szCs w:val="20"/>
              </w:rPr>
              <w:t>%</w:t>
            </w:r>
          </w:p>
        </w:tc>
        <w:tc>
          <w:tcPr>
            <w:tcW w:w="7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ascii="宋体" w:hAnsi="宋体"/>
                <w:color w:val="000000"/>
                <w:sz w:val="24"/>
                <w:szCs w:val="20"/>
              </w:rPr>
              <w:t>11</w:t>
            </w:r>
            <w:r>
              <w:rPr>
                <w:rFonts w:hint="eastAsia" w:ascii="宋体" w:hAnsi="宋体"/>
                <w:color w:val="000000"/>
                <w:sz w:val="24"/>
                <w:szCs w:val="20"/>
              </w:rPr>
              <w:t>55</w:t>
            </w:r>
            <w:r>
              <w:rPr>
                <w:rFonts w:ascii="宋体" w:hAnsi="宋体"/>
                <w:color w:val="000000"/>
                <w:sz w:val="24"/>
                <w:szCs w:val="20"/>
              </w:rPr>
              <w:t>.0</w:t>
            </w:r>
            <w:r>
              <w:rPr>
                <w:rFonts w:hint="eastAsia" w:ascii="宋体" w:hAnsi="宋体"/>
                <w:color w:val="000000"/>
                <w:sz w:val="24"/>
                <w:szCs w:val="20"/>
              </w:rPr>
              <w:t>9</w:t>
            </w:r>
          </w:p>
        </w:tc>
        <w:tc>
          <w:tcPr>
            <w:tcW w:w="89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1230.17</w:t>
            </w:r>
          </w:p>
        </w:tc>
        <w:tc>
          <w:tcPr>
            <w:tcW w:w="89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1310.13</w:t>
            </w:r>
          </w:p>
        </w:tc>
        <w:tc>
          <w:tcPr>
            <w:tcW w:w="89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1395.29</w:t>
            </w:r>
          </w:p>
        </w:tc>
        <w:tc>
          <w:tcPr>
            <w:tcW w:w="89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1485.98</w:t>
            </w:r>
          </w:p>
        </w:tc>
        <w:tc>
          <w:tcPr>
            <w:tcW w:w="8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1582.57</w:t>
            </w:r>
          </w:p>
        </w:tc>
      </w:tr>
      <w:tr>
        <w:tblPrEx>
          <w:tblCellMar>
            <w:top w:w="0" w:type="dxa"/>
            <w:left w:w="0" w:type="dxa"/>
            <w:bottom w:w="0" w:type="dxa"/>
            <w:right w:w="0" w:type="dxa"/>
          </w:tblCellMar>
        </w:tblPrEx>
        <w:trPr>
          <w:wBefore w:w="0" w:type="auto"/>
          <w:trHeight w:val="836" w:hRule="atLeast"/>
          <w:jc w:val="center"/>
        </w:trPr>
        <w:tc>
          <w:tcPr>
            <w:tcW w:w="2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ascii="宋体" w:hAnsi="宋体"/>
                <w:sz w:val="24"/>
                <w:szCs w:val="20"/>
              </w:rPr>
              <w:t>2</w:t>
            </w:r>
          </w:p>
        </w:tc>
        <w:tc>
          <w:tcPr>
            <w:tcW w:w="1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rPr>
              <w:t>每平方公里土地工业总产值</w:t>
            </w:r>
          </w:p>
        </w:tc>
        <w:tc>
          <w:tcPr>
            <w:tcW w:w="10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szCs w:val="20"/>
              </w:rPr>
              <w:t>亿元∕平方公里</w:t>
            </w:r>
          </w:p>
        </w:tc>
        <w:tc>
          <w:tcPr>
            <w:tcW w:w="7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szCs w:val="20"/>
              </w:rPr>
            </w:pPr>
            <w:r>
              <w:rPr>
                <w:rFonts w:ascii="宋体" w:hAnsi="宋体"/>
                <w:color w:val="000000"/>
                <w:sz w:val="24"/>
                <w:szCs w:val="20"/>
              </w:rPr>
              <w:t>6.5%</w:t>
            </w:r>
          </w:p>
        </w:tc>
        <w:tc>
          <w:tcPr>
            <w:tcW w:w="7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14.66</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15.61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16.63</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17.71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18.86</w:t>
            </w:r>
          </w:p>
        </w:tc>
        <w:tc>
          <w:tcPr>
            <w:tcW w:w="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20.08</w:t>
            </w:r>
          </w:p>
        </w:tc>
      </w:tr>
      <w:tr>
        <w:trPr>
          <w:wBefore w:w="0" w:type="auto"/>
          <w:trHeight w:val="710" w:hRule="atLeast"/>
          <w:jc w:val="center"/>
        </w:trPr>
        <w:tc>
          <w:tcPr>
            <w:tcW w:w="2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ascii="宋体" w:hAnsi="宋体"/>
                <w:sz w:val="24"/>
                <w:szCs w:val="20"/>
              </w:rPr>
              <w:t>3</w:t>
            </w:r>
          </w:p>
        </w:tc>
        <w:tc>
          <w:tcPr>
            <w:tcW w:w="1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rPr>
              <w:t>工业增加值</w:t>
            </w:r>
          </w:p>
        </w:tc>
        <w:tc>
          <w:tcPr>
            <w:tcW w:w="10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szCs w:val="20"/>
              </w:rPr>
              <w:t>亿元</w:t>
            </w:r>
          </w:p>
        </w:tc>
        <w:tc>
          <w:tcPr>
            <w:tcW w:w="7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hint="eastAsia" w:ascii="宋体" w:hAnsi="宋体"/>
                <w:sz w:val="24"/>
                <w:szCs w:val="20"/>
              </w:rPr>
              <w:t>7.3</w:t>
            </w:r>
            <w:r>
              <w:rPr>
                <w:rFonts w:ascii="宋体" w:hAnsi="宋体"/>
                <w:sz w:val="24"/>
                <w:szCs w:val="20"/>
              </w:rPr>
              <w:t>%</w:t>
            </w:r>
          </w:p>
        </w:tc>
        <w:tc>
          <w:tcPr>
            <w:tcW w:w="7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ascii="宋体" w:hAnsi="宋体"/>
                <w:sz w:val="24"/>
                <w:szCs w:val="20"/>
              </w:rPr>
              <w:t>270.</w:t>
            </w:r>
            <w:r>
              <w:rPr>
                <w:rFonts w:hint="eastAsia" w:ascii="宋体" w:hAnsi="宋体"/>
                <w:sz w:val="24"/>
                <w:szCs w:val="20"/>
              </w:rPr>
              <w:t>21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289.94</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311.11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333.82</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358.19</w:t>
            </w:r>
          </w:p>
        </w:tc>
        <w:tc>
          <w:tcPr>
            <w:tcW w:w="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384.34</w:t>
            </w:r>
          </w:p>
        </w:tc>
      </w:tr>
      <w:tr>
        <w:tblPrEx>
          <w:tblCellMar>
            <w:top w:w="0" w:type="dxa"/>
            <w:left w:w="0" w:type="dxa"/>
            <w:bottom w:w="0" w:type="dxa"/>
            <w:right w:w="0" w:type="dxa"/>
          </w:tblCellMar>
        </w:tblPrEx>
        <w:trPr>
          <w:wBefore w:w="0" w:type="auto"/>
          <w:trHeight w:val="821" w:hRule="atLeast"/>
          <w:jc w:val="center"/>
        </w:trPr>
        <w:tc>
          <w:tcPr>
            <w:tcW w:w="2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ascii="宋体" w:hAnsi="宋体"/>
                <w:sz w:val="24"/>
                <w:szCs w:val="20"/>
              </w:rPr>
              <w:t>4</w:t>
            </w:r>
          </w:p>
        </w:tc>
        <w:tc>
          <w:tcPr>
            <w:tcW w:w="1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szCs w:val="20"/>
              </w:rPr>
              <w:t>每平方公里土地</w:t>
            </w:r>
            <w:r>
              <w:rPr>
                <w:rFonts w:hint="eastAsia" w:ascii="宋体" w:hAnsi="宋体"/>
                <w:sz w:val="24"/>
              </w:rPr>
              <w:t>工业增加值</w:t>
            </w:r>
          </w:p>
        </w:tc>
        <w:tc>
          <w:tcPr>
            <w:tcW w:w="10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sz w:val="24"/>
                <w:szCs w:val="20"/>
              </w:rPr>
            </w:pPr>
            <w:r>
              <w:rPr>
                <w:rFonts w:hint="eastAsia" w:ascii="宋体" w:hAnsi="宋体"/>
                <w:sz w:val="24"/>
                <w:szCs w:val="20"/>
              </w:rPr>
              <w:t>亿元∕平方公里</w:t>
            </w:r>
          </w:p>
        </w:tc>
        <w:tc>
          <w:tcPr>
            <w:tcW w:w="7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sz w:val="24"/>
                <w:szCs w:val="20"/>
              </w:rPr>
            </w:pPr>
            <w:r>
              <w:rPr>
                <w:rFonts w:hint="eastAsia" w:ascii="宋体" w:hAnsi="宋体"/>
                <w:sz w:val="24"/>
                <w:szCs w:val="20"/>
              </w:rPr>
              <w:t>7.3</w:t>
            </w:r>
            <w:r>
              <w:rPr>
                <w:rFonts w:ascii="宋体" w:hAnsi="宋体"/>
                <w:sz w:val="24"/>
                <w:szCs w:val="20"/>
              </w:rPr>
              <w:t>%</w:t>
            </w:r>
          </w:p>
        </w:tc>
        <w:tc>
          <w:tcPr>
            <w:tcW w:w="7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ascii="宋体" w:hAnsi="宋体"/>
                <w:sz w:val="24"/>
                <w:szCs w:val="20"/>
              </w:rPr>
              <w:t>3.4</w:t>
            </w:r>
            <w:r>
              <w:rPr>
                <w:rFonts w:hint="eastAsia" w:ascii="宋体" w:hAnsi="宋体"/>
                <w:sz w:val="24"/>
                <w:szCs w:val="20"/>
              </w:rPr>
              <w:t>3</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3.68</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3.95</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4.24</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4.55</w:t>
            </w:r>
          </w:p>
        </w:tc>
        <w:tc>
          <w:tcPr>
            <w:tcW w:w="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sz w:val="24"/>
                <w:szCs w:val="20"/>
              </w:rPr>
            </w:pPr>
            <w:r>
              <w:rPr>
                <w:rFonts w:hint="eastAsia" w:ascii="宋体" w:hAnsi="宋体"/>
                <w:sz w:val="24"/>
                <w:szCs w:val="20"/>
              </w:rPr>
              <w:t>4.88</w:t>
            </w:r>
          </w:p>
        </w:tc>
      </w:tr>
      <w:tr>
        <w:tblPrEx>
          <w:tblCellMar>
            <w:top w:w="0" w:type="dxa"/>
            <w:left w:w="0" w:type="dxa"/>
            <w:bottom w:w="0" w:type="dxa"/>
            <w:right w:w="0" w:type="dxa"/>
          </w:tblCellMar>
        </w:tblPrEx>
        <w:trPr>
          <w:wBefore w:w="0" w:type="auto"/>
          <w:trHeight w:val="821" w:hRule="atLeast"/>
          <w:jc w:val="center"/>
        </w:trPr>
        <w:tc>
          <w:tcPr>
            <w:tcW w:w="2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szCs w:val="20"/>
              </w:rPr>
            </w:pPr>
            <w:r>
              <w:rPr>
                <w:rFonts w:ascii="宋体" w:hAnsi="宋体"/>
                <w:color w:val="000000"/>
                <w:sz w:val="24"/>
                <w:szCs w:val="20"/>
              </w:rPr>
              <w:t>5</w:t>
            </w:r>
          </w:p>
        </w:tc>
        <w:tc>
          <w:tcPr>
            <w:tcW w:w="1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szCs w:val="20"/>
              </w:rPr>
            </w:pPr>
            <w:r>
              <w:rPr>
                <w:rFonts w:hint="eastAsia" w:ascii="宋体" w:hAnsi="宋体"/>
                <w:color w:val="000000"/>
                <w:sz w:val="24"/>
                <w:szCs w:val="20"/>
              </w:rPr>
              <w:t>辖区高新技术产品产值</w:t>
            </w:r>
          </w:p>
        </w:tc>
        <w:tc>
          <w:tcPr>
            <w:tcW w:w="10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szCs w:val="20"/>
              </w:rPr>
            </w:pPr>
            <w:r>
              <w:rPr>
                <w:rFonts w:hint="eastAsia" w:ascii="宋体" w:hAnsi="宋体"/>
                <w:color w:val="000000"/>
                <w:sz w:val="24"/>
                <w:szCs w:val="20"/>
              </w:rPr>
              <w:t>亿元</w:t>
            </w:r>
          </w:p>
        </w:tc>
        <w:tc>
          <w:tcPr>
            <w:tcW w:w="7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ascii="宋体" w:hAnsi="宋体"/>
                <w:color w:val="000000"/>
                <w:sz w:val="24"/>
                <w:szCs w:val="20"/>
              </w:rPr>
            </w:pPr>
            <w:r>
              <w:rPr>
                <w:rFonts w:hint="eastAsia" w:ascii="宋体" w:hAnsi="宋体"/>
                <w:color w:val="000000"/>
                <w:sz w:val="24"/>
                <w:szCs w:val="20"/>
              </w:rPr>
              <w:t>9.0</w:t>
            </w:r>
            <w:r>
              <w:rPr>
                <w:rFonts w:ascii="宋体" w:hAnsi="宋体"/>
                <w:color w:val="000000"/>
                <w:sz w:val="24"/>
                <w:szCs w:val="20"/>
              </w:rPr>
              <w:t>%</w:t>
            </w:r>
          </w:p>
        </w:tc>
        <w:tc>
          <w:tcPr>
            <w:tcW w:w="7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845</w:t>
            </w:r>
            <w:r>
              <w:rPr>
                <w:rFonts w:ascii="宋体" w:hAnsi="宋体"/>
                <w:color w:val="000000"/>
                <w:sz w:val="24"/>
                <w:szCs w:val="20"/>
              </w:rPr>
              <w:t>.0</w:t>
            </w:r>
            <w:r>
              <w:rPr>
                <w:rFonts w:hint="eastAsia" w:ascii="宋体" w:hAnsi="宋体"/>
                <w:color w:val="000000"/>
                <w:sz w:val="24"/>
                <w:szCs w:val="20"/>
              </w:rPr>
              <w:t>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921.05</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1003.94</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1094.30</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1192.79</w:t>
            </w:r>
          </w:p>
        </w:tc>
        <w:tc>
          <w:tcPr>
            <w:tcW w:w="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1300.13</w:t>
            </w:r>
          </w:p>
        </w:tc>
      </w:tr>
      <w:tr>
        <w:tblPrEx>
          <w:tblCellMar>
            <w:top w:w="0" w:type="dxa"/>
            <w:left w:w="0" w:type="dxa"/>
            <w:bottom w:w="0" w:type="dxa"/>
            <w:right w:w="0" w:type="dxa"/>
          </w:tblCellMar>
        </w:tblPrEx>
        <w:trPr>
          <w:wBefore w:w="0" w:type="auto"/>
          <w:trHeight w:val="542" w:hRule="atLeast"/>
          <w:jc w:val="center"/>
        </w:trPr>
        <w:tc>
          <w:tcPr>
            <w:tcW w:w="29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6</w:t>
            </w:r>
          </w:p>
        </w:tc>
        <w:tc>
          <w:tcPr>
            <w:tcW w:w="1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szCs w:val="20"/>
              </w:rPr>
            </w:pPr>
            <w:r>
              <w:rPr>
                <w:rFonts w:hint="eastAsia" w:ascii="宋体" w:hAnsi="宋体"/>
                <w:color w:val="000000"/>
                <w:sz w:val="24"/>
                <w:szCs w:val="20"/>
              </w:rPr>
              <w:t>工业全员劳动生产率</w:t>
            </w:r>
          </w:p>
        </w:tc>
        <w:tc>
          <w:tcPr>
            <w:tcW w:w="105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rPr>
                <w:rFonts w:ascii="宋体" w:hAnsi="宋体"/>
                <w:color w:val="000000"/>
                <w:sz w:val="24"/>
                <w:szCs w:val="20"/>
              </w:rPr>
            </w:pPr>
            <w:r>
              <w:rPr>
                <w:rFonts w:hint="eastAsia" w:ascii="宋体" w:hAnsi="宋体"/>
                <w:color w:val="000000"/>
                <w:sz w:val="24"/>
                <w:szCs w:val="20"/>
              </w:rPr>
              <w:t>万元</w:t>
            </w:r>
          </w:p>
        </w:tc>
        <w:tc>
          <w:tcPr>
            <w:tcW w:w="7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12.5%</w:t>
            </w:r>
          </w:p>
        </w:tc>
        <w:tc>
          <w:tcPr>
            <w:tcW w:w="7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22.5</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25.3</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28.5</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32.1</w:t>
            </w:r>
          </w:p>
        </w:tc>
        <w:tc>
          <w:tcPr>
            <w:tcW w:w="8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36.1</w:t>
            </w:r>
          </w:p>
        </w:tc>
        <w:tc>
          <w:tcPr>
            <w:tcW w:w="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宋体" w:hAnsi="宋体"/>
                <w:color w:val="000000"/>
                <w:sz w:val="24"/>
                <w:szCs w:val="20"/>
              </w:rPr>
            </w:pPr>
            <w:r>
              <w:rPr>
                <w:rFonts w:hint="eastAsia" w:ascii="宋体" w:hAnsi="宋体"/>
                <w:color w:val="000000"/>
                <w:sz w:val="24"/>
                <w:szCs w:val="20"/>
              </w:rPr>
              <w:t>40.6</w:t>
            </w:r>
          </w:p>
        </w:tc>
      </w:tr>
    </w:tbl>
    <w:p>
      <w:pPr>
        <w:adjustRightInd w:val="0"/>
        <w:snapToGrid w:val="0"/>
        <w:spacing w:before="300" w:beforeLines="50"/>
        <w:ind w:firstLine="481" w:firstLineChars="200"/>
        <w:rPr>
          <w:rFonts w:hint="eastAsia" w:ascii="宋体" w:hAnsi="宋体"/>
          <w:sz w:val="24"/>
        </w:rPr>
      </w:pPr>
      <w:r>
        <w:rPr>
          <w:rFonts w:hint="eastAsia" w:ascii="宋体" w:hAnsi="宋体"/>
          <w:b/>
          <w:bCs/>
          <w:sz w:val="24"/>
        </w:rPr>
        <w:t>2</w:t>
      </w:r>
      <w:r>
        <w:rPr>
          <w:rFonts w:hint="eastAsia" w:ascii="宋体" w:hAnsi="宋体"/>
          <w:sz w:val="24"/>
        </w:rPr>
        <w:t>、</w:t>
      </w:r>
      <w:r>
        <w:rPr>
          <w:rFonts w:hint="eastAsia" w:ascii="宋体" w:hAnsi="宋体"/>
          <w:b/>
          <w:bCs/>
          <w:sz w:val="24"/>
        </w:rPr>
        <w:t>工业产业发展调控目标</w:t>
      </w:r>
    </w:p>
    <w:p>
      <w:pPr>
        <w:adjustRightInd w:val="0"/>
        <w:snapToGrid w:val="0"/>
        <w:ind w:firstLine="480" w:firstLineChars="200"/>
        <w:rPr>
          <w:rFonts w:hint="eastAsia" w:ascii="宋体" w:hAnsi="宋体"/>
          <w:sz w:val="24"/>
        </w:rPr>
      </w:pPr>
      <w:r>
        <w:rPr>
          <w:rFonts w:hint="eastAsia" w:ascii="宋体" w:hAnsi="宋体"/>
          <w:sz w:val="24"/>
        </w:rPr>
        <w:t>“十一五”期间，必须稳定现有的大型工业企业，保持工业在全区生产总值中的支柱地位。</w:t>
      </w:r>
    </w:p>
    <w:p>
      <w:pPr>
        <w:adjustRightInd w:val="0"/>
        <w:snapToGrid w:val="0"/>
        <w:ind w:firstLine="480" w:firstLineChars="200"/>
        <w:rPr>
          <w:rFonts w:hint="eastAsia" w:ascii="宋体" w:hAnsi="宋体"/>
          <w:sz w:val="24"/>
        </w:rPr>
      </w:pPr>
      <w:r>
        <w:rPr>
          <w:rFonts w:hint="eastAsia" w:ascii="宋体" w:hAnsi="宋体"/>
          <w:sz w:val="24"/>
        </w:rPr>
        <w:t>重点鼓励引进和发展低污染、低能耗、环保型、高附加值、高技术含量的工业项目；重点鼓励引进和发展与制造业发展密切相关的工业生产性服务业。</w:t>
      </w:r>
    </w:p>
    <w:p>
      <w:pPr>
        <w:adjustRightInd w:val="0"/>
        <w:snapToGrid w:val="0"/>
        <w:ind w:firstLine="481" w:firstLineChars="200"/>
        <w:rPr>
          <w:rFonts w:hint="eastAsia" w:ascii="宋体" w:hAnsi="宋体"/>
          <w:b/>
          <w:bCs/>
          <w:sz w:val="24"/>
        </w:rPr>
      </w:pPr>
      <w:r>
        <w:rPr>
          <w:rFonts w:hint="eastAsia" w:ascii="宋体" w:hAnsi="宋体"/>
          <w:b/>
          <w:bCs/>
          <w:sz w:val="24"/>
        </w:rPr>
        <w:t>鼓励类项目：</w:t>
      </w:r>
    </w:p>
    <w:p>
      <w:pPr>
        <w:adjustRightInd w:val="0"/>
        <w:snapToGrid w:val="0"/>
        <w:ind w:firstLine="480" w:firstLineChars="200"/>
        <w:rPr>
          <w:rFonts w:hint="eastAsia" w:ascii="宋体" w:hAnsi="宋体"/>
          <w:sz w:val="24"/>
        </w:rPr>
      </w:pPr>
      <w:r>
        <w:rPr>
          <w:rFonts w:hint="eastAsia" w:ascii="宋体" w:hAnsi="宋体"/>
          <w:sz w:val="24"/>
        </w:rPr>
        <w:t>超大规模集成电路、光通信器件、</w:t>
      </w:r>
      <w:r>
        <w:rPr>
          <w:rFonts w:ascii="宋体" w:hAnsi="宋体"/>
          <w:sz w:val="24"/>
        </w:rPr>
        <w:t>高性能微型电子计算机</w:t>
      </w:r>
      <w:r>
        <w:rPr>
          <w:rFonts w:hint="eastAsia" w:ascii="宋体" w:hAnsi="宋体"/>
          <w:sz w:val="24"/>
        </w:rPr>
        <w:t>、</w:t>
      </w:r>
      <w:r>
        <w:rPr>
          <w:rFonts w:ascii="宋体" w:hAnsi="宋体"/>
          <w:sz w:val="24"/>
        </w:rPr>
        <w:t>计算机应用开发平台和中间件</w:t>
      </w:r>
      <w:r>
        <w:rPr>
          <w:rFonts w:hint="eastAsia" w:ascii="宋体" w:hAnsi="宋体"/>
          <w:sz w:val="24"/>
        </w:rPr>
        <w:t>、</w:t>
      </w:r>
      <w:r>
        <w:rPr>
          <w:rFonts w:ascii="宋体" w:hAnsi="宋体"/>
          <w:sz w:val="24"/>
        </w:rPr>
        <w:t>基因工程疫苗</w:t>
      </w:r>
      <w:r>
        <w:rPr>
          <w:rFonts w:hint="eastAsia" w:ascii="宋体" w:hAnsi="宋体"/>
          <w:sz w:val="24"/>
        </w:rPr>
        <w:t>、</w:t>
      </w:r>
      <w:r>
        <w:rPr>
          <w:rFonts w:ascii="宋体" w:hAnsi="宋体"/>
          <w:sz w:val="24"/>
        </w:rPr>
        <w:t>天然药物、海洋药物、海洋生物分子材料</w:t>
      </w:r>
      <w:r>
        <w:rPr>
          <w:rFonts w:hint="eastAsia" w:ascii="宋体" w:hAnsi="宋体"/>
          <w:sz w:val="24"/>
        </w:rPr>
        <w:t>、</w:t>
      </w:r>
      <w:r>
        <w:rPr>
          <w:rFonts w:ascii="宋体" w:hAnsi="宋体"/>
          <w:sz w:val="24"/>
        </w:rPr>
        <w:t>纳米材料</w:t>
      </w:r>
      <w:r>
        <w:rPr>
          <w:rFonts w:hint="eastAsia" w:ascii="宋体" w:hAnsi="宋体"/>
          <w:sz w:val="24"/>
        </w:rPr>
        <w:t>、</w:t>
      </w:r>
      <w:r>
        <w:rPr>
          <w:rFonts w:ascii="宋体" w:hAnsi="宋体"/>
          <w:sz w:val="24"/>
        </w:rPr>
        <w:t>车载信息系统</w:t>
      </w:r>
      <w:r>
        <w:rPr>
          <w:rFonts w:hint="eastAsia" w:ascii="宋体" w:hAnsi="宋体"/>
          <w:sz w:val="24"/>
        </w:rPr>
        <w:t>、</w:t>
      </w:r>
      <w:r>
        <w:rPr>
          <w:rFonts w:ascii="宋体" w:hAnsi="宋体"/>
          <w:sz w:val="24"/>
        </w:rPr>
        <w:t>新型合成材料</w:t>
      </w:r>
      <w:r>
        <w:rPr>
          <w:rFonts w:hint="eastAsia" w:ascii="宋体" w:hAnsi="宋体"/>
          <w:sz w:val="24"/>
        </w:rPr>
        <w:t>、</w:t>
      </w:r>
      <w:r>
        <w:rPr>
          <w:rFonts w:ascii="宋体" w:hAnsi="宋体"/>
          <w:sz w:val="24"/>
        </w:rPr>
        <w:t>机载设备系统及地面装置</w:t>
      </w:r>
      <w:r>
        <w:rPr>
          <w:rFonts w:hint="eastAsia" w:ascii="宋体" w:hAnsi="宋体"/>
          <w:sz w:val="24"/>
        </w:rPr>
        <w:t>、</w:t>
      </w:r>
      <w:r>
        <w:rPr>
          <w:rFonts w:ascii="宋体" w:hAnsi="宋体"/>
          <w:sz w:val="24"/>
        </w:rPr>
        <w:t>生物检测仪器及设备</w:t>
      </w:r>
      <w:r>
        <w:rPr>
          <w:rFonts w:hint="eastAsia" w:ascii="宋体" w:hAnsi="宋体"/>
          <w:sz w:val="24"/>
        </w:rPr>
        <w:t>、高科技数码印刷、高级时装设计与制作等工业项目的研发、</w:t>
      </w:r>
      <w:r>
        <w:rPr>
          <w:rFonts w:ascii="宋体" w:hAnsi="宋体"/>
          <w:sz w:val="24"/>
          <w:szCs w:val="18"/>
        </w:rPr>
        <w:t>中试、设计及物流</w:t>
      </w:r>
      <w:r>
        <w:rPr>
          <w:rFonts w:hint="eastAsia" w:ascii="宋体" w:hAnsi="宋体"/>
          <w:sz w:val="24"/>
          <w:szCs w:val="18"/>
        </w:rPr>
        <w:t>项目、配套</w:t>
      </w:r>
      <w:r>
        <w:rPr>
          <w:rFonts w:hint="eastAsia" w:ascii="宋体" w:hAnsi="宋体" w:cs="宋体"/>
          <w:sz w:val="24"/>
          <w:szCs w:val="22"/>
        </w:rPr>
        <w:t>仓储运输、设备租赁融资等工业生产性服务业项目</w:t>
      </w:r>
      <w:r>
        <w:rPr>
          <w:rFonts w:hint="eastAsia" w:ascii="宋体" w:hAnsi="宋体"/>
          <w:sz w:val="24"/>
        </w:rPr>
        <w:t>。</w:t>
      </w:r>
    </w:p>
    <w:p>
      <w:pPr>
        <w:adjustRightInd w:val="0"/>
        <w:snapToGrid w:val="0"/>
        <w:ind w:firstLine="480" w:firstLineChars="200"/>
        <w:rPr>
          <w:rFonts w:hint="eastAsia" w:ascii="宋体" w:hAnsi="宋体"/>
          <w:sz w:val="24"/>
        </w:rPr>
      </w:pPr>
      <w:r>
        <w:rPr>
          <w:rFonts w:hint="eastAsia" w:ascii="宋体" w:hAnsi="宋体"/>
          <w:sz w:val="24"/>
        </w:rPr>
        <w:t>禁止或限制发展高污染、高能耗、影响环境、附加值低、达不到国家强制标准、单纯劳动密集型的工业项目。</w:t>
      </w:r>
    </w:p>
    <w:p>
      <w:pPr>
        <w:adjustRightInd w:val="0"/>
        <w:snapToGrid w:val="0"/>
        <w:ind w:firstLine="481" w:firstLineChars="200"/>
        <w:rPr>
          <w:rFonts w:hint="eastAsia" w:ascii="宋体" w:hAnsi="宋体"/>
          <w:b/>
          <w:bCs/>
          <w:sz w:val="24"/>
        </w:rPr>
      </w:pPr>
      <w:r>
        <w:rPr>
          <w:rFonts w:hint="eastAsia" w:ascii="宋体" w:hAnsi="宋体"/>
          <w:b/>
          <w:bCs/>
          <w:sz w:val="24"/>
        </w:rPr>
        <w:t>限制类项目：</w:t>
      </w:r>
    </w:p>
    <w:p>
      <w:pPr>
        <w:adjustRightInd w:val="0"/>
        <w:snapToGrid w:val="0"/>
        <w:ind w:firstLine="480" w:firstLineChars="200"/>
        <w:rPr>
          <w:rFonts w:hint="eastAsia" w:ascii="宋体" w:hAnsi="宋体"/>
          <w:sz w:val="24"/>
        </w:rPr>
      </w:pPr>
      <w:r>
        <w:rPr>
          <w:rFonts w:hint="eastAsia" w:ascii="宋体" w:hAnsi="宋体"/>
          <w:sz w:val="24"/>
        </w:rPr>
        <w:t>除《深圳市产业指导目录》中的限制类项目外，在福田区限制发展一般性的服装加工、普通印刷等工业项目。</w:t>
      </w:r>
    </w:p>
    <w:p>
      <w:pPr>
        <w:adjustRightInd w:val="0"/>
        <w:snapToGrid w:val="0"/>
        <w:ind w:firstLine="481" w:firstLineChars="200"/>
        <w:rPr>
          <w:rFonts w:hint="eastAsia" w:ascii="宋体" w:hAnsi="宋体"/>
          <w:b/>
          <w:bCs/>
          <w:sz w:val="24"/>
        </w:rPr>
      </w:pPr>
      <w:r>
        <w:rPr>
          <w:rFonts w:hint="eastAsia" w:ascii="宋体" w:hAnsi="宋体"/>
          <w:b/>
          <w:bCs/>
          <w:sz w:val="24"/>
        </w:rPr>
        <w:t>禁止类项目：</w:t>
      </w:r>
    </w:p>
    <w:p>
      <w:pPr>
        <w:adjustRightInd w:val="0"/>
        <w:snapToGrid w:val="0"/>
        <w:ind w:firstLine="480" w:firstLineChars="200"/>
        <w:rPr>
          <w:rFonts w:hint="eastAsia" w:ascii="宋体" w:hAnsi="宋体"/>
          <w:sz w:val="24"/>
        </w:rPr>
      </w:pPr>
      <w:r>
        <w:rPr>
          <w:rFonts w:hint="eastAsia" w:ascii="宋体" w:hAnsi="宋体"/>
          <w:sz w:val="24"/>
        </w:rPr>
        <w:t>除《深圳市产业指导目录》中的禁止类项目外，在福田区禁止发展对中心城区环境有影响的高噪音、高污染的工业项目。</w:t>
      </w:r>
    </w:p>
    <w:p>
      <w:pPr>
        <w:adjustRightInd w:val="0"/>
        <w:snapToGrid w:val="0"/>
        <w:ind w:firstLine="480" w:firstLineChars="200"/>
        <w:rPr>
          <w:rFonts w:hint="eastAsia" w:ascii="宋体" w:hAnsi="宋体"/>
          <w:sz w:val="24"/>
        </w:rPr>
      </w:pPr>
    </w:p>
    <w:p>
      <w:pPr>
        <w:adjustRightInd w:val="0"/>
        <w:snapToGrid w:val="0"/>
        <w:ind w:firstLine="645"/>
        <w:rPr>
          <w:rFonts w:hint="eastAsia" w:ascii="宋体" w:hAnsi="宋体"/>
          <w:b/>
          <w:bCs/>
          <w:sz w:val="30"/>
        </w:rPr>
      </w:pPr>
      <w:r>
        <w:rPr>
          <w:rFonts w:hint="eastAsia" w:ascii="宋体" w:hAnsi="宋体"/>
          <w:b/>
          <w:bCs/>
          <w:sz w:val="30"/>
        </w:rPr>
        <w:t>四、福田区工业“十一五”时期发展重点</w:t>
      </w:r>
    </w:p>
    <w:p>
      <w:pPr>
        <w:adjustRightInd w:val="0"/>
        <w:snapToGrid w:val="0"/>
        <w:ind w:firstLine="480" w:firstLineChars="200"/>
        <w:rPr>
          <w:rFonts w:hint="eastAsia" w:ascii="宋体" w:hAnsi="宋体"/>
          <w:sz w:val="24"/>
        </w:rPr>
      </w:pPr>
      <w:r>
        <w:rPr>
          <w:rFonts w:hint="eastAsia" w:ascii="宋体" w:hAnsi="宋体"/>
          <w:sz w:val="24"/>
        </w:rPr>
        <w:t>“十一五”期间，福田区要全面提升工业的整体素质，以信息化带动工业化，以工业化支持信息化。福田工业重点发展以自主创新为动力的电子信息、生物医药、新材料、光机电一体化、环境保护、新能源与节能技术等高新技术产业；以技术进步为动力的服装、印刷、仪器仪表、工艺品、食品等传统优势制造业；稳定现有大型加工企业，夯实辖区工业基础；清理、淘汰位于居民住宅区内的小型加工作坊；加强科学规划，适时推进辖区内的老工业区改造，设立都市工业园区，提高工业用地集约化效能，保留工业发展空间；充分发挥福田区“五大中心”和深圳CBD的独特优势，加大招商引资力度，吸引国内外大型工业企业的总部、物流中心、研发中心、营运中心进驻，大力发展总部经济和工业</w:t>
      </w:r>
      <w:r>
        <w:rPr>
          <w:rFonts w:hint="eastAsia" w:ascii="宋体" w:hAnsi="宋体" w:cs="宋体"/>
          <w:sz w:val="24"/>
          <w:szCs w:val="22"/>
        </w:rPr>
        <w:t>生产性服务业</w:t>
      </w:r>
      <w:r>
        <w:rPr>
          <w:rFonts w:hint="eastAsia" w:ascii="宋体" w:hAnsi="宋体"/>
          <w:sz w:val="24"/>
        </w:rPr>
        <w:t>。</w:t>
      </w:r>
    </w:p>
    <w:p>
      <w:pPr>
        <w:adjustRightInd w:val="0"/>
        <w:snapToGrid w:val="0"/>
        <w:ind w:firstLine="562" w:firstLineChars="200"/>
        <w:rPr>
          <w:rFonts w:hint="eastAsia" w:ascii="宋体" w:hAnsi="宋体"/>
          <w:b/>
          <w:bCs/>
          <w:sz w:val="28"/>
        </w:rPr>
      </w:pPr>
      <w:r>
        <w:rPr>
          <w:rFonts w:hint="eastAsia" w:ascii="宋体" w:hAnsi="宋体"/>
          <w:b/>
          <w:bCs/>
          <w:sz w:val="28"/>
        </w:rPr>
        <w:t>（一）高新技术产业</w:t>
      </w:r>
    </w:p>
    <w:p>
      <w:pPr>
        <w:adjustRightInd w:val="0"/>
        <w:snapToGrid w:val="0"/>
        <w:ind w:firstLine="481" w:firstLineChars="200"/>
        <w:rPr>
          <w:rFonts w:hint="eastAsia" w:ascii="宋体" w:hAnsi="宋体"/>
          <w:sz w:val="24"/>
        </w:rPr>
      </w:pPr>
      <w:r>
        <w:rPr>
          <w:rFonts w:hint="eastAsia" w:ascii="宋体" w:hAnsi="宋体"/>
          <w:b/>
          <w:bCs/>
          <w:sz w:val="24"/>
        </w:rPr>
        <w:t>1</w:t>
      </w:r>
      <w:r>
        <w:rPr>
          <w:rFonts w:hint="eastAsia" w:ascii="宋体" w:hAnsi="宋体"/>
          <w:sz w:val="24"/>
        </w:rPr>
        <w:t>、</w:t>
      </w:r>
      <w:r>
        <w:rPr>
          <w:rFonts w:hint="eastAsia" w:ascii="宋体" w:hAnsi="宋体"/>
          <w:b/>
          <w:bCs/>
          <w:sz w:val="24"/>
        </w:rPr>
        <w:t>电子信息</w:t>
      </w:r>
    </w:p>
    <w:p>
      <w:pPr>
        <w:adjustRightInd w:val="0"/>
        <w:snapToGrid w:val="0"/>
        <w:ind w:firstLine="480" w:firstLineChars="200"/>
        <w:rPr>
          <w:rFonts w:hint="eastAsia" w:ascii="宋体" w:hAnsi="宋体"/>
          <w:sz w:val="24"/>
        </w:rPr>
      </w:pPr>
      <w:r>
        <w:rPr>
          <w:rFonts w:hint="eastAsia" w:ascii="宋体" w:hAnsi="宋体"/>
          <w:sz w:val="24"/>
        </w:rPr>
        <w:t>“十一五”期间，电子信息产业将继续成为福田工业的第一支柱产业。重点产品包括电子计算机、计算机外部设备、</w:t>
      </w:r>
      <w:r>
        <w:rPr>
          <w:rFonts w:hint="eastAsia" w:ascii="宋体" w:hAnsi="宋体"/>
          <w:sz w:val="24"/>
          <w:szCs w:val="18"/>
        </w:rPr>
        <w:t>微电子及基础元器件、通信设备等</w:t>
      </w:r>
      <w:r>
        <w:rPr>
          <w:rFonts w:hint="eastAsia" w:ascii="宋体" w:hAnsi="宋体"/>
          <w:sz w:val="24"/>
        </w:rPr>
        <w:t>“硬件”产品和计算机软件、计算机网络服务等“软件”产品两大类。发展重点:一是提高自主创新水平和自主知识产权保有量，开发新产品，抢占市场先机，开拓国内外市场；二是加快技术改造步伐，提高产品档次，增强产业竞争力；三是抓住世界汽车工业大国逐步将汽车电子产品制造向外转移的机遇，依托辖区雄厚的电子信息产业基础，着力发展和培植新兴的汽车电子产业，培育新的产业增长点。</w:t>
      </w:r>
    </w:p>
    <w:p>
      <w:pPr>
        <w:adjustRightInd w:val="0"/>
        <w:snapToGrid w:val="0"/>
        <w:ind w:firstLine="480" w:firstLineChars="200"/>
        <w:rPr>
          <w:rFonts w:hint="eastAsia" w:ascii="宋体" w:hAnsi="宋体"/>
          <w:sz w:val="24"/>
        </w:rPr>
      </w:pPr>
      <w:r>
        <w:rPr>
          <w:rFonts w:hint="eastAsia" w:ascii="宋体" w:hAnsi="宋体"/>
          <w:sz w:val="24"/>
        </w:rPr>
        <w:t>（1）电子计算机及计算机外部设备制造业是福田工业的重中之重，区内规模以上的企业就有30余家，全区产值贡献最大的企业联想国际是本行业中的佼佼者</w:t>
      </w:r>
      <w:r>
        <w:rPr>
          <w:rFonts w:hint="eastAsia" w:ascii="宋体" w:hAnsi="宋体"/>
          <w:sz w:val="24"/>
          <w:szCs w:val="18"/>
        </w:rPr>
        <w:t>。</w:t>
      </w:r>
      <w:r>
        <w:rPr>
          <w:rFonts w:hint="eastAsia" w:ascii="宋体" w:hAnsi="宋体"/>
          <w:sz w:val="24"/>
        </w:rPr>
        <w:t>“十一五”期间，</w:t>
      </w:r>
      <w:r>
        <w:rPr>
          <w:rFonts w:hint="eastAsia" w:ascii="宋体" w:hAnsi="宋体"/>
          <w:sz w:val="24"/>
          <w:szCs w:val="18"/>
        </w:rPr>
        <w:t>重点产品有</w:t>
      </w:r>
      <w:r>
        <w:rPr>
          <w:rFonts w:hint="eastAsia" w:ascii="宋体" w:hAnsi="宋体"/>
          <w:sz w:val="24"/>
        </w:rPr>
        <w:t>电脑、硬盘驱动器、磁头、服务器、计算机板卡、内存等。发展目标是巩固和扩大已有产品的产销规模，积极开发以网络为中心的新兴产品和业务，形成更加完整的生产链条和配套能力，培育新的行业增长点。</w:t>
      </w:r>
    </w:p>
    <w:p>
      <w:pPr>
        <w:adjustRightInd w:val="0"/>
        <w:snapToGrid w:val="0"/>
        <w:ind w:firstLine="480" w:firstLineChars="200"/>
        <w:rPr>
          <w:rFonts w:hint="eastAsia" w:ascii="宋体" w:hAnsi="宋体"/>
          <w:sz w:val="24"/>
          <w:szCs w:val="18"/>
        </w:rPr>
      </w:pPr>
      <w:r>
        <w:rPr>
          <w:rFonts w:hint="eastAsia" w:ascii="宋体" w:hAnsi="宋体"/>
          <w:sz w:val="24"/>
        </w:rPr>
        <w:t>（2）</w:t>
      </w:r>
      <w:r>
        <w:rPr>
          <w:rFonts w:hint="eastAsia" w:ascii="宋体" w:hAnsi="宋体"/>
          <w:sz w:val="24"/>
          <w:szCs w:val="18"/>
        </w:rPr>
        <w:t>微电子及基础元器件制造业是电子信息产业的核心，区内重点产品有超大规模集成电路、大功率半导体器件、液晶显示器件、彩色等离子显示器驱动器件、电子真空器件、可刻录光盘、光器件产品等。</w:t>
      </w:r>
      <w:r>
        <w:rPr>
          <w:rFonts w:hint="eastAsia" w:ascii="宋体" w:hAnsi="宋体"/>
          <w:sz w:val="24"/>
        </w:rPr>
        <w:t>发展目标是立足现有基础，加大现有元器件的技术改造力度，加快发展</w:t>
      </w:r>
      <w:r>
        <w:rPr>
          <w:rFonts w:hint="eastAsia" w:ascii="宋体" w:hAnsi="宋体"/>
          <w:sz w:val="24"/>
          <w:szCs w:val="18"/>
        </w:rPr>
        <w:t>集成电路设计和产品测试，逐步建立具有自主知识产权的产品链，形成完善的产业配套体系。</w:t>
      </w:r>
    </w:p>
    <w:p>
      <w:pPr>
        <w:adjustRightInd w:val="0"/>
        <w:snapToGrid w:val="0"/>
        <w:ind w:firstLine="480" w:firstLineChars="200"/>
        <w:rPr>
          <w:rFonts w:hint="eastAsia" w:ascii="宋体" w:hAnsi="宋体"/>
          <w:sz w:val="24"/>
          <w:szCs w:val="18"/>
        </w:rPr>
      </w:pPr>
      <w:r>
        <w:rPr>
          <w:rFonts w:hint="eastAsia" w:ascii="宋体" w:hAnsi="宋体"/>
          <w:sz w:val="24"/>
          <w:szCs w:val="18"/>
        </w:rPr>
        <w:t>（3）通信设备制造业是知识密集、技术密集、资金密集的高技术产业，区内重点产品有GSM和CDMA移动通信产品、数字集群通信产品、无线市话设备、智能网络设备、宽带接入产品、路由与交换设备、光通信模块、光传输系统、程控交换接入产品、电话机、传真机等。</w:t>
      </w:r>
      <w:r>
        <w:rPr>
          <w:rFonts w:hint="eastAsia" w:ascii="宋体" w:hAnsi="宋体"/>
          <w:sz w:val="24"/>
        </w:rPr>
        <w:t>发展目标是在保持现有</w:t>
      </w:r>
      <w:r>
        <w:rPr>
          <w:rFonts w:hint="eastAsia" w:ascii="宋体" w:hAnsi="宋体"/>
          <w:sz w:val="24"/>
          <w:szCs w:val="18"/>
        </w:rPr>
        <w:t>程控交换接入、光网络等优势产品的同时，大力发展下一代网络技术和第三代移动通信技术及其产品，掌握核心技术，发展具有自主知识产权的通信产品。</w:t>
      </w:r>
    </w:p>
    <w:p>
      <w:pPr>
        <w:adjustRightInd w:val="0"/>
        <w:snapToGrid w:val="0"/>
        <w:ind w:firstLine="480" w:firstLineChars="200"/>
        <w:rPr>
          <w:rFonts w:hint="eastAsia" w:ascii="宋体" w:hAnsi="宋体"/>
          <w:sz w:val="24"/>
        </w:rPr>
      </w:pPr>
      <w:r>
        <w:rPr>
          <w:rFonts w:hint="eastAsia" w:ascii="宋体" w:hAnsi="宋体"/>
          <w:sz w:val="24"/>
        </w:rPr>
        <w:t>（4）汽车电子产品制造业是我国新兴的先进应用型电子产业，区内可重点引进和发展汽车燃油喷射电控装置、节油环保型电子点火装置、卫星导航定位系统、车载多媒体信息系统等产品，争取在“十一五”期间集聚一批汽车电子企业，形成一定的产业规模。</w:t>
      </w:r>
    </w:p>
    <w:p>
      <w:pPr>
        <w:adjustRightInd w:val="0"/>
        <w:snapToGrid w:val="0"/>
        <w:ind w:firstLine="480" w:firstLineChars="200"/>
        <w:rPr>
          <w:rFonts w:hint="eastAsia" w:ascii="宋体" w:hAnsi="宋体"/>
          <w:sz w:val="24"/>
        </w:rPr>
      </w:pPr>
      <w:r>
        <w:rPr>
          <w:rFonts w:hint="eastAsia" w:ascii="宋体" w:hAnsi="宋体"/>
          <w:sz w:val="24"/>
        </w:rPr>
        <w:t>（5）计算机软件和网络服务产品开发是典型的都市工业，占地少、无污染、附加值高、集聚效应强，是最适合福田区发展的产业，“十五”期间，福田区已经聚集了1000多家计算机应用服务业企业，其中软件开发咨询业企业900多家，数据库服务业企业100多家。“十一五”期间，发展目标是大力发展新兴网络服务开发、嵌入式软件和应用软件研发，为福田软件业的发展创造良好的空间环境，争取形成集研发、设计、生产、培训和认证为一体的大型综合性软件产业基地。</w:t>
      </w:r>
    </w:p>
    <w:p>
      <w:pPr>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hint="eastAsia" w:ascii="宋体" w:hAnsi="宋体"/>
          <w:b/>
          <w:bCs/>
          <w:sz w:val="24"/>
        </w:rPr>
        <w:t>生物医药（制药）</w:t>
      </w:r>
    </w:p>
    <w:p>
      <w:pPr>
        <w:adjustRightInd w:val="0"/>
        <w:snapToGrid w:val="0"/>
        <w:ind w:firstLine="480" w:firstLineChars="200"/>
        <w:rPr>
          <w:rFonts w:hint="eastAsia" w:ascii="宋体" w:hAnsi="宋体"/>
          <w:sz w:val="24"/>
        </w:rPr>
      </w:pPr>
      <w:r>
        <w:rPr>
          <w:rFonts w:hint="eastAsia" w:ascii="宋体" w:hAnsi="宋体"/>
          <w:sz w:val="24"/>
          <w:szCs w:val="28"/>
        </w:rPr>
        <w:t>以基因工程、细胞工程、酶工程、发酵工程为代表的现代生物技术应用于医药工业，是当今高新技术产业发展的一大方向，市场前景十分广阔。制药是辖区具有一定规模的传统产业</w:t>
      </w:r>
      <w:r>
        <w:rPr>
          <w:rFonts w:hint="eastAsia" w:ascii="宋体" w:hAnsi="宋体"/>
          <w:sz w:val="24"/>
        </w:rPr>
        <w:t>，</w:t>
      </w:r>
      <w:r>
        <w:rPr>
          <w:rFonts w:hint="eastAsia" w:ascii="宋体" w:hAnsi="宋体"/>
          <w:sz w:val="24"/>
          <w:szCs w:val="28"/>
        </w:rPr>
        <w:t>福田区可发挥市场机制健全、国内外信息交流便捷的优势以及利用“高交会”等平台，抓住国际大型生物技术公司和大型制药公司向全球扩张的机遇，引进和发展生物医药产业化项目，着力发展生物医药产业。</w:t>
      </w:r>
      <w:r>
        <w:rPr>
          <w:rFonts w:hint="eastAsia" w:ascii="宋体" w:hAnsi="宋体"/>
          <w:sz w:val="24"/>
        </w:rPr>
        <w:t>发展目标是以生物技术和中药现代化为切入点，积极采用高新技术和先进适用技术，加快对传统医药产业的改造，实现医药工业结构的优化升级。</w:t>
      </w:r>
    </w:p>
    <w:p>
      <w:pPr>
        <w:adjustRightInd w:val="0"/>
        <w:snapToGrid w:val="0"/>
        <w:ind w:firstLine="481" w:firstLineChars="200"/>
        <w:rPr>
          <w:rFonts w:hint="eastAsia" w:ascii="宋体" w:hAnsi="宋体"/>
          <w:b/>
          <w:bCs/>
          <w:sz w:val="24"/>
        </w:rPr>
      </w:pPr>
      <w:r>
        <w:rPr>
          <w:rFonts w:hint="eastAsia" w:ascii="宋体" w:hAnsi="宋体"/>
          <w:b/>
          <w:bCs/>
          <w:sz w:val="24"/>
        </w:rPr>
        <w:t>3</w:t>
      </w:r>
      <w:r>
        <w:rPr>
          <w:rFonts w:hint="eastAsia" w:ascii="宋体" w:hAnsi="宋体"/>
          <w:sz w:val="24"/>
        </w:rPr>
        <w:t>、</w:t>
      </w:r>
      <w:r>
        <w:rPr>
          <w:rFonts w:hint="eastAsia" w:ascii="宋体" w:hAnsi="宋体"/>
          <w:b/>
          <w:bCs/>
          <w:sz w:val="24"/>
        </w:rPr>
        <w:t>新材料（新能源）</w:t>
      </w:r>
    </w:p>
    <w:p>
      <w:pPr>
        <w:adjustRightInd w:val="0"/>
        <w:snapToGrid w:val="0"/>
        <w:ind w:firstLine="480" w:firstLineChars="200"/>
        <w:rPr>
          <w:rFonts w:hint="eastAsia" w:ascii="宋体" w:hAnsi="宋体"/>
          <w:sz w:val="24"/>
        </w:rPr>
      </w:pPr>
      <w:r>
        <w:rPr>
          <w:rFonts w:hint="eastAsia" w:ascii="宋体" w:hAnsi="宋体"/>
          <w:sz w:val="24"/>
        </w:rPr>
        <w:t>新材料、新能源在发展高技术、改造和提升传统产业、增强综合国力和国防实力方面起着重要的作用</w:t>
      </w:r>
      <w:r>
        <w:rPr>
          <w:rFonts w:hint="eastAsia" w:ascii="宋体" w:hAnsi="宋体"/>
          <w:sz w:val="24"/>
          <w:szCs w:val="28"/>
        </w:rPr>
        <w:t>。</w:t>
      </w:r>
      <w:r>
        <w:rPr>
          <w:rFonts w:hint="eastAsia" w:ascii="宋体" w:hAnsi="宋体"/>
          <w:sz w:val="24"/>
        </w:rPr>
        <w:t>发展目标是积极开拓新材料、新能源应用领域，着重开发与电子信息等高新技术产品相关的新材料、新能源产品。</w:t>
      </w:r>
    </w:p>
    <w:p>
      <w:pPr>
        <w:adjustRightInd w:val="0"/>
        <w:snapToGrid w:val="0"/>
        <w:ind w:firstLine="481" w:firstLineChars="200"/>
        <w:rPr>
          <w:rFonts w:hint="eastAsia" w:ascii="宋体" w:hAnsi="宋体"/>
          <w:b/>
          <w:bCs/>
          <w:sz w:val="24"/>
        </w:rPr>
      </w:pPr>
      <w:r>
        <w:rPr>
          <w:rFonts w:hint="eastAsia" w:ascii="宋体" w:hAnsi="宋体"/>
          <w:b/>
          <w:bCs/>
          <w:sz w:val="24"/>
        </w:rPr>
        <w:t>4</w:t>
      </w:r>
      <w:r>
        <w:rPr>
          <w:rFonts w:hint="eastAsia" w:ascii="宋体" w:hAnsi="宋体"/>
          <w:sz w:val="24"/>
        </w:rPr>
        <w:t>、</w:t>
      </w:r>
      <w:r>
        <w:rPr>
          <w:rFonts w:hint="eastAsia" w:ascii="宋体" w:hAnsi="宋体"/>
          <w:b/>
          <w:bCs/>
          <w:sz w:val="24"/>
        </w:rPr>
        <w:t>光机电一体化</w:t>
      </w:r>
    </w:p>
    <w:p>
      <w:pPr>
        <w:adjustRightInd w:val="0"/>
        <w:snapToGrid w:val="0"/>
        <w:ind w:firstLine="480" w:firstLineChars="200"/>
        <w:rPr>
          <w:rFonts w:hint="eastAsia" w:ascii="宋体" w:hAnsi="宋体"/>
          <w:b/>
          <w:bCs/>
          <w:sz w:val="24"/>
        </w:rPr>
      </w:pPr>
      <w:r>
        <w:rPr>
          <w:rFonts w:hint="eastAsia" w:ascii="宋体" w:hAnsi="宋体"/>
          <w:sz w:val="24"/>
          <w:szCs w:val="28"/>
        </w:rPr>
        <w:t>福田区在机电一体化机械设备、机电基础件、仪器仪表、监控设备及控制系统等产品的制造业中均具有一定的产业基础。</w:t>
      </w:r>
      <w:r>
        <w:rPr>
          <w:rFonts w:hint="eastAsia" w:ascii="宋体" w:hAnsi="宋体"/>
          <w:sz w:val="24"/>
        </w:rPr>
        <w:t>发展目标是巩固和扩大已有产品的产销规模，</w:t>
      </w:r>
      <w:r>
        <w:rPr>
          <w:rFonts w:hint="eastAsia" w:ascii="宋体" w:hAnsi="宋体"/>
          <w:sz w:val="24"/>
          <w:szCs w:val="28"/>
        </w:rPr>
        <w:t>以主导产品为中心，着力开发拥有自主知识产权的高新光机电拳头产品为重点，通过规模化生产和产、学、研相结合，扩大光机电产业的优势。</w:t>
      </w:r>
    </w:p>
    <w:p>
      <w:pPr>
        <w:adjustRightInd w:val="0"/>
        <w:snapToGrid w:val="0"/>
        <w:ind w:firstLine="481" w:firstLineChars="200"/>
        <w:rPr>
          <w:rFonts w:hint="eastAsia" w:ascii="宋体" w:hAnsi="宋体"/>
          <w:b/>
          <w:bCs/>
          <w:sz w:val="24"/>
        </w:rPr>
      </w:pPr>
      <w:r>
        <w:rPr>
          <w:rFonts w:hint="eastAsia" w:ascii="宋体" w:hAnsi="宋体"/>
          <w:b/>
          <w:bCs/>
          <w:sz w:val="24"/>
        </w:rPr>
        <w:t>5</w:t>
      </w:r>
      <w:r>
        <w:rPr>
          <w:rFonts w:hint="eastAsia" w:ascii="宋体" w:hAnsi="宋体"/>
          <w:sz w:val="24"/>
        </w:rPr>
        <w:t>、</w:t>
      </w:r>
      <w:r>
        <w:rPr>
          <w:rFonts w:hint="eastAsia" w:ascii="宋体" w:hAnsi="宋体"/>
          <w:b/>
          <w:bCs/>
          <w:sz w:val="24"/>
        </w:rPr>
        <w:t>环保技术</w:t>
      </w:r>
    </w:p>
    <w:p>
      <w:pPr>
        <w:adjustRightInd w:val="0"/>
        <w:snapToGrid w:val="0"/>
        <w:ind w:firstLine="480" w:firstLineChars="200"/>
        <w:rPr>
          <w:rFonts w:hint="eastAsia" w:ascii="宋体" w:hAnsi="宋体"/>
          <w:sz w:val="24"/>
          <w:szCs w:val="28"/>
        </w:rPr>
      </w:pPr>
      <w:r>
        <w:rPr>
          <w:rFonts w:hint="eastAsia" w:ascii="宋体" w:hAnsi="宋体"/>
          <w:sz w:val="24"/>
        </w:rPr>
        <w:t>环保产业是我国二十一世纪发展前景最为广阔的产业之一，涵盖了</w:t>
      </w:r>
      <w:r>
        <w:rPr>
          <w:rFonts w:hint="eastAsia" w:ascii="宋体" w:hAnsi="宋体"/>
          <w:sz w:val="24"/>
          <w:szCs w:val="28"/>
        </w:rPr>
        <w:t>环保产品生产、洁净产品生产、环保服务、资源综合利用、自然生态产业等领域，是跨行业、多种经济形式并存的综合性产业，也是福田区优先发展的产业。发展目标是实施“走出去”战略，以“高交会”等知名展会为平台，发挥辖区企业的自主知识产权环保科技成果优势，支持相关企业着力研发、推广垃圾处理技术、污水处理技术应用以及相关工程建设项目，扩大环保产业的优势。</w:t>
      </w:r>
    </w:p>
    <w:p>
      <w:pPr>
        <w:adjustRightInd w:val="0"/>
        <w:snapToGrid w:val="0"/>
        <w:ind w:firstLine="481" w:firstLineChars="200"/>
        <w:rPr>
          <w:rFonts w:hint="eastAsia" w:ascii="宋体" w:hAnsi="宋体"/>
          <w:b/>
          <w:bCs/>
          <w:sz w:val="24"/>
        </w:rPr>
      </w:pPr>
      <w:r>
        <w:rPr>
          <w:rFonts w:hint="eastAsia" w:ascii="宋体" w:hAnsi="宋体"/>
          <w:b/>
          <w:bCs/>
          <w:sz w:val="24"/>
        </w:rPr>
        <w:t>6</w:t>
      </w:r>
      <w:r>
        <w:rPr>
          <w:rFonts w:hint="eastAsia" w:ascii="宋体" w:hAnsi="宋体"/>
          <w:sz w:val="24"/>
        </w:rPr>
        <w:t>、</w:t>
      </w:r>
      <w:r>
        <w:rPr>
          <w:rFonts w:hint="eastAsia" w:ascii="宋体" w:hAnsi="宋体"/>
          <w:b/>
          <w:bCs/>
          <w:sz w:val="24"/>
        </w:rPr>
        <w:t>节能技术</w:t>
      </w:r>
    </w:p>
    <w:p>
      <w:pPr>
        <w:adjustRightInd w:val="0"/>
        <w:snapToGrid w:val="0"/>
        <w:ind w:firstLine="480" w:firstLineChars="200"/>
        <w:rPr>
          <w:rFonts w:hint="eastAsia" w:ascii="宋体" w:hAnsi="宋体"/>
          <w:sz w:val="24"/>
          <w:szCs w:val="28"/>
        </w:rPr>
      </w:pPr>
      <w:r>
        <w:rPr>
          <w:rFonts w:hint="eastAsia" w:ascii="宋体" w:hAnsi="宋体"/>
          <w:sz w:val="24"/>
        </w:rPr>
        <w:t>节能技术、产品的研发和应用是</w:t>
      </w:r>
      <w:r>
        <w:rPr>
          <w:rFonts w:hint="eastAsia" w:ascii="宋体" w:hAnsi="宋体"/>
          <w:sz w:val="24"/>
          <w:szCs w:val="28"/>
        </w:rPr>
        <w:t>走新型工业化道路，实现可持续发展的关键环节，也是福田区工业重点引进和鼓励发展的产业。</w:t>
      </w:r>
      <w:r>
        <w:rPr>
          <w:rFonts w:hint="eastAsia" w:ascii="宋体" w:hAnsi="宋体"/>
          <w:sz w:val="24"/>
        </w:rPr>
        <w:t>应</w:t>
      </w:r>
      <w:r>
        <w:rPr>
          <w:rFonts w:hint="eastAsia" w:ascii="宋体" w:hAnsi="宋体"/>
          <w:sz w:val="24"/>
          <w:szCs w:val="28"/>
        </w:rPr>
        <w:t>坚持节能优先的原则</w:t>
      </w:r>
      <w:r>
        <w:rPr>
          <w:rFonts w:hint="eastAsia" w:ascii="宋体" w:hAnsi="宋体"/>
          <w:sz w:val="24"/>
        </w:rPr>
        <w:t>，在生产领域推行节约型增长方式，着力构建节约型产业结构，通过制定相关政策，</w:t>
      </w:r>
      <w:r>
        <w:rPr>
          <w:rFonts w:hint="eastAsia" w:ascii="宋体" w:hAnsi="宋体"/>
          <w:sz w:val="24"/>
          <w:szCs w:val="28"/>
        </w:rPr>
        <w:t>大力推广应用节约能源的新技术、新工艺、新设备和新材料，加大对节约资源和发展循环经济的重大项目建设支持力度，重点支持和鼓励企业实施以节能为目的的资源节约和综合利用的技术开发和改造项目，引导辖区工业逐步走上“节能、降耗、增效”的良性发展轨道。</w:t>
      </w:r>
    </w:p>
    <w:p>
      <w:pPr>
        <w:adjustRightInd w:val="0"/>
        <w:snapToGrid w:val="0"/>
        <w:ind w:firstLine="562" w:firstLineChars="200"/>
        <w:rPr>
          <w:rFonts w:hint="eastAsia" w:ascii="宋体" w:hAnsi="宋体"/>
          <w:b/>
          <w:bCs/>
          <w:sz w:val="28"/>
        </w:rPr>
      </w:pPr>
      <w:r>
        <w:rPr>
          <w:rFonts w:hint="eastAsia" w:ascii="宋体" w:hAnsi="宋体"/>
          <w:b/>
          <w:bCs/>
          <w:sz w:val="28"/>
        </w:rPr>
        <w:t>（二）传统优势制造业</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服装</w:t>
      </w:r>
    </w:p>
    <w:p>
      <w:pPr>
        <w:adjustRightInd w:val="0"/>
        <w:snapToGrid w:val="0"/>
        <w:ind w:firstLine="480" w:firstLineChars="200"/>
        <w:rPr>
          <w:rFonts w:hint="eastAsia" w:ascii="宋体" w:hAnsi="宋体"/>
          <w:sz w:val="24"/>
        </w:rPr>
      </w:pPr>
      <w:r>
        <w:rPr>
          <w:rFonts w:hint="eastAsia" w:ascii="宋体" w:hAnsi="宋体"/>
          <w:sz w:val="24"/>
        </w:rPr>
        <w:t>服装是福田区传统优势产业之一，经过“十五”期间的产业结构调整，福田服装工业逐步向技术密集、注重设计、品牌和营销、产品高附加值的方向发展。</w:t>
      </w:r>
    </w:p>
    <w:p>
      <w:pPr>
        <w:adjustRightInd w:val="0"/>
        <w:snapToGrid w:val="0"/>
        <w:ind w:firstLine="480" w:firstLineChars="200"/>
        <w:rPr>
          <w:rFonts w:hint="eastAsia" w:ascii="宋体" w:hAnsi="宋体"/>
          <w:sz w:val="24"/>
        </w:rPr>
      </w:pPr>
      <w:r>
        <w:rPr>
          <w:rFonts w:hint="eastAsia" w:ascii="宋体" w:hAnsi="宋体"/>
          <w:sz w:val="24"/>
        </w:rPr>
        <w:t>发展目标是充分发挥区域优势，争取把福田培育成为在国内外有相当知名度的区域性服装设计、生产、加工、销售中心。一是继续加快服装行业产业结构、产品结构和企业组织结构调整步伐，鼓励企业由受托型的来料加工向自营型方向转变，鼓励企业创品牌，创名牌；二是利用CAD/CAM技术对服装设计、加工等环节进行改造，加强对服装专业技术人才和管理人才的培训，从整体上提高从业人员的素质和设计水平；三是打造下沙、车公庙、八卦岭等品牌服装特色工业园区，引导品牌企业集聚，着力集聚高级时装的总部和设计中心，全面增强福田服装整体国际竞争力。</w:t>
      </w:r>
    </w:p>
    <w:p>
      <w:pPr>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hint="eastAsia" w:ascii="宋体" w:hAnsi="宋体"/>
          <w:b/>
          <w:bCs/>
          <w:sz w:val="24"/>
        </w:rPr>
        <w:t>印刷</w:t>
      </w:r>
    </w:p>
    <w:p>
      <w:pPr>
        <w:tabs>
          <w:tab w:val="left" w:pos="1034"/>
        </w:tabs>
        <w:adjustRightInd w:val="0"/>
        <w:snapToGrid w:val="0"/>
        <w:ind w:firstLine="480" w:firstLineChars="200"/>
        <w:rPr>
          <w:rFonts w:hint="eastAsia" w:ascii="宋体" w:hAnsi="宋体"/>
          <w:sz w:val="24"/>
        </w:rPr>
      </w:pPr>
      <w:r>
        <w:rPr>
          <w:rFonts w:hint="eastAsia" w:ascii="宋体" w:hAnsi="宋体"/>
          <w:sz w:val="24"/>
        </w:rPr>
        <w:t>印刷业是典型的都市工业，福田印刷业已经具备了技术设备先进、产品质量优异、市场占有率较高等行业优势，居于国内领先地位。</w:t>
      </w:r>
    </w:p>
    <w:p>
      <w:pPr>
        <w:tabs>
          <w:tab w:val="left" w:pos="1034"/>
        </w:tabs>
        <w:adjustRightInd w:val="0"/>
        <w:snapToGrid w:val="0"/>
        <w:ind w:firstLine="480" w:firstLineChars="200"/>
        <w:rPr>
          <w:rFonts w:hint="eastAsia" w:ascii="宋体" w:hAnsi="宋体"/>
          <w:bCs/>
          <w:sz w:val="24"/>
        </w:rPr>
      </w:pPr>
      <w:r>
        <w:rPr>
          <w:rFonts w:hint="eastAsia" w:ascii="宋体" w:hAnsi="宋体"/>
          <w:bCs/>
          <w:sz w:val="24"/>
        </w:rPr>
        <w:t>发展目标是立足于独特的区位优势和产业优势，抓住当前深圳市和福田区大力发展文化产业的机遇，打破常规，加快发展，一是继续坚持高起点、高水平、高质量、高效益，以印前数字、网络化，印刷多色、高效化，印后多样、自动化，器材高质、系列化为技术发展方向，全面提高印刷业的国内持续竞争优势；二是继续引进国内外知名印刷企业落户福田，引导和扶持现有较大规模的印刷企业向集约化方向发展；</w:t>
      </w:r>
      <w:r>
        <w:rPr>
          <w:rFonts w:hint="eastAsia" w:ascii="宋体" w:hAnsi="宋体"/>
          <w:sz w:val="24"/>
        </w:rPr>
        <w:t>三是打造八卦岭高科技印刷特色工业园区，</w:t>
      </w:r>
      <w:r>
        <w:rPr>
          <w:rFonts w:hint="eastAsia" w:ascii="宋体" w:hAnsi="宋体"/>
          <w:bCs/>
          <w:sz w:val="24"/>
        </w:rPr>
        <w:t>做精做优印刷行业，巩固其作为福田区工业优势传统产业的地位。</w:t>
      </w:r>
    </w:p>
    <w:p>
      <w:pPr>
        <w:adjustRightInd w:val="0"/>
        <w:snapToGrid w:val="0"/>
        <w:ind w:firstLine="481" w:firstLineChars="200"/>
        <w:rPr>
          <w:rFonts w:hint="eastAsia" w:ascii="宋体" w:hAnsi="宋体"/>
          <w:b/>
          <w:bCs/>
          <w:sz w:val="24"/>
        </w:rPr>
      </w:pPr>
      <w:r>
        <w:rPr>
          <w:rFonts w:hint="eastAsia" w:ascii="宋体" w:hAnsi="宋体"/>
          <w:b/>
          <w:bCs/>
          <w:sz w:val="24"/>
        </w:rPr>
        <w:t>3</w:t>
      </w:r>
      <w:r>
        <w:rPr>
          <w:rFonts w:hint="eastAsia" w:ascii="宋体" w:hAnsi="宋体"/>
          <w:sz w:val="24"/>
        </w:rPr>
        <w:t>、</w:t>
      </w:r>
      <w:r>
        <w:rPr>
          <w:rFonts w:hint="eastAsia" w:ascii="宋体" w:hAnsi="宋体"/>
          <w:b/>
          <w:bCs/>
          <w:sz w:val="24"/>
        </w:rPr>
        <w:t>仪器仪表</w:t>
      </w:r>
    </w:p>
    <w:p>
      <w:pPr>
        <w:adjustRightInd w:val="0"/>
        <w:snapToGrid w:val="0"/>
        <w:ind w:firstLine="480" w:firstLineChars="200"/>
        <w:rPr>
          <w:rFonts w:hint="eastAsia" w:ascii="宋体" w:hAnsi="宋体"/>
          <w:bCs/>
          <w:sz w:val="24"/>
        </w:rPr>
      </w:pPr>
      <w:r>
        <w:rPr>
          <w:rFonts w:hint="eastAsia" w:ascii="宋体" w:hAnsi="宋体"/>
          <w:sz w:val="24"/>
        </w:rPr>
        <w:t>仪器仪表及文化、办公用机械制造业是福田工业体系中产值贡献居第二位的重要行业，大宗产品主要是复印机和钟表。</w:t>
      </w:r>
      <w:r>
        <w:rPr>
          <w:rFonts w:hint="eastAsia" w:ascii="宋体" w:hAnsi="宋体"/>
          <w:bCs/>
          <w:sz w:val="24"/>
        </w:rPr>
        <w:t>发展目标是充分发挥辖区钟表业比较成熟的市场优势、品牌优势、配套优势，加大政府扶持力度，提高企业的自主创新和市场营销能力，使钟表产品向高附加值方向发展，着力引导包括钟表设计开发、研发服务、生产制造、品牌营销等各种类型企业在福田区集聚，形成强大的企业集聚群体，做强做大钟表业。</w:t>
      </w:r>
    </w:p>
    <w:p>
      <w:pPr>
        <w:adjustRightInd w:val="0"/>
        <w:snapToGrid w:val="0"/>
        <w:ind w:firstLine="481" w:firstLineChars="200"/>
        <w:rPr>
          <w:rFonts w:hint="eastAsia" w:ascii="宋体" w:hAnsi="宋体"/>
          <w:b/>
          <w:bCs/>
          <w:sz w:val="24"/>
        </w:rPr>
      </w:pPr>
      <w:r>
        <w:rPr>
          <w:rFonts w:hint="eastAsia" w:ascii="宋体" w:hAnsi="宋体"/>
          <w:b/>
          <w:bCs/>
          <w:sz w:val="24"/>
        </w:rPr>
        <w:t>4</w:t>
      </w:r>
      <w:r>
        <w:rPr>
          <w:rFonts w:hint="eastAsia" w:ascii="宋体" w:hAnsi="宋体"/>
          <w:sz w:val="24"/>
        </w:rPr>
        <w:t>、</w:t>
      </w:r>
      <w:r>
        <w:rPr>
          <w:rFonts w:hint="eastAsia" w:ascii="宋体" w:hAnsi="宋体"/>
          <w:b/>
          <w:bCs/>
          <w:sz w:val="24"/>
        </w:rPr>
        <w:t>工艺品</w:t>
      </w:r>
    </w:p>
    <w:p>
      <w:pPr>
        <w:adjustRightInd w:val="0"/>
        <w:snapToGrid w:val="0"/>
        <w:ind w:firstLine="480" w:firstLineChars="200"/>
        <w:rPr>
          <w:rFonts w:hint="eastAsia" w:ascii="宋体" w:hAnsi="宋体"/>
          <w:bCs/>
          <w:sz w:val="24"/>
        </w:rPr>
      </w:pPr>
      <w:r>
        <w:rPr>
          <w:rFonts w:hint="eastAsia" w:ascii="宋体" w:hAnsi="宋体"/>
          <w:bCs/>
          <w:sz w:val="24"/>
        </w:rPr>
        <w:t>工艺礼品产业是福田区的传统优势产业，也是以设计、开发带动制造的高附加值都市型工业。经过近二十年的发展，至今已聚集了一批有一定影响力的企业，培养了一支具有一定开发设计能力的创作设计队伍，重点产品主要有圣诞礼品、金属工艺品、礼品表、电子促销品等。</w:t>
      </w:r>
    </w:p>
    <w:p>
      <w:pPr>
        <w:adjustRightInd w:val="0"/>
        <w:snapToGrid w:val="0"/>
        <w:ind w:firstLine="480" w:firstLineChars="200"/>
        <w:rPr>
          <w:rFonts w:hint="eastAsia" w:ascii="宋体" w:hAnsi="宋体"/>
          <w:bCs/>
          <w:sz w:val="24"/>
        </w:rPr>
      </w:pPr>
      <w:r>
        <w:rPr>
          <w:rFonts w:hint="eastAsia" w:ascii="宋体" w:hAnsi="宋体"/>
          <w:sz w:val="24"/>
        </w:rPr>
        <w:t>发展目标，一是结合沙尾工业区改造和新世纪工艺礼品市场项目的建设，引导一批工艺礼品</w:t>
      </w:r>
      <w:r>
        <w:rPr>
          <w:rFonts w:hint="eastAsia" w:ascii="宋体" w:hAnsi="宋体"/>
          <w:bCs/>
          <w:sz w:val="24"/>
        </w:rPr>
        <w:t>设计开发、研发服务、生产制造、品牌营销、批发零售等各种类型企业在</w:t>
      </w:r>
      <w:r>
        <w:rPr>
          <w:rFonts w:hint="eastAsia" w:ascii="宋体" w:hAnsi="宋体"/>
          <w:sz w:val="24"/>
        </w:rPr>
        <w:t>沙尾工业区</w:t>
      </w:r>
      <w:r>
        <w:rPr>
          <w:rFonts w:hint="eastAsia" w:ascii="宋体" w:hAnsi="宋体"/>
          <w:bCs/>
          <w:sz w:val="24"/>
        </w:rPr>
        <w:t>集聚，培育一个新兴的福田区</w:t>
      </w:r>
      <w:r>
        <w:rPr>
          <w:rFonts w:hint="eastAsia" w:ascii="宋体" w:hAnsi="宋体"/>
          <w:sz w:val="24"/>
        </w:rPr>
        <w:t>工艺礼品产业集聚</w:t>
      </w:r>
      <w:r>
        <w:rPr>
          <w:rFonts w:hint="eastAsia" w:ascii="宋体" w:hAnsi="宋体"/>
          <w:bCs/>
          <w:sz w:val="24"/>
        </w:rPr>
        <w:t>园区，做强做大</w:t>
      </w:r>
      <w:r>
        <w:rPr>
          <w:rFonts w:hint="eastAsia" w:ascii="宋体" w:hAnsi="宋体"/>
          <w:sz w:val="24"/>
        </w:rPr>
        <w:t>工艺礼品产业</w:t>
      </w:r>
      <w:r>
        <w:rPr>
          <w:rFonts w:hint="eastAsia" w:ascii="宋体" w:hAnsi="宋体"/>
          <w:bCs/>
          <w:sz w:val="24"/>
        </w:rPr>
        <w:t>。二</w:t>
      </w:r>
      <w:r>
        <w:rPr>
          <w:rFonts w:hint="eastAsia" w:ascii="宋体" w:hAnsi="宋体"/>
          <w:sz w:val="24"/>
        </w:rPr>
        <w:t>是</w:t>
      </w:r>
      <w:r>
        <w:rPr>
          <w:rFonts w:hint="eastAsia" w:ascii="宋体" w:hAnsi="宋体"/>
          <w:bCs/>
          <w:sz w:val="24"/>
        </w:rPr>
        <w:t>充分发挥福田会展业、传媒业发达及高级商务活动频繁的优势，通过举办工艺礼品展示、工艺礼品设计大赛等方式，为行业搭建宣传的平台，吸引更多的工艺礼品研发中心和设计制作企业落户福田，努力把福田建成工艺礼品研发、设计、批发中心。</w:t>
      </w:r>
    </w:p>
    <w:p>
      <w:pPr>
        <w:adjustRightInd w:val="0"/>
        <w:snapToGrid w:val="0"/>
        <w:ind w:firstLine="481" w:firstLineChars="200"/>
        <w:rPr>
          <w:rFonts w:hint="eastAsia" w:ascii="宋体" w:hAnsi="宋体"/>
          <w:b/>
          <w:bCs/>
          <w:sz w:val="24"/>
        </w:rPr>
      </w:pPr>
      <w:r>
        <w:rPr>
          <w:rFonts w:hint="eastAsia" w:ascii="宋体" w:hAnsi="宋体"/>
          <w:b/>
          <w:bCs/>
          <w:sz w:val="24"/>
        </w:rPr>
        <w:t>5.食品</w:t>
      </w:r>
    </w:p>
    <w:p>
      <w:pPr>
        <w:adjustRightInd w:val="0"/>
        <w:snapToGrid w:val="0"/>
        <w:ind w:firstLine="480" w:firstLineChars="200"/>
        <w:rPr>
          <w:rFonts w:hint="eastAsia" w:ascii="宋体" w:hAnsi="宋体"/>
          <w:sz w:val="24"/>
        </w:rPr>
      </w:pPr>
      <w:r>
        <w:rPr>
          <w:rFonts w:hint="eastAsia" w:ascii="宋体" w:hAnsi="宋体"/>
          <w:sz w:val="24"/>
        </w:rPr>
        <w:t>食品工业与人民生活息息相关，在福田区具有一定的产业基础，也</w:t>
      </w:r>
      <w:r>
        <w:rPr>
          <w:rFonts w:hint="eastAsia" w:ascii="宋体" w:hAnsi="宋体"/>
          <w:bCs/>
          <w:sz w:val="24"/>
        </w:rPr>
        <w:t>是福田区的传统优势产业之一</w:t>
      </w:r>
      <w:r>
        <w:rPr>
          <w:rFonts w:hint="eastAsia" w:ascii="宋体" w:hAnsi="宋体"/>
          <w:sz w:val="24"/>
        </w:rPr>
        <w:t>。发展目标是</w:t>
      </w:r>
      <w:r>
        <w:rPr>
          <w:rFonts w:ascii="宋体" w:hAnsi="宋体"/>
          <w:sz w:val="24"/>
        </w:rPr>
        <w:t>调整优化食品工业行业结构、产品结构、企业组织结构，不断开发新产品，创立优质名牌，</w:t>
      </w:r>
      <w:r>
        <w:rPr>
          <w:rFonts w:hint="eastAsia" w:ascii="宋体" w:hAnsi="宋体"/>
          <w:sz w:val="24"/>
        </w:rPr>
        <w:t>保持现有的产业优势。</w:t>
      </w:r>
    </w:p>
    <w:p>
      <w:pPr>
        <w:adjustRightInd w:val="0"/>
        <w:snapToGrid w:val="0"/>
        <w:ind w:firstLine="562" w:firstLineChars="200"/>
        <w:rPr>
          <w:rFonts w:hint="eastAsia" w:ascii="宋体" w:hAnsi="宋体"/>
          <w:b/>
          <w:bCs/>
          <w:sz w:val="28"/>
        </w:rPr>
      </w:pPr>
      <w:r>
        <w:rPr>
          <w:rFonts w:hint="eastAsia" w:ascii="宋体" w:hAnsi="宋体"/>
          <w:b/>
          <w:bCs/>
          <w:sz w:val="28"/>
        </w:rPr>
        <w:t>（三）工业总部</w:t>
      </w:r>
    </w:p>
    <w:p>
      <w:pPr>
        <w:adjustRightInd w:val="0"/>
        <w:snapToGrid w:val="0"/>
        <w:ind w:firstLine="480" w:firstLineChars="200"/>
        <w:rPr>
          <w:rFonts w:hint="eastAsia" w:ascii="宋体" w:hAnsi="宋体"/>
          <w:sz w:val="24"/>
        </w:rPr>
      </w:pPr>
      <w:r>
        <w:rPr>
          <w:rFonts w:hint="eastAsia" w:ascii="宋体" w:hAnsi="宋体"/>
          <w:sz w:val="24"/>
        </w:rPr>
        <w:t>发展总部经济是福田区进一步促进辖区经济发展的战略决策。发展目标是：充分发挥福田作为全市的行政、文化、信息、国际展览和商务中心的地位，发挥深圳CBD的独特优势，发挥福田保税区政策优势和物流功能，并利用辖区内老工业区改造拓展的空间，加大宣传推广和招商引资力度，吸引国内外大型工业企业和引导现有的大规模工业企业把总部设在福田区，设立“前店后厂”型的总部、研发中心、设计中心、物流中心和营运中心。</w:t>
      </w:r>
    </w:p>
    <w:p>
      <w:pPr>
        <w:adjustRightInd w:val="0"/>
        <w:snapToGrid w:val="0"/>
        <w:ind w:firstLine="562" w:firstLineChars="200"/>
        <w:rPr>
          <w:rFonts w:hint="eastAsia" w:ascii="宋体" w:hAnsi="宋体"/>
          <w:b/>
          <w:bCs/>
          <w:sz w:val="28"/>
        </w:rPr>
      </w:pPr>
      <w:r>
        <w:rPr>
          <w:rFonts w:hint="eastAsia" w:ascii="宋体" w:hAnsi="宋体"/>
          <w:b/>
          <w:bCs/>
          <w:sz w:val="28"/>
        </w:rPr>
        <w:t>（四）工业生产性服务业</w:t>
      </w:r>
    </w:p>
    <w:p>
      <w:pPr>
        <w:adjustRightInd w:val="0"/>
        <w:snapToGrid w:val="0"/>
        <w:ind w:firstLine="480" w:firstLineChars="200"/>
        <w:rPr>
          <w:rFonts w:hint="eastAsia" w:ascii="宋体" w:hAnsi="宋体"/>
          <w:sz w:val="24"/>
          <w:szCs w:val="32"/>
        </w:rPr>
      </w:pPr>
      <w:r>
        <w:rPr>
          <w:rFonts w:hint="eastAsia" w:ascii="宋体" w:hAnsi="宋体"/>
          <w:sz w:val="24"/>
          <w:szCs w:val="32"/>
        </w:rPr>
        <w:t>近十年来，工业生产性服务业是世界经济中增长幅度最快的行业，工业生产性服务业和制造业的界线越来越模糊，现已有许多制造型企业通过大规模的进入或兼并工业生产性服务业来整合原有的业务。</w:t>
      </w:r>
    </w:p>
    <w:p>
      <w:pPr>
        <w:adjustRightInd w:val="0"/>
        <w:snapToGrid w:val="0"/>
        <w:ind w:firstLine="480" w:firstLineChars="200"/>
        <w:rPr>
          <w:rFonts w:hint="eastAsia" w:ascii="宋体" w:hAnsi="宋体"/>
          <w:sz w:val="24"/>
          <w:szCs w:val="32"/>
        </w:rPr>
      </w:pPr>
      <w:r>
        <w:rPr>
          <w:rFonts w:hint="eastAsia" w:ascii="宋体" w:hAnsi="宋体"/>
          <w:sz w:val="24"/>
        </w:rPr>
        <w:t>福田区工业基础雄厚，人才流、物资流、资金流、信息流汇聚，历史上与周边发达的“珠三角”制造业联系密切，同时，</w:t>
      </w:r>
      <w:r>
        <w:rPr>
          <w:rFonts w:hint="eastAsia" w:ascii="宋体" w:hAnsi="宋体"/>
          <w:sz w:val="24"/>
          <w:szCs w:val="32"/>
        </w:rPr>
        <w:t>福田区与香港一河之隔，必然成为承接香港服务业机构北移的主要地区之一，通过引进先进的生产性服务业项目，福田区可向区域性生产性服务业中心的方向发展。作为深圳的中心城区，福田区发展生产性服务业不仅是满足自身发展的需要，也是深圳市发展成为国际性城市的需要。</w:t>
      </w:r>
    </w:p>
    <w:p>
      <w:pPr>
        <w:adjustRightInd w:val="0"/>
        <w:snapToGrid w:val="0"/>
        <w:ind w:firstLine="480" w:firstLineChars="200"/>
        <w:rPr>
          <w:rFonts w:hint="eastAsia" w:ascii="宋体" w:hAnsi="宋体"/>
          <w:sz w:val="24"/>
        </w:rPr>
      </w:pPr>
      <w:r>
        <w:rPr>
          <w:rFonts w:hint="eastAsia" w:ascii="宋体" w:hAnsi="宋体"/>
          <w:sz w:val="24"/>
        </w:rPr>
        <w:t>大力发展工业生产性服务业，其发展目标是：</w:t>
      </w:r>
      <w:r>
        <w:rPr>
          <w:rFonts w:hint="eastAsia" w:ascii="宋体" w:hAnsi="宋体" w:cs="宋体"/>
          <w:sz w:val="24"/>
          <w:szCs w:val="32"/>
        </w:rPr>
        <w:t>突出重点，优先发展现工业信息服务，包括电子商务、数字通讯、自动控制软件开发、系统集成、数据服务、企业管理信息化等；工业房地产，其重点是老工业区改造；工业咨询服务；其他工业服务，包括技术产品展览展示、工业旅游、工业房产展示等</w:t>
      </w:r>
      <w:r>
        <w:rPr>
          <w:rFonts w:hint="eastAsia" w:ascii="宋体" w:hAnsi="宋体"/>
          <w:sz w:val="24"/>
        </w:rPr>
        <w:t>。</w:t>
      </w:r>
    </w:p>
    <w:p>
      <w:pPr>
        <w:adjustRightInd w:val="0"/>
        <w:snapToGrid w:val="0"/>
        <w:ind w:firstLine="480" w:firstLineChars="200"/>
        <w:rPr>
          <w:rFonts w:hint="eastAsia" w:ascii="宋体" w:hAnsi="宋体"/>
          <w:sz w:val="24"/>
        </w:rPr>
      </w:pPr>
    </w:p>
    <w:p>
      <w:pPr>
        <w:pStyle w:val="14"/>
        <w:adjustRightInd w:val="0"/>
        <w:snapToGrid w:val="0"/>
        <w:ind w:firstLine="602" w:firstLineChars="200"/>
        <w:rPr>
          <w:rFonts w:hint="eastAsia" w:hAnsi="宋体"/>
          <w:b/>
          <w:bCs/>
        </w:rPr>
      </w:pPr>
      <w:r>
        <w:rPr>
          <w:rFonts w:hint="eastAsia" w:hAnsi="宋体"/>
          <w:b/>
          <w:bCs/>
        </w:rPr>
        <w:t>五、福田区“十一五”时期工业区产业布局调整</w:t>
      </w:r>
    </w:p>
    <w:p>
      <w:pPr>
        <w:adjustRightInd w:val="0"/>
        <w:snapToGrid w:val="0"/>
        <w:ind w:firstLine="480" w:firstLineChars="200"/>
        <w:rPr>
          <w:rFonts w:hint="eastAsia" w:ascii="宋体" w:hAnsi="宋体"/>
          <w:sz w:val="24"/>
        </w:rPr>
      </w:pPr>
      <w:r>
        <w:rPr>
          <w:rFonts w:hint="eastAsia" w:ascii="宋体" w:hAnsi="宋体"/>
          <w:sz w:val="24"/>
        </w:rPr>
        <w:t>辖区现有的工业区是福田经济发展的宝贵财富，实施“厂房再造”，整合工业区资源，大力发展都市工业是区政府调整产业结构，合理规划经济布局的重要筹码，能够更好地发挥工业区土地的最大综合效用，实现“效益福田”是福田经济未来持续稳定发展的重要保证。“十一五”期间，福田区的工业区产业布局调整规划要点如下：</w:t>
      </w:r>
    </w:p>
    <w:p>
      <w:pPr>
        <w:adjustRightInd w:val="0"/>
        <w:snapToGrid w:val="0"/>
        <w:ind w:firstLine="562" w:firstLineChars="200"/>
        <w:rPr>
          <w:rFonts w:hint="eastAsia" w:ascii="宋体" w:hAnsi="宋体"/>
          <w:b/>
          <w:bCs/>
          <w:sz w:val="28"/>
        </w:rPr>
      </w:pPr>
      <w:r>
        <w:rPr>
          <w:rFonts w:hint="eastAsia" w:ascii="宋体" w:hAnsi="宋体"/>
          <w:b/>
          <w:bCs/>
          <w:sz w:val="28"/>
        </w:rPr>
        <w:t>（一）工业区产业布局调整规划的基本原则</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通过城市规划严格控制工业区的改造行为</w:t>
      </w:r>
    </w:p>
    <w:p>
      <w:pPr>
        <w:adjustRightInd w:val="0"/>
        <w:snapToGrid w:val="0"/>
        <w:ind w:firstLine="480" w:firstLineChars="200"/>
        <w:rPr>
          <w:rFonts w:hint="eastAsia" w:ascii="宋体" w:hAnsi="宋体"/>
          <w:sz w:val="24"/>
        </w:rPr>
      </w:pPr>
      <w:r>
        <w:rPr>
          <w:rFonts w:hint="eastAsia" w:ascii="宋体" w:hAnsi="宋体"/>
          <w:sz w:val="24"/>
        </w:rPr>
        <w:t>一是工业区的改造必须走产业升级、产业置换的道路，应严格控制将现有工业区改造为商住楼。工业区的改造升级必须是产业化升级，兼顾二、三产的协调发展。</w:t>
      </w:r>
    </w:p>
    <w:p>
      <w:pPr>
        <w:pStyle w:val="9"/>
        <w:adjustRightInd w:val="0"/>
        <w:snapToGrid w:val="0"/>
        <w:rPr>
          <w:rFonts w:hint="eastAsia" w:ascii="宋体" w:hAnsi="宋体" w:eastAsia="宋体"/>
          <w:sz w:val="24"/>
        </w:rPr>
      </w:pPr>
      <w:r>
        <w:rPr>
          <w:rFonts w:hint="eastAsia" w:ascii="宋体" w:hAnsi="宋体" w:eastAsia="宋体"/>
          <w:sz w:val="24"/>
        </w:rPr>
        <w:t>二是要为都市工业保留必要的生存空间，避免产业空心化。</w:t>
      </w:r>
    </w:p>
    <w:p>
      <w:pPr>
        <w:adjustRightInd w:val="0"/>
        <w:snapToGrid w:val="0"/>
        <w:ind w:firstLine="480" w:firstLineChars="200"/>
        <w:rPr>
          <w:rFonts w:hint="eastAsia" w:ascii="宋体" w:hAnsi="宋体"/>
          <w:sz w:val="24"/>
        </w:rPr>
      </w:pPr>
      <w:r>
        <w:rPr>
          <w:rFonts w:hint="eastAsia" w:ascii="宋体" w:hAnsi="宋体"/>
          <w:sz w:val="24"/>
        </w:rPr>
        <w:t>三是工业区的改造要围绕创立工业企业总部基地、研发和设计中心的目标。</w:t>
      </w:r>
    </w:p>
    <w:p>
      <w:pPr>
        <w:adjustRightInd w:val="0"/>
        <w:snapToGrid w:val="0"/>
        <w:ind w:firstLine="480" w:firstLineChars="200"/>
        <w:rPr>
          <w:rFonts w:hint="eastAsia" w:ascii="宋体" w:hAnsi="宋体"/>
          <w:sz w:val="24"/>
        </w:rPr>
      </w:pPr>
      <w:r>
        <w:rPr>
          <w:rFonts w:hint="eastAsia" w:ascii="宋体" w:hAnsi="宋体"/>
          <w:sz w:val="24"/>
        </w:rPr>
        <w:t>四是要制定优惠政策引导工业企业向都市工业园区集中，推动工业土地的集约利用，降低产业区对环境的负面影响。</w:t>
      </w:r>
    </w:p>
    <w:p>
      <w:pPr>
        <w:adjustRightInd w:val="0"/>
        <w:snapToGrid w:val="0"/>
        <w:ind w:firstLine="481" w:firstLineChars="200"/>
        <w:rPr>
          <w:rFonts w:hint="eastAsia" w:ascii="宋体" w:hAnsi="宋体"/>
          <w:b/>
          <w:sz w:val="24"/>
        </w:rPr>
      </w:pPr>
      <w:r>
        <w:rPr>
          <w:rFonts w:hint="eastAsia" w:ascii="宋体" w:hAnsi="宋体"/>
          <w:b/>
          <w:bCs/>
          <w:sz w:val="24"/>
        </w:rPr>
        <w:t>2</w:t>
      </w:r>
      <w:r>
        <w:rPr>
          <w:rFonts w:hint="eastAsia" w:ascii="宋体" w:hAnsi="宋体"/>
          <w:sz w:val="24"/>
        </w:rPr>
        <w:t>、</w:t>
      </w:r>
      <w:r>
        <w:rPr>
          <w:rFonts w:hint="eastAsia" w:ascii="宋体" w:hAnsi="宋体"/>
          <w:b/>
          <w:sz w:val="24"/>
        </w:rPr>
        <w:t>通过以局部改造为主的方式整合工业区资源</w:t>
      </w:r>
    </w:p>
    <w:p>
      <w:pPr>
        <w:adjustRightInd w:val="0"/>
        <w:snapToGrid w:val="0"/>
        <w:ind w:firstLine="480" w:firstLineChars="200"/>
        <w:rPr>
          <w:rFonts w:hint="eastAsia" w:ascii="宋体" w:hAnsi="宋体"/>
          <w:sz w:val="24"/>
        </w:rPr>
      </w:pPr>
      <w:r>
        <w:rPr>
          <w:rFonts w:hint="eastAsia" w:ascii="宋体" w:hAnsi="宋体"/>
          <w:sz w:val="24"/>
        </w:rPr>
        <w:t>“十一五”期间，福田区有大量功能相近的商业楼宇供应，城市发展中也将会出现短期供过于求，结构失衡的问题，应防止出现将工业区匆忙改成商业用途，而发生工业厂房供不应求，商业用房供过于求的问题。</w:t>
      </w:r>
    </w:p>
    <w:p>
      <w:pPr>
        <w:adjustRightInd w:val="0"/>
        <w:snapToGrid w:val="0"/>
        <w:ind w:firstLine="562" w:firstLineChars="200"/>
        <w:rPr>
          <w:rFonts w:hint="eastAsia" w:ascii="宋体" w:hAnsi="宋体"/>
          <w:b/>
          <w:bCs/>
          <w:sz w:val="28"/>
        </w:rPr>
      </w:pPr>
      <w:r>
        <w:rPr>
          <w:rFonts w:hint="eastAsia" w:ascii="宋体" w:hAnsi="宋体"/>
          <w:b/>
          <w:bCs/>
          <w:sz w:val="28"/>
        </w:rPr>
        <w:t>（二）工业区产业布局调整规划的重点区域或项目</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福田保税区</w:t>
      </w:r>
    </w:p>
    <w:p>
      <w:pPr>
        <w:tabs>
          <w:tab w:val="left" w:pos="435"/>
        </w:tabs>
        <w:adjustRightInd w:val="0"/>
        <w:snapToGrid w:val="0"/>
        <w:ind w:firstLine="480" w:firstLineChars="200"/>
        <w:rPr>
          <w:rFonts w:hint="eastAsia" w:ascii="宋体" w:hAnsi="宋体"/>
          <w:sz w:val="24"/>
        </w:rPr>
      </w:pPr>
      <w:r>
        <w:rPr>
          <w:rFonts w:hint="eastAsia" w:ascii="宋体" w:hAnsi="宋体"/>
          <w:sz w:val="24"/>
        </w:rPr>
        <w:t>该区域集中了辖区工业产值前20位工业企业中的5家超大型工业企业以及大批制造业企业和物流企业，是我区最重要的工业生产基地。“十一五”期间，</w:t>
      </w:r>
      <w:r>
        <w:rPr>
          <w:rFonts w:hint="eastAsia" w:ascii="宋体" w:hAnsi="宋体"/>
          <w:sz w:val="24"/>
          <w:szCs w:val="18"/>
        </w:rPr>
        <w:t>利用该区域优良的区域环境，稳定现有的企业，引导企业增资扩股，保持并增强该区域工业发展的优势，巩固其</w:t>
      </w:r>
      <w:r>
        <w:rPr>
          <w:rFonts w:hint="eastAsia" w:ascii="宋体" w:hAnsi="宋体"/>
          <w:sz w:val="24"/>
        </w:rPr>
        <w:t>大型工业加工基地和物流中心的地位</w:t>
      </w:r>
      <w:r>
        <w:rPr>
          <w:rFonts w:hint="eastAsia" w:ascii="宋体" w:hAnsi="宋体"/>
          <w:sz w:val="24"/>
          <w:szCs w:val="18"/>
        </w:rPr>
        <w:t>。</w:t>
      </w:r>
    </w:p>
    <w:p>
      <w:pPr>
        <w:tabs>
          <w:tab w:val="left" w:pos="435"/>
        </w:tabs>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hint="eastAsia" w:ascii="宋体" w:hAnsi="宋体"/>
          <w:b/>
          <w:bCs/>
          <w:sz w:val="24"/>
        </w:rPr>
        <w:t>彩田北工业区</w:t>
      </w:r>
    </w:p>
    <w:p>
      <w:pPr>
        <w:tabs>
          <w:tab w:val="left" w:pos="435"/>
        </w:tabs>
        <w:adjustRightInd w:val="0"/>
        <w:snapToGrid w:val="0"/>
        <w:ind w:firstLine="480" w:firstLineChars="200"/>
        <w:rPr>
          <w:rFonts w:hint="eastAsia" w:ascii="宋体" w:hAnsi="宋体"/>
          <w:sz w:val="24"/>
        </w:rPr>
      </w:pPr>
      <w:r>
        <w:rPr>
          <w:rFonts w:hint="eastAsia" w:ascii="宋体" w:hAnsi="宋体"/>
          <w:sz w:val="24"/>
        </w:rPr>
        <w:t>该区域集中了辖区工业产值前20位工业企业中的5家超大型工业企业，是我区最重要的电子信息制造业生产基地。“十一五”期间，</w:t>
      </w:r>
      <w:r>
        <w:rPr>
          <w:rFonts w:hint="eastAsia" w:ascii="宋体" w:hAnsi="宋体"/>
          <w:sz w:val="24"/>
          <w:szCs w:val="18"/>
        </w:rPr>
        <w:t>确保现有5家</w:t>
      </w:r>
      <w:r>
        <w:rPr>
          <w:rFonts w:hint="eastAsia" w:ascii="宋体" w:hAnsi="宋体"/>
          <w:sz w:val="24"/>
        </w:rPr>
        <w:t>超大型工业企业</w:t>
      </w:r>
      <w:r>
        <w:rPr>
          <w:rFonts w:hint="eastAsia" w:ascii="宋体" w:hAnsi="宋体"/>
          <w:sz w:val="24"/>
          <w:szCs w:val="18"/>
        </w:rPr>
        <w:t>的稳定，引导企业增资扩股，巩固其</w:t>
      </w:r>
      <w:r>
        <w:rPr>
          <w:rFonts w:hint="eastAsia" w:ascii="宋体" w:hAnsi="宋体"/>
          <w:sz w:val="24"/>
        </w:rPr>
        <w:t>电子信息产业聚集地的地位</w:t>
      </w:r>
      <w:r>
        <w:rPr>
          <w:rFonts w:hint="eastAsia" w:ascii="宋体" w:hAnsi="宋体"/>
          <w:sz w:val="24"/>
          <w:szCs w:val="18"/>
        </w:rPr>
        <w:t>，发挥高科技研发和生产的聚集作用。</w:t>
      </w:r>
    </w:p>
    <w:p>
      <w:pPr>
        <w:adjustRightInd w:val="0"/>
        <w:snapToGrid w:val="0"/>
        <w:ind w:firstLine="481" w:firstLineChars="200"/>
        <w:rPr>
          <w:rFonts w:ascii="宋体" w:hAnsi="宋体"/>
          <w:b/>
          <w:bCs/>
          <w:sz w:val="24"/>
        </w:rPr>
      </w:pPr>
      <w:r>
        <w:rPr>
          <w:rFonts w:hint="eastAsia" w:ascii="宋体" w:hAnsi="宋体"/>
          <w:b/>
          <w:bCs/>
          <w:sz w:val="24"/>
        </w:rPr>
        <w:t>3</w:t>
      </w:r>
      <w:r>
        <w:rPr>
          <w:rFonts w:hint="eastAsia" w:ascii="宋体" w:hAnsi="宋体"/>
          <w:sz w:val="24"/>
        </w:rPr>
        <w:t>、</w:t>
      </w:r>
      <w:r>
        <w:rPr>
          <w:rFonts w:hint="eastAsia" w:ascii="宋体" w:hAnsi="宋体"/>
          <w:b/>
          <w:bCs/>
          <w:sz w:val="24"/>
        </w:rPr>
        <w:t>泰然工贸园</w:t>
      </w:r>
    </w:p>
    <w:p>
      <w:pPr>
        <w:adjustRightInd w:val="0"/>
        <w:snapToGrid w:val="0"/>
        <w:ind w:firstLine="480" w:firstLineChars="200"/>
        <w:rPr>
          <w:rFonts w:hint="eastAsia" w:ascii="宋体" w:hAnsi="宋体"/>
          <w:sz w:val="24"/>
          <w:szCs w:val="32"/>
        </w:rPr>
      </w:pPr>
      <w:r>
        <w:rPr>
          <w:rFonts w:hint="eastAsia" w:ascii="宋体" w:hAnsi="宋体"/>
          <w:sz w:val="24"/>
          <w:szCs w:val="32"/>
        </w:rPr>
        <w:t>“十一五”期间，</w:t>
      </w:r>
      <w:r>
        <w:rPr>
          <w:rFonts w:hint="eastAsia" w:ascii="宋体" w:hAnsi="宋体"/>
          <w:sz w:val="24"/>
        </w:rPr>
        <w:t>泰然工贸园可参照天安数码城的成功模式，</w:t>
      </w:r>
      <w:r>
        <w:rPr>
          <w:rFonts w:hint="eastAsia" w:ascii="宋体" w:hAnsi="宋体"/>
          <w:sz w:val="24"/>
          <w:szCs w:val="32"/>
        </w:rPr>
        <w:t>逐步实现向泰然科技园的转变，</w:t>
      </w:r>
      <w:r>
        <w:rPr>
          <w:rFonts w:hint="eastAsia" w:ascii="宋体" w:hAnsi="宋体"/>
          <w:sz w:val="24"/>
        </w:rPr>
        <w:t>着力打造现代化的高新技术产业平台，引导中小研发型科技企业聚集，</w:t>
      </w:r>
      <w:r>
        <w:rPr>
          <w:rFonts w:hint="eastAsia" w:ascii="宋体" w:hAnsi="宋体"/>
          <w:sz w:val="24"/>
          <w:szCs w:val="32"/>
        </w:rPr>
        <w:t>成为高新技术、科技型制造业、传统优势制造业和工业生产性服务业的聚集地，形成福田最具活力的中小型都市工业企业发展区域。</w:t>
      </w:r>
    </w:p>
    <w:p>
      <w:pPr>
        <w:pStyle w:val="9"/>
        <w:adjustRightInd w:val="0"/>
        <w:snapToGrid w:val="0"/>
        <w:ind w:firstLine="480" w:firstLineChars="200"/>
        <w:rPr>
          <w:rFonts w:hint="eastAsia" w:ascii="宋体" w:hAnsi="宋体" w:eastAsia="宋体"/>
          <w:sz w:val="24"/>
          <w:szCs w:val="32"/>
        </w:rPr>
      </w:pPr>
      <w:r>
        <w:rPr>
          <w:rFonts w:hint="eastAsia" w:ascii="宋体" w:hAnsi="宋体" w:eastAsia="宋体"/>
          <w:sz w:val="24"/>
          <w:szCs w:val="32"/>
        </w:rPr>
        <w:t>泰然片区“十一五”重点项目包括：</w:t>
      </w:r>
    </w:p>
    <w:p>
      <w:pPr>
        <w:adjustRightInd w:val="0"/>
        <w:snapToGrid w:val="0"/>
        <w:ind w:firstLine="480" w:firstLineChars="200"/>
        <w:rPr>
          <w:rFonts w:hint="eastAsia" w:ascii="宋体" w:hAnsi="宋体"/>
          <w:sz w:val="24"/>
        </w:rPr>
      </w:pPr>
      <w:r>
        <w:rPr>
          <w:rFonts w:hint="eastAsia" w:ascii="宋体" w:hAnsi="宋体"/>
          <w:sz w:val="24"/>
        </w:rPr>
        <w:t>（1）泰然金谷建设项目</w:t>
      </w:r>
    </w:p>
    <w:p>
      <w:pPr>
        <w:adjustRightInd w:val="0"/>
        <w:snapToGrid w:val="0"/>
        <w:ind w:firstLine="480" w:firstLineChars="200"/>
        <w:rPr>
          <w:rFonts w:hint="eastAsia" w:ascii="宋体" w:hAnsi="宋体"/>
          <w:sz w:val="24"/>
        </w:rPr>
      </w:pPr>
      <w:r>
        <w:rPr>
          <w:rFonts w:hint="eastAsia" w:ascii="宋体" w:hAnsi="宋体"/>
          <w:sz w:val="24"/>
        </w:rPr>
        <w:t>区内新开发的泰然金谷项目是深圳泰然实业股份有限公司自主投资建设、规划总建筑面积约35万平方米的高新技术产业园区。“十一五”期间，泰然金谷二期项目开始招商，三期项目也全面启动，必将继续吸引更多科技型的生产、研发、物流企业进驻，加大对该区域的投资环境宣传和招商引资力度，引导高新技术与都市工业项目聚集。</w:t>
      </w:r>
    </w:p>
    <w:p>
      <w:pPr>
        <w:adjustRightInd w:val="0"/>
        <w:snapToGrid w:val="0"/>
        <w:ind w:firstLine="480" w:firstLineChars="200"/>
        <w:rPr>
          <w:rFonts w:hint="eastAsia" w:ascii="宋体" w:hAnsi="宋体"/>
          <w:sz w:val="24"/>
        </w:rPr>
      </w:pPr>
      <w:r>
        <w:rPr>
          <w:rFonts w:hint="eastAsia" w:ascii="宋体" w:hAnsi="宋体"/>
          <w:sz w:val="24"/>
        </w:rPr>
        <w:t>（2）皇冠工业小区的重建项目</w:t>
      </w:r>
    </w:p>
    <w:p>
      <w:pPr>
        <w:adjustRightInd w:val="0"/>
        <w:snapToGrid w:val="0"/>
        <w:ind w:firstLine="480" w:firstLineChars="200"/>
        <w:rPr>
          <w:rFonts w:hint="eastAsia" w:ascii="宋体" w:hAnsi="宋体"/>
          <w:sz w:val="24"/>
        </w:rPr>
      </w:pPr>
      <w:r>
        <w:rPr>
          <w:rFonts w:hint="eastAsia" w:ascii="宋体" w:hAnsi="宋体"/>
          <w:sz w:val="24"/>
        </w:rPr>
        <w:t>皇冠工业小区位于泰然工贸园西部，园区占地面积13.6万平方米，土地用途为工业用地，土地使用年限为50年，工业小区内用地闲置多年，容积率低。针对皇冠工业小区的历史和现实状况，盘活资源，在保证工业发展基础上，争取在“十一五”期间，推倒重建为高新技术产业园区，使其与整个泰然科技园相匹配。</w:t>
      </w:r>
    </w:p>
    <w:p>
      <w:pPr>
        <w:adjustRightInd w:val="0"/>
        <w:snapToGrid w:val="0"/>
        <w:ind w:firstLine="481" w:firstLineChars="200"/>
        <w:rPr>
          <w:rFonts w:hint="eastAsia" w:ascii="宋体" w:hAnsi="宋体"/>
          <w:b/>
          <w:bCs/>
          <w:sz w:val="24"/>
        </w:rPr>
      </w:pPr>
      <w:r>
        <w:rPr>
          <w:rFonts w:hint="eastAsia" w:ascii="宋体" w:hAnsi="宋体"/>
          <w:b/>
          <w:bCs/>
          <w:sz w:val="24"/>
        </w:rPr>
        <w:t>4</w:t>
      </w:r>
      <w:r>
        <w:rPr>
          <w:rFonts w:hint="eastAsia" w:ascii="宋体" w:hAnsi="宋体"/>
          <w:sz w:val="24"/>
        </w:rPr>
        <w:t>、</w:t>
      </w:r>
      <w:r>
        <w:rPr>
          <w:rFonts w:hint="eastAsia" w:ascii="宋体" w:hAnsi="宋体"/>
          <w:b/>
          <w:bCs/>
          <w:sz w:val="24"/>
        </w:rPr>
        <w:t>天安数码城</w:t>
      </w:r>
    </w:p>
    <w:p>
      <w:pPr>
        <w:adjustRightInd w:val="0"/>
        <w:snapToGrid w:val="0"/>
        <w:ind w:firstLine="480" w:firstLineChars="200"/>
        <w:rPr>
          <w:rFonts w:hint="eastAsia" w:ascii="宋体" w:hAnsi="宋体"/>
          <w:b/>
          <w:bCs/>
          <w:sz w:val="24"/>
        </w:rPr>
      </w:pPr>
      <w:r>
        <w:rPr>
          <w:rFonts w:hint="eastAsia" w:ascii="宋体" w:hAnsi="宋体"/>
          <w:sz w:val="24"/>
        </w:rPr>
        <w:t>“十一五”期间，区政府继续扶持其做强做大，保持其作为民营科技乐园的优势地位，加大对该区域的投资环境宣传和招商引资力度，吸引更多高科技企业进驻，聚集一大批以研发、设计、展示、综合服务为主营业务的、最具活力的中小型都市工业企业，并充分发挥其“国家级民营科技园区”的品牌效应，引导周边的金地、上沙等工业区实施“厂房再造，产业置换”，拓展民营科技园区的发展空间，</w:t>
      </w:r>
      <w:r>
        <w:rPr>
          <w:rFonts w:hint="eastAsia" w:ascii="宋体" w:hAnsi="宋体"/>
          <w:sz w:val="24"/>
          <w:szCs w:val="18"/>
        </w:rPr>
        <w:t>保持并增强该区域</w:t>
      </w:r>
      <w:r>
        <w:rPr>
          <w:rFonts w:hint="eastAsia" w:ascii="宋体" w:hAnsi="宋体"/>
          <w:sz w:val="24"/>
        </w:rPr>
        <w:t>国家级民营科技园区的地位，把天安、泰然、金地、上沙等老工业区连成一片，打造福田区的“大天安高新区”</w:t>
      </w:r>
      <w:r>
        <w:rPr>
          <w:rFonts w:hint="eastAsia" w:ascii="宋体" w:hAnsi="宋体"/>
          <w:sz w:val="24"/>
          <w:szCs w:val="18"/>
        </w:rPr>
        <w:t>。</w:t>
      </w:r>
    </w:p>
    <w:p>
      <w:pPr>
        <w:adjustRightInd w:val="0"/>
        <w:snapToGrid w:val="0"/>
        <w:ind w:firstLine="481" w:firstLineChars="200"/>
        <w:rPr>
          <w:rFonts w:hint="eastAsia" w:ascii="宋体" w:hAnsi="宋体"/>
          <w:b/>
          <w:bCs/>
          <w:sz w:val="24"/>
        </w:rPr>
      </w:pPr>
      <w:r>
        <w:rPr>
          <w:rFonts w:hint="eastAsia" w:ascii="宋体" w:hAnsi="宋体"/>
          <w:b/>
          <w:bCs/>
          <w:sz w:val="24"/>
        </w:rPr>
        <w:t>5</w:t>
      </w:r>
      <w:r>
        <w:rPr>
          <w:rFonts w:hint="eastAsia" w:ascii="宋体" w:hAnsi="宋体"/>
          <w:sz w:val="24"/>
        </w:rPr>
        <w:t>、</w:t>
      </w:r>
      <w:r>
        <w:rPr>
          <w:rFonts w:hint="eastAsia" w:ascii="宋体" w:hAnsi="宋体"/>
          <w:b/>
          <w:bCs/>
          <w:sz w:val="24"/>
        </w:rPr>
        <w:t>八卦岭工业区</w:t>
      </w:r>
    </w:p>
    <w:p>
      <w:pPr>
        <w:tabs>
          <w:tab w:val="left" w:pos="15"/>
        </w:tabs>
        <w:adjustRightInd w:val="0"/>
        <w:snapToGrid w:val="0"/>
        <w:ind w:firstLine="480" w:firstLineChars="200"/>
        <w:rPr>
          <w:rFonts w:hint="eastAsia" w:ascii="宋体" w:hAnsi="宋体"/>
          <w:b/>
          <w:bCs/>
          <w:sz w:val="24"/>
          <w:szCs w:val="32"/>
        </w:rPr>
      </w:pPr>
      <w:r>
        <w:rPr>
          <w:rFonts w:hint="eastAsia" w:ascii="宋体" w:hAnsi="宋体"/>
          <w:sz w:val="24"/>
          <w:szCs w:val="32"/>
        </w:rPr>
        <w:t>“十一五”期间，区政府通过积极协调市规划局制定相关改造规划，严格控制将该区域现存的工业区改造为商住楼，并根据八卦岭现有的产业特点，进行科学规划，合理布局，引导企业实施有序改造。</w:t>
      </w:r>
    </w:p>
    <w:p>
      <w:pPr>
        <w:adjustRightInd w:val="0"/>
        <w:snapToGrid w:val="0"/>
        <w:ind w:firstLine="480" w:firstLineChars="200"/>
        <w:rPr>
          <w:rFonts w:hint="eastAsia" w:ascii="宋体" w:hAnsi="宋体"/>
          <w:sz w:val="24"/>
        </w:rPr>
      </w:pPr>
      <w:r>
        <w:rPr>
          <w:rFonts w:hint="eastAsia" w:ascii="宋体" w:hAnsi="宋体"/>
          <w:sz w:val="24"/>
        </w:rPr>
        <w:t>八卦岭片区“十一五”重点项目包括：</w:t>
      </w:r>
    </w:p>
    <w:p>
      <w:pPr>
        <w:adjustRightInd w:val="0"/>
        <w:snapToGrid w:val="0"/>
        <w:ind w:firstLine="480" w:firstLineChars="200"/>
        <w:rPr>
          <w:rFonts w:hint="eastAsia" w:ascii="宋体" w:hAnsi="宋体"/>
          <w:sz w:val="24"/>
        </w:rPr>
      </w:pPr>
      <w:r>
        <w:rPr>
          <w:rFonts w:hint="eastAsia" w:ascii="宋体" w:hAnsi="宋体"/>
          <w:sz w:val="24"/>
        </w:rPr>
        <w:t>（1）高科技印刷特色工业园区创建项目</w:t>
      </w:r>
    </w:p>
    <w:p>
      <w:pPr>
        <w:adjustRightInd w:val="0"/>
        <w:snapToGrid w:val="0"/>
        <w:ind w:firstLine="480" w:firstLineChars="200"/>
        <w:rPr>
          <w:rFonts w:hint="eastAsia" w:ascii="宋体" w:hAnsi="宋体"/>
          <w:sz w:val="24"/>
        </w:rPr>
      </w:pPr>
      <w:r>
        <w:rPr>
          <w:rFonts w:hint="eastAsia" w:ascii="宋体" w:hAnsi="宋体"/>
          <w:sz w:val="24"/>
        </w:rPr>
        <w:t>八卦岭工业区发展印刷产业具有极大的现实优势：当前，深圳市已确立“文化立市”的产业政策，把文化产业列为第四大支柱产业，印刷，尤其是高科技数码印刷是文化产业不可缺少的一个重要组成部分；印刷业是典型的都市工业，也是福田区传统优势产业之一，八卦岭工业区聚集了30多家具有相当实力的印刷企业；同时，八卦岭工业区交通便捷，非常适合发展印刷行业类型的轻工业；八卦岭工业区现有的厂房结构也具备发展印刷行业的基础条件。</w:t>
      </w:r>
    </w:p>
    <w:p>
      <w:pPr>
        <w:adjustRightInd w:val="0"/>
        <w:snapToGrid w:val="0"/>
        <w:ind w:firstLine="480" w:firstLineChars="200"/>
        <w:rPr>
          <w:rFonts w:hint="eastAsia" w:ascii="宋体" w:hAnsi="宋体"/>
          <w:sz w:val="24"/>
        </w:rPr>
      </w:pPr>
      <w:r>
        <w:rPr>
          <w:rFonts w:hint="eastAsia" w:ascii="宋体" w:hAnsi="宋体"/>
          <w:sz w:val="24"/>
        </w:rPr>
        <w:t>因此，在“十一五”期间，在八卦岭工业区内选择10万至20万平方米相对集中的厂房，实施“厂房再造，产业置换”，考虑到八卦岭工业区厂房产权分散，一旦实施改造，缺乏投资主体等因素，区政府可投资改造基础设施，并制定相关优惠政策，引导企业实施厂房主体改造，主要是对原有厂房进行“穿衣戴帽”式的改造，为高科技印刷行业发展提供良好基础条件，逐步引导和置换优势企业进驻，形成一定的集聚效应，从而培育建设八卦岭高科技印刷特色工业园区。</w:t>
      </w:r>
    </w:p>
    <w:p>
      <w:pPr>
        <w:adjustRightInd w:val="0"/>
        <w:snapToGrid w:val="0"/>
        <w:ind w:firstLine="480" w:firstLineChars="200"/>
        <w:rPr>
          <w:rFonts w:hint="eastAsia" w:ascii="宋体" w:hAnsi="宋体"/>
          <w:sz w:val="24"/>
        </w:rPr>
      </w:pPr>
      <w:r>
        <w:rPr>
          <w:rFonts w:hint="eastAsia" w:ascii="宋体" w:hAnsi="宋体"/>
          <w:sz w:val="24"/>
        </w:rPr>
        <w:t>（2）品牌服装特色工业园区创建项目</w:t>
      </w:r>
    </w:p>
    <w:p>
      <w:pPr>
        <w:adjustRightInd w:val="0"/>
        <w:snapToGrid w:val="0"/>
        <w:ind w:firstLine="480" w:firstLineChars="200"/>
        <w:rPr>
          <w:rFonts w:hint="eastAsia" w:ascii="宋体" w:hAnsi="宋体"/>
          <w:sz w:val="24"/>
        </w:rPr>
      </w:pPr>
      <w:r>
        <w:rPr>
          <w:rFonts w:hint="eastAsia" w:ascii="宋体" w:hAnsi="宋体"/>
          <w:sz w:val="24"/>
        </w:rPr>
        <w:t>八卦岭工业区是福田区传统的服装加工基地，经过多年的市场历练，该区域现存50多家服装企业，大多拥有自主品牌。品牌服装的自主研发、设计、生产是高附加值的行业，具有较好的发展前景。</w:t>
      </w:r>
    </w:p>
    <w:p>
      <w:pPr>
        <w:adjustRightInd w:val="0"/>
        <w:snapToGrid w:val="0"/>
        <w:ind w:firstLine="480" w:firstLineChars="200"/>
        <w:rPr>
          <w:rFonts w:hint="eastAsia" w:ascii="宋体" w:hAnsi="宋体"/>
          <w:sz w:val="24"/>
        </w:rPr>
      </w:pPr>
      <w:r>
        <w:rPr>
          <w:rFonts w:hint="eastAsia" w:ascii="宋体" w:hAnsi="宋体"/>
          <w:sz w:val="24"/>
        </w:rPr>
        <w:t>因此，在“十一五”期间，区政府可以在八卦岭工业区内选择10万至20万平方米相对集中的厂房，改造基础设施，制定相关优惠政策，引导企业实施厂房主体改造，主要是对原有厂房进行“穿衣戴帽”式的改造，为品牌服装设计行业发展提供良好基础条件，逐步引导和置换优势企业进驻，形成一定的集聚效应，从而培育建设八卦岭品牌服装特色工业园区。</w:t>
      </w:r>
    </w:p>
    <w:p>
      <w:pPr>
        <w:adjustRightInd w:val="0"/>
        <w:snapToGrid w:val="0"/>
        <w:ind w:firstLine="481" w:firstLineChars="200"/>
        <w:rPr>
          <w:rFonts w:hint="eastAsia" w:ascii="宋体" w:hAnsi="宋体"/>
          <w:b/>
          <w:bCs/>
          <w:sz w:val="24"/>
        </w:rPr>
      </w:pPr>
      <w:r>
        <w:rPr>
          <w:rFonts w:hint="eastAsia" w:ascii="宋体" w:hAnsi="宋体"/>
          <w:b/>
          <w:bCs/>
          <w:sz w:val="24"/>
        </w:rPr>
        <w:t>6</w:t>
      </w:r>
      <w:r>
        <w:rPr>
          <w:rFonts w:hint="eastAsia" w:ascii="宋体" w:hAnsi="宋体"/>
          <w:sz w:val="24"/>
        </w:rPr>
        <w:t>、</w:t>
      </w:r>
      <w:r>
        <w:rPr>
          <w:rFonts w:hint="eastAsia" w:ascii="宋体" w:hAnsi="宋体"/>
          <w:b/>
          <w:bCs/>
          <w:sz w:val="24"/>
        </w:rPr>
        <w:t>设计产业特色园区创建项目</w:t>
      </w:r>
    </w:p>
    <w:p>
      <w:pPr>
        <w:adjustRightInd w:val="0"/>
        <w:snapToGrid w:val="0"/>
        <w:ind w:firstLine="480" w:firstLineChars="200"/>
        <w:rPr>
          <w:rFonts w:hint="eastAsia" w:ascii="宋体" w:hAnsi="宋体"/>
          <w:sz w:val="24"/>
        </w:rPr>
      </w:pPr>
      <w:r>
        <w:rPr>
          <w:rFonts w:hint="eastAsia" w:ascii="宋体" w:hAnsi="宋体"/>
          <w:sz w:val="24"/>
        </w:rPr>
        <w:t>二十一世纪是创意的时代，设计产业是典型的占地少、附加值高、无污染的创意产业。“十一五”期间，区政府可考虑在园博园、八卦岭工业区、田面工业区、多丽工业区、金地工业区等多个区域，选择部分相对集中、产权清晰的物业，实施“厂房再造，产业置换”，制定相关优惠政策，引导集成电路（IC）、动漫、环境、装饰、建筑、安防等各类设计企业集聚，培育建设多个设计产业特色园区，以产业集聚的规模效应激发福田区创意产业的活力。</w:t>
      </w:r>
    </w:p>
    <w:p>
      <w:pPr>
        <w:adjustRightInd w:val="0"/>
        <w:snapToGrid w:val="0"/>
        <w:ind w:firstLine="481" w:firstLineChars="200"/>
        <w:rPr>
          <w:rFonts w:hint="eastAsia" w:ascii="宋体" w:hAnsi="宋体"/>
          <w:b/>
          <w:bCs/>
          <w:sz w:val="24"/>
        </w:rPr>
      </w:pPr>
      <w:r>
        <w:rPr>
          <w:rFonts w:hint="eastAsia" w:ascii="宋体" w:hAnsi="宋体"/>
          <w:b/>
          <w:bCs/>
          <w:sz w:val="24"/>
        </w:rPr>
        <w:t>7</w:t>
      </w:r>
      <w:r>
        <w:rPr>
          <w:rFonts w:hint="eastAsia" w:ascii="宋体" w:hAnsi="宋体"/>
          <w:sz w:val="24"/>
        </w:rPr>
        <w:t>、</w:t>
      </w:r>
      <w:r>
        <w:rPr>
          <w:rFonts w:hint="eastAsia" w:ascii="宋体" w:hAnsi="宋体"/>
          <w:b/>
          <w:bCs/>
          <w:sz w:val="24"/>
        </w:rPr>
        <w:t>福田科技广场建设项目</w:t>
      </w:r>
    </w:p>
    <w:p>
      <w:pPr>
        <w:adjustRightInd w:val="0"/>
        <w:snapToGrid w:val="0"/>
        <w:ind w:firstLine="480" w:firstLineChars="200"/>
        <w:rPr>
          <w:rFonts w:hint="eastAsia" w:ascii="宋体" w:hAnsi="宋体"/>
          <w:sz w:val="24"/>
        </w:rPr>
      </w:pPr>
      <w:r>
        <w:rPr>
          <w:rFonts w:hint="eastAsia" w:ascii="宋体" w:hAnsi="宋体"/>
          <w:sz w:val="24"/>
        </w:rPr>
        <w:t>福田科技广场项目位于福田区委旧址，“十一五”期间，区委、区政府已决定将该地块用作高新技术产业用地，兴建“福田科技广场”，该项目定位为以软件研发、软件研发共享平台及软件企业孵化为主体，兼有高科技成果交易、信息服务、软件产品展示等中介服务功能。将成为深圳市软件产业园区的重要组成部分。福田科技广场具备四大主要功能，包括技术支撑服务、大型软件企业总部或研发基地、孵化器、软件人才培训等。</w:t>
      </w:r>
    </w:p>
    <w:p>
      <w:pPr>
        <w:adjustRightInd w:val="0"/>
        <w:snapToGrid w:val="0"/>
        <w:ind w:firstLine="480" w:firstLineChars="200"/>
        <w:rPr>
          <w:rFonts w:hint="eastAsia" w:ascii="宋体" w:hAnsi="宋体"/>
          <w:sz w:val="24"/>
        </w:rPr>
      </w:pPr>
      <w:r>
        <w:rPr>
          <w:rFonts w:hint="eastAsia" w:ascii="宋体" w:hAnsi="宋体"/>
          <w:sz w:val="24"/>
        </w:rPr>
        <w:t>该项目总投资13亿元，总建筑面积20万平方米，计划在“十一五”期间建成投产并产生效益。该项目的建设不仅能给福田区的投资产生直接的回报，还能给深圳的发展带来直接的经济效益，重要的是科技广场的建设对辖区产业结构调整升级，提升福田的整体竞争力，将福田建成高科技城区具有重大战略意义。</w:t>
      </w:r>
    </w:p>
    <w:p>
      <w:pPr>
        <w:adjustRightInd w:val="0"/>
        <w:snapToGrid w:val="0"/>
        <w:ind w:firstLine="481" w:firstLineChars="200"/>
        <w:rPr>
          <w:rFonts w:hint="eastAsia" w:ascii="宋体" w:hAnsi="宋体"/>
          <w:b/>
          <w:bCs/>
          <w:sz w:val="24"/>
        </w:rPr>
      </w:pPr>
      <w:r>
        <w:rPr>
          <w:rFonts w:hint="eastAsia" w:ascii="宋体" w:hAnsi="宋体"/>
          <w:b/>
          <w:bCs/>
          <w:sz w:val="24"/>
        </w:rPr>
        <w:t>8</w:t>
      </w:r>
      <w:r>
        <w:rPr>
          <w:rFonts w:hint="eastAsia" w:ascii="宋体" w:hAnsi="宋体"/>
          <w:sz w:val="24"/>
        </w:rPr>
        <w:t>、</w:t>
      </w:r>
      <w:r>
        <w:rPr>
          <w:rFonts w:hint="eastAsia" w:ascii="宋体" w:hAnsi="宋体"/>
          <w:b/>
          <w:bCs/>
          <w:sz w:val="24"/>
        </w:rPr>
        <w:t>福田上沙科技园改造项目</w:t>
      </w:r>
    </w:p>
    <w:p>
      <w:pPr>
        <w:adjustRightInd w:val="0"/>
        <w:snapToGrid w:val="0"/>
        <w:ind w:firstLine="480" w:firstLineChars="200"/>
        <w:rPr>
          <w:rFonts w:hint="eastAsia" w:ascii="宋体" w:hAnsi="宋体"/>
          <w:sz w:val="24"/>
        </w:rPr>
      </w:pPr>
      <w:r>
        <w:rPr>
          <w:rFonts w:hint="eastAsia" w:ascii="宋体" w:hAnsi="宋体"/>
          <w:sz w:val="24"/>
        </w:rPr>
        <w:t>福田上沙科技园位于深圳市福田上沙村上沙工业区，该工业区占地4.20万平方米，建筑面积6.02万平方米，现有工业厂房16栋。该项目是对原上沙工业区整体实施“厂房再造，产业置换”，在不增加建筑面积的情况下，实施“穿衣戴帽”式装修改造，同时改造地下管网，完善停车、通信、宽带网络、监控、消防等设施，提高园区楼宇档次，调整园区产业结构，使其成为聚集科技企业和软件企业的科技园区。项目预计投资3600万元，计划在“十一五”期间建成投产并产生效益，项目完成后，可提供6万多平方米的科技产业发展空间，预计可引进科技企业100家左右，与邻近的天安、泰然科技园区相互呼应，将对辖区高新技术产业发展起到积极的促进作用。</w:t>
      </w:r>
    </w:p>
    <w:p>
      <w:pPr>
        <w:adjustRightInd w:val="0"/>
        <w:snapToGrid w:val="0"/>
        <w:ind w:firstLine="481" w:firstLineChars="200"/>
        <w:rPr>
          <w:rFonts w:hint="eastAsia" w:ascii="宋体" w:hAnsi="宋体"/>
          <w:b/>
          <w:bCs/>
          <w:sz w:val="24"/>
        </w:rPr>
      </w:pPr>
      <w:r>
        <w:rPr>
          <w:rFonts w:hint="eastAsia" w:ascii="宋体" w:hAnsi="宋体"/>
          <w:b/>
          <w:bCs/>
          <w:sz w:val="24"/>
        </w:rPr>
        <w:t>9</w:t>
      </w:r>
      <w:r>
        <w:rPr>
          <w:rFonts w:hint="eastAsia" w:ascii="宋体" w:hAnsi="宋体"/>
          <w:sz w:val="24"/>
        </w:rPr>
        <w:t>、</w:t>
      </w:r>
      <w:r>
        <w:rPr>
          <w:rFonts w:hint="eastAsia" w:ascii="宋体" w:hAnsi="宋体"/>
          <w:b/>
          <w:bCs/>
          <w:sz w:val="24"/>
        </w:rPr>
        <w:t>福田下沙工业旅游特色街区创建项目</w:t>
      </w:r>
    </w:p>
    <w:p>
      <w:pPr>
        <w:adjustRightInd w:val="0"/>
        <w:snapToGrid w:val="0"/>
        <w:ind w:firstLine="480" w:firstLineChars="200"/>
        <w:rPr>
          <w:rFonts w:hint="eastAsia" w:ascii="宋体" w:hAnsi="宋体"/>
          <w:sz w:val="24"/>
        </w:rPr>
      </w:pPr>
      <w:r>
        <w:rPr>
          <w:rFonts w:hint="eastAsia" w:ascii="宋体" w:hAnsi="宋体"/>
          <w:sz w:val="24"/>
        </w:rPr>
        <w:t>福田下沙村以其独特的民俗风情文化韵味而成为深圳市著名的旅游景点之一，同时，位于下沙村的下沙工业区聚集了影儿国际、翠柏、贝茜、凯蓝、天添、威时达等一批自主品牌的服装设计和生产企业。“十一五”期间，区政府可考虑投入适当的启动资金，引导下沙实业股份有限公司改善下沙工业区的整体环境，吸引更多拥有自主品牌的时装设计与生产企业进驻，鼓励品牌服装厂家展销厅在该区域聚集，把服装工业展销和民俗风情旅游有机地结合在一起，打造具有福田都市风格的下沙工业旅游特色街区。</w:t>
      </w:r>
    </w:p>
    <w:p>
      <w:pPr>
        <w:adjustRightInd w:val="0"/>
        <w:snapToGrid w:val="0"/>
        <w:ind w:firstLine="480" w:firstLineChars="200"/>
        <w:rPr>
          <w:rFonts w:hint="eastAsia" w:ascii="宋体" w:hAnsi="宋体"/>
          <w:sz w:val="24"/>
        </w:rPr>
      </w:pPr>
    </w:p>
    <w:p>
      <w:pPr>
        <w:adjustRightInd w:val="0"/>
        <w:snapToGrid w:val="0"/>
        <w:ind w:firstLine="602" w:firstLineChars="200"/>
        <w:rPr>
          <w:rFonts w:hint="eastAsia" w:ascii="宋体" w:hAnsi="宋体"/>
          <w:b/>
          <w:bCs/>
          <w:sz w:val="30"/>
          <w:lang/>
        </w:rPr>
      </w:pPr>
      <w:r>
        <w:rPr>
          <w:rFonts w:hint="eastAsia" w:ascii="宋体" w:hAnsi="宋体"/>
          <w:b/>
          <w:bCs/>
          <w:sz w:val="30"/>
        </w:rPr>
        <w:t>六、福田区工业“十一五”时期</w:t>
      </w:r>
      <w:r>
        <w:rPr>
          <w:rFonts w:hint="eastAsia" w:ascii="宋体" w:hAnsi="宋体"/>
          <w:b/>
          <w:bCs/>
          <w:sz w:val="30"/>
          <w:lang/>
        </w:rPr>
        <w:t>发展主要措施</w:t>
      </w:r>
    </w:p>
    <w:p>
      <w:pPr>
        <w:adjustRightInd w:val="0"/>
        <w:snapToGrid w:val="0"/>
        <w:ind w:firstLine="562" w:firstLineChars="200"/>
        <w:rPr>
          <w:rFonts w:hint="eastAsia" w:ascii="宋体" w:hAnsi="宋体"/>
          <w:b/>
          <w:bCs/>
          <w:sz w:val="28"/>
        </w:rPr>
      </w:pPr>
      <w:r>
        <w:rPr>
          <w:rFonts w:hint="eastAsia" w:ascii="宋体" w:hAnsi="宋体"/>
          <w:b/>
          <w:bCs/>
          <w:sz w:val="28"/>
        </w:rPr>
        <w:t>（一）营造大环境，实施大服务，保证工业持续、稳定发展</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ascii="宋体" w:hAnsi="宋体"/>
          <w:b/>
          <w:bCs/>
          <w:sz w:val="24"/>
        </w:rPr>
        <w:t>进一步强化工业意识</w:t>
      </w:r>
    </w:p>
    <w:p>
      <w:pPr>
        <w:adjustRightInd w:val="0"/>
        <w:snapToGrid w:val="0"/>
        <w:ind w:firstLine="480" w:firstLineChars="200"/>
        <w:rPr>
          <w:rFonts w:hint="eastAsia" w:ascii="宋体" w:hAnsi="宋体"/>
          <w:sz w:val="24"/>
        </w:rPr>
      </w:pPr>
      <w:r>
        <w:rPr>
          <w:rFonts w:hint="eastAsia" w:ascii="宋体" w:hAnsi="宋体"/>
          <w:sz w:val="24"/>
        </w:rPr>
        <w:t>深刻领会深圳市委、市政府“产业第一”经济发展思路的丰富内涵，充分认识发展工业，特别是提高工业产业竞争力对于辖区国民经济发展的重要性和紧迫性，</w:t>
      </w:r>
      <w:r>
        <w:rPr>
          <w:rFonts w:ascii="宋体" w:hAnsi="宋体"/>
          <w:sz w:val="24"/>
        </w:rPr>
        <w:t>进一步强化工业意识</w:t>
      </w:r>
      <w:r>
        <w:rPr>
          <w:rFonts w:hint="eastAsia" w:ascii="宋体" w:hAnsi="宋体"/>
          <w:sz w:val="24"/>
        </w:rPr>
        <w:t>，坚定不移地走符合区情的都市工业发展道路，防止出现“产业空心化”，营造适合都市工业发展的良好环境，继续保持并力争扩大工业对辖区经济的贡献。</w:t>
      </w:r>
    </w:p>
    <w:p>
      <w:pPr>
        <w:adjustRightInd w:val="0"/>
        <w:snapToGrid w:val="0"/>
        <w:ind w:firstLine="481" w:firstLineChars="200"/>
        <w:rPr>
          <w:rFonts w:hint="eastAsia" w:ascii="宋体" w:hAnsi="宋体"/>
          <w:sz w:val="24"/>
        </w:rPr>
      </w:pPr>
      <w:r>
        <w:rPr>
          <w:rFonts w:hint="eastAsia" w:ascii="宋体" w:hAnsi="宋体"/>
          <w:b/>
          <w:bCs/>
          <w:sz w:val="24"/>
        </w:rPr>
        <w:t>2</w:t>
      </w:r>
      <w:r>
        <w:rPr>
          <w:rFonts w:hint="eastAsia" w:ascii="宋体" w:hAnsi="宋体"/>
          <w:sz w:val="24"/>
        </w:rPr>
        <w:t>、</w:t>
      </w:r>
      <w:r>
        <w:rPr>
          <w:rFonts w:ascii="宋体" w:hAnsi="宋体"/>
          <w:b/>
          <w:bCs/>
          <w:sz w:val="24"/>
        </w:rPr>
        <w:t>进一步优化政务环境</w:t>
      </w:r>
    </w:p>
    <w:p>
      <w:pPr>
        <w:adjustRightInd w:val="0"/>
        <w:snapToGrid w:val="0"/>
        <w:ind w:firstLine="480" w:firstLineChars="200"/>
        <w:rPr>
          <w:rFonts w:hint="eastAsia" w:ascii="宋体" w:hAnsi="宋体"/>
          <w:sz w:val="24"/>
        </w:rPr>
      </w:pPr>
      <w:r>
        <w:rPr>
          <w:rFonts w:hint="eastAsia" w:ascii="宋体" w:hAnsi="宋体"/>
          <w:sz w:val="24"/>
        </w:rPr>
        <w:t>牢固树立“环境就是资源，环境就是生产力”的理念，通过实施“大环境”战略，着力营造、优化、创新辖区良好的政务环境，大力</w:t>
      </w:r>
      <w:r>
        <w:rPr>
          <w:rFonts w:ascii="宋体" w:hAnsi="宋体"/>
          <w:sz w:val="24"/>
        </w:rPr>
        <w:t>推进政府审批制度改革，简化办事程序，提高行政效率，</w:t>
      </w:r>
      <w:r>
        <w:rPr>
          <w:rFonts w:hint="eastAsia" w:ascii="宋体" w:hAnsi="宋体"/>
          <w:sz w:val="24"/>
        </w:rPr>
        <w:t>切实提高政府的执政能力，努力拓展辖区经济发展的无形空间。</w:t>
      </w:r>
    </w:p>
    <w:p>
      <w:pPr>
        <w:adjustRightInd w:val="0"/>
        <w:snapToGrid w:val="0"/>
        <w:ind w:firstLine="481" w:firstLineChars="200"/>
        <w:rPr>
          <w:rFonts w:hint="eastAsia" w:ascii="宋体" w:hAnsi="宋体"/>
          <w:b/>
          <w:bCs/>
          <w:sz w:val="24"/>
        </w:rPr>
      </w:pPr>
      <w:r>
        <w:rPr>
          <w:rFonts w:hint="eastAsia" w:ascii="宋体" w:hAnsi="宋体"/>
          <w:b/>
          <w:bCs/>
          <w:sz w:val="24"/>
        </w:rPr>
        <w:t>3</w:t>
      </w:r>
      <w:r>
        <w:rPr>
          <w:rFonts w:hint="eastAsia" w:ascii="宋体" w:hAnsi="宋体"/>
          <w:sz w:val="24"/>
        </w:rPr>
        <w:t>、</w:t>
      </w:r>
      <w:r>
        <w:rPr>
          <w:rFonts w:hint="eastAsia" w:ascii="宋体" w:hAnsi="宋体"/>
          <w:b/>
          <w:bCs/>
          <w:sz w:val="24"/>
        </w:rPr>
        <w:t>进一步提高政府服务水平</w:t>
      </w:r>
    </w:p>
    <w:p>
      <w:pPr>
        <w:adjustRightInd w:val="0"/>
        <w:snapToGrid w:val="0"/>
        <w:ind w:firstLine="480" w:firstLineChars="200"/>
        <w:rPr>
          <w:rFonts w:hint="eastAsia" w:ascii="宋体" w:hAnsi="宋体"/>
          <w:sz w:val="24"/>
        </w:rPr>
      </w:pPr>
      <w:r>
        <w:rPr>
          <w:rFonts w:hint="eastAsia" w:ascii="宋体" w:hAnsi="宋体"/>
          <w:sz w:val="24"/>
        </w:rPr>
        <w:t>继续实施“大服务”战略，不断完善辖区工业管理体制和服务体系，</w:t>
      </w:r>
      <w:r>
        <w:rPr>
          <w:rFonts w:hint="eastAsia" w:ascii="宋体" w:hAnsi="宋体"/>
          <w:sz w:val="24"/>
          <w:szCs w:val="18"/>
        </w:rPr>
        <w:t>通过直通车服务、个性化服务等政府优质服务手段，加强与辖区重点工业企业的沟通、联系，及时解决企业经营中遇到的难点、热点问题，以情动人，留住和引进大企业，引导和鼓励企业增资扩股，扩大产能，保持辖区工业发展的原动力。</w:t>
      </w:r>
    </w:p>
    <w:p>
      <w:pPr>
        <w:adjustRightInd w:val="0"/>
        <w:snapToGrid w:val="0"/>
        <w:ind w:firstLine="481" w:firstLineChars="200"/>
        <w:rPr>
          <w:rFonts w:hint="eastAsia" w:ascii="宋体" w:hAnsi="宋体"/>
          <w:b/>
          <w:bCs/>
          <w:sz w:val="24"/>
        </w:rPr>
      </w:pPr>
      <w:r>
        <w:rPr>
          <w:rFonts w:hint="eastAsia" w:ascii="宋体" w:hAnsi="宋体"/>
          <w:b/>
          <w:bCs/>
          <w:sz w:val="24"/>
        </w:rPr>
        <w:t>4</w:t>
      </w:r>
      <w:r>
        <w:rPr>
          <w:rFonts w:hint="eastAsia" w:ascii="宋体" w:hAnsi="宋体"/>
          <w:sz w:val="24"/>
        </w:rPr>
        <w:t>、</w:t>
      </w:r>
      <w:r>
        <w:rPr>
          <w:rFonts w:hint="eastAsia" w:ascii="宋体" w:hAnsi="宋体"/>
          <w:b/>
          <w:bCs/>
          <w:sz w:val="24"/>
        </w:rPr>
        <w:t>大力扶持民营工业发展</w:t>
      </w:r>
    </w:p>
    <w:p>
      <w:pPr>
        <w:adjustRightInd w:val="0"/>
        <w:snapToGrid w:val="0"/>
        <w:ind w:firstLine="480" w:firstLineChars="200"/>
        <w:rPr>
          <w:rFonts w:hint="eastAsia" w:ascii="宋体" w:hAnsi="宋体"/>
          <w:sz w:val="24"/>
        </w:rPr>
      </w:pPr>
      <w:r>
        <w:rPr>
          <w:rFonts w:hint="eastAsia" w:ascii="宋体" w:hAnsi="宋体"/>
          <w:sz w:val="24"/>
        </w:rPr>
        <w:t>全面贯彻落实国家、省、市、区关于加快民营经济发展的有关文件精神，大力扶持辖区民营工业经济的发展，严格管好用好福田区中小企业专项扶持资金，提高资金使用效益，专项资金应向以研发、设计等为主的都市工业项目倾斜，进一步完善中小企业服务体系，加大民营企业服务力度，扶持民营工业做强做大，培育大型骨干民营工业企业。</w:t>
      </w:r>
    </w:p>
    <w:p>
      <w:pPr>
        <w:adjustRightInd w:val="0"/>
        <w:snapToGrid w:val="0"/>
        <w:ind w:firstLine="562" w:firstLineChars="200"/>
        <w:rPr>
          <w:rFonts w:hint="eastAsia" w:ascii="宋体" w:hAnsi="宋体"/>
          <w:b/>
          <w:bCs/>
          <w:sz w:val="28"/>
        </w:rPr>
      </w:pPr>
      <w:r>
        <w:rPr>
          <w:rFonts w:hint="eastAsia" w:ascii="宋体" w:hAnsi="宋体"/>
          <w:b/>
          <w:bCs/>
          <w:sz w:val="28"/>
        </w:rPr>
        <w:t>（二）大力推进技术改造和技术创新，提高工业产业的核心竞争力</w:t>
      </w:r>
    </w:p>
    <w:p>
      <w:pPr>
        <w:adjustRightInd w:val="0"/>
        <w:snapToGrid w:val="0"/>
        <w:ind w:firstLine="481" w:firstLineChars="200"/>
        <w:rPr>
          <w:rFonts w:hint="eastAsia" w:ascii="宋体" w:hAnsi="宋体"/>
          <w:b/>
          <w:bCs/>
          <w:sz w:val="24"/>
        </w:rPr>
      </w:pPr>
      <w:r>
        <w:rPr>
          <w:rFonts w:hint="eastAsia" w:ascii="宋体" w:hAnsi="宋体"/>
          <w:b/>
          <w:bCs/>
          <w:sz w:val="24"/>
        </w:rPr>
        <w:t>1</w:t>
      </w:r>
      <w:r>
        <w:rPr>
          <w:rFonts w:hint="eastAsia" w:ascii="宋体" w:hAnsi="宋体"/>
          <w:sz w:val="24"/>
        </w:rPr>
        <w:t>、</w:t>
      </w:r>
      <w:r>
        <w:rPr>
          <w:rFonts w:hint="eastAsia" w:ascii="宋体" w:hAnsi="宋体"/>
          <w:b/>
          <w:bCs/>
          <w:sz w:val="24"/>
        </w:rPr>
        <w:t>继续完善以企业为主体、产学研结合、覆盖全社会的区域技术创新体系</w:t>
      </w:r>
    </w:p>
    <w:p>
      <w:pPr>
        <w:adjustRightInd w:val="0"/>
        <w:snapToGrid w:val="0"/>
        <w:ind w:firstLine="480" w:firstLineChars="200"/>
        <w:rPr>
          <w:rFonts w:hint="eastAsia" w:ascii="宋体" w:hAnsi="宋体"/>
          <w:sz w:val="24"/>
        </w:rPr>
      </w:pPr>
      <w:r>
        <w:rPr>
          <w:rFonts w:hint="eastAsia" w:ascii="宋体" w:hAnsi="宋体"/>
          <w:sz w:val="24"/>
        </w:rPr>
        <w:t>在资金和政策上，加大对辖区企业开展科技创新的扶持力度，增加科技三项经费的投入，加强高新技术孵化器和公共技术平台的建设，强化知识产权和质量技术标准工作，着力培育一批拥有自主知识产权的优势企业、优势产业和产业集群，有重点地扶持发展以IT、新材料、软件等产业为主的高新技术产业和以研发、设计、服务等为主的都市工业项目，提高自主创新水平和自主知识产权保有量，</w:t>
      </w:r>
      <w:r>
        <w:rPr>
          <w:rFonts w:ascii="宋体" w:hAnsi="宋体"/>
          <w:sz w:val="24"/>
        </w:rPr>
        <w:t>增强</w:t>
      </w:r>
      <w:r>
        <w:rPr>
          <w:rFonts w:hint="eastAsia" w:ascii="宋体" w:hAnsi="宋体"/>
          <w:sz w:val="24"/>
        </w:rPr>
        <w:t>产业核心竞争力。</w:t>
      </w:r>
    </w:p>
    <w:p>
      <w:pPr>
        <w:adjustRightInd w:val="0"/>
        <w:snapToGrid w:val="0"/>
        <w:ind w:firstLine="481" w:firstLineChars="200"/>
        <w:rPr>
          <w:rFonts w:hint="eastAsia" w:ascii="宋体" w:hAnsi="宋体"/>
          <w:b/>
          <w:bCs/>
          <w:sz w:val="24"/>
        </w:rPr>
      </w:pPr>
      <w:r>
        <w:rPr>
          <w:rFonts w:hint="eastAsia" w:ascii="宋体" w:hAnsi="宋体"/>
          <w:b/>
          <w:bCs/>
          <w:sz w:val="24"/>
        </w:rPr>
        <w:t>2</w:t>
      </w:r>
      <w:r>
        <w:rPr>
          <w:rFonts w:hint="eastAsia" w:ascii="宋体" w:hAnsi="宋体"/>
          <w:sz w:val="24"/>
        </w:rPr>
        <w:t>、</w:t>
      </w:r>
      <w:r>
        <w:rPr>
          <w:rFonts w:hint="eastAsia" w:ascii="宋体" w:hAnsi="宋体"/>
          <w:b/>
          <w:bCs/>
          <w:sz w:val="24"/>
        </w:rPr>
        <w:t>创建具有福田特色的技术改造体系，推动工业技术进步</w:t>
      </w:r>
    </w:p>
    <w:p>
      <w:pPr>
        <w:adjustRightInd w:val="0"/>
        <w:snapToGrid w:val="0"/>
        <w:ind w:firstLine="480" w:firstLineChars="200"/>
        <w:rPr>
          <w:rFonts w:hint="eastAsia" w:ascii="宋体" w:hAnsi="宋体"/>
          <w:sz w:val="24"/>
        </w:rPr>
      </w:pPr>
      <w:r>
        <w:rPr>
          <w:rFonts w:hint="eastAsia" w:ascii="宋体" w:hAnsi="宋体"/>
          <w:sz w:val="24"/>
        </w:rPr>
        <w:t>建立健全区域性的技术改造扶持政策，设立福田区产业技术进步专项扶持资金，</w:t>
      </w:r>
      <w:r>
        <w:rPr>
          <w:rFonts w:hint="eastAsia" w:ascii="宋体" w:hAnsi="宋体"/>
          <w:sz w:val="24"/>
          <w:szCs w:val="18"/>
        </w:rPr>
        <w:t>按照“政府倡导，市场引导，企业主导”的方针，通过地方财政贴息、无偿资助等方式，引导企业投资实施</w:t>
      </w:r>
      <w:r>
        <w:rPr>
          <w:rFonts w:hint="eastAsia" w:ascii="宋体" w:hAnsi="宋体"/>
          <w:sz w:val="24"/>
        </w:rPr>
        <w:t>技术改造，增强</w:t>
      </w:r>
      <w:r>
        <w:rPr>
          <w:rFonts w:ascii="宋体" w:hAnsi="宋体"/>
          <w:sz w:val="24"/>
        </w:rPr>
        <w:t>工业发展后劲</w:t>
      </w:r>
      <w:r>
        <w:rPr>
          <w:rFonts w:hint="eastAsia" w:ascii="宋体" w:hAnsi="宋体"/>
          <w:sz w:val="24"/>
        </w:rPr>
        <w:t>。围绕改造提升和发展壮大传统优势产业、实施名牌带动战略、推进企业信息化以及推广节能降耗、实行清洁生产、发展循环经济等专题，突出抓好重点行业、重点企业、重点产品的技术改造工作，全面提高工业产业的信息化水平和技术装备水平，加快工业产业技术升级步伐，推进制造领域的优质高效生产和循环经济、绿色经济的发展。</w:t>
      </w:r>
    </w:p>
    <w:p>
      <w:pPr>
        <w:pStyle w:val="14"/>
        <w:adjustRightInd w:val="0"/>
        <w:snapToGrid w:val="0"/>
        <w:ind w:firstLine="562" w:firstLineChars="200"/>
        <w:rPr>
          <w:rFonts w:hint="eastAsia" w:hAnsi="宋体"/>
          <w:b/>
          <w:bCs/>
          <w:sz w:val="28"/>
        </w:rPr>
      </w:pPr>
      <w:r>
        <w:rPr>
          <w:rFonts w:hint="eastAsia" w:hAnsi="宋体"/>
          <w:b/>
          <w:bCs/>
          <w:sz w:val="28"/>
        </w:rPr>
        <w:t>（三）实施“质量兴区”战略，扶持和鼓励工业企业争创中国名牌和广东省名牌。</w:t>
      </w:r>
    </w:p>
    <w:p>
      <w:pPr>
        <w:pStyle w:val="9"/>
        <w:adjustRightInd w:val="0"/>
        <w:snapToGrid w:val="0"/>
        <w:ind w:firstLine="480" w:firstLineChars="200"/>
        <w:rPr>
          <w:rFonts w:hint="eastAsia" w:ascii="宋体" w:hAnsi="宋体" w:eastAsia="宋体"/>
          <w:sz w:val="24"/>
        </w:rPr>
      </w:pPr>
      <w:r>
        <w:rPr>
          <w:rFonts w:hint="eastAsia" w:ascii="宋体" w:hAnsi="宋体" w:eastAsia="宋体"/>
          <w:sz w:val="24"/>
        </w:rPr>
        <w:t>继续深入开展“质量兴区”活动，大力实施工业企业名牌发展战略。根据我市实施工业企业名牌发展战略的要求，以省、市、区各级政府重奖荣获“中国名牌产品”称号的工业企业为契机，积极引导和鼓励辖区工业企业实施名牌发展战略，争创国际名牌、中国名牌、广东名牌和深圳名牌，带动辖区工业由贴牌加工向自主产品品牌的高层次方向发展，提高产品竞争力。</w:t>
      </w:r>
    </w:p>
    <w:p>
      <w:pPr>
        <w:pStyle w:val="9"/>
        <w:adjustRightInd w:val="0"/>
        <w:snapToGrid w:val="0"/>
        <w:ind w:firstLine="481" w:firstLineChars="200"/>
        <w:rPr>
          <w:rFonts w:hint="eastAsia" w:ascii="宋体" w:hAnsi="宋体" w:eastAsia="宋体"/>
          <w:b/>
          <w:bCs/>
          <w:sz w:val="24"/>
        </w:rPr>
      </w:pPr>
      <w:r>
        <w:rPr>
          <w:rFonts w:hint="eastAsia" w:ascii="宋体" w:hAnsi="宋体" w:eastAsia="宋体"/>
          <w:b/>
          <w:bCs/>
          <w:sz w:val="24"/>
        </w:rPr>
        <w:t>1</w:t>
      </w:r>
      <w:r>
        <w:rPr>
          <w:rFonts w:hint="eastAsia" w:ascii="宋体" w:hAnsi="宋体" w:eastAsia="宋体"/>
          <w:sz w:val="24"/>
        </w:rPr>
        <w:t>、</w:t>
      </w:r>
      <w:r>
        <w:rPr>
          <w:rFonts w:hint="eastAsia" w:ascii="宋体" w:hAnsi="宋体" w:eastAsia="宋体"/>
          <w:b/>
          <w:bCs/>
          <w:sz w:val="24"/>
        </w:rPr>
        <w:t>充分认识新形势下实施名牌战略的重要性和紧迫性</w:t>
      </w:r>
    </w:p>
    <w:p>
      <w:pPr>
        <w:pStyle w:val="9"/>
        <w:adjustRightInd w:val="0"/>
        <w:snapToGrid w:val="0"/>
        <w:ind w:firstLine="480" w:firstLineChars="200"/>
        <w:rPr>
          <w:rFonts w:hint="eastAsia" w:ascii="宋体" w:hAnsi="宋体" w:eastAsia="宋体"/>
          <w:sz w:val="24"/>
        </w:rPr>
      </w:pPr>
      <w:r>
        <w:rPr>
          <w:rFonts w:hint="eastAsia" w:ascii="宋体" w:hAnsi="宋体" w:eastAsia="宋体"/>
          <w:sz w:val="24"/>
        </w:rPr>
        <w:t>当前世界经济的竞争，其实质是企业和产品的竞争，其核心是产品质量和品牌的竞争。因此，加快实施名牌战略，对加快我区经济社会发展，提高深圳市和福田区企业产品质量总体水平，优化社会资源配置和调整产业结构具有重要推动作用。</w:t>
      </w:r>
    </w:p>
    <w:p>
      <w:pPr>
        <w:pStyle w:val="9"/>
        <w:adjustRightInd w:val="0"/>
        <w:snapToGrid w:val="0"/>
        <w:ind w:firstLine="481" w:firstLineChars="200"/>
        <w:rPr>
          <w:rFonts w:hint="eastAsia" w:ascii="宋体" w:hAnsi="宋体" w:eastAsia="宋体"/>
          <w:b/>
          <w:bCs/>
          <w:sz w:val="24"/>
        </w:rPr>
      </w:pPr>
      <w:r>
        <w:rPr>
          <w:rFonts w:hint="eastAsia" w:ascii="宋体" w:hAnsi="宋体" w:eastAsia="宋体"/>
          <w:b/>
          <w:bCs/>
          <w:sz w:val="24"/>
        </w:rPr>
        <w:t>2</w:t>
      </w:r>
      <w:r>
        <w:rPr>
          <w:rFonts w:hint="eastAsia" w:ascii="宋体" w:hAnsi="宋体" w:eastAsia="宋体"/>
          <w:sz w:val="24"/>
        </w:rPr>
        <w:t>、</w:t>
      </w:r>
      <w:r>
        <w:rPr>
          <w:rFonts w:hint="eastAsia" w:ascii="宋体" w:hAnsi="宋体" w:eastAsia="宋体"/>
          <w:b/>
          <w:bCs/>
          <w:sz w:val="24"/>
        </w:rPr>
        <w:t>充分发挥企业的主体作用，加快名牌战略的实施</w:t>
      </w:r>
    </w:p>
    <w:p>
      <w:pPr>
        <w:adjustRightInd w:val="0"/>
        <w:snapToGrid w:val="0"/>
        <w:ind w:firstLine="480" w:firstLineChars="200"/>
        <w:rPr>
          <w:rFonts w:hint="eastAsia" w:ascii="宋体" w:hAnsi="宋体"/>
          <w:sz w:val="24"/>
        </w:rPr>
      </w:pPr>
      <w:r>
        <w:rPr>
          <w:rFonts w:hint="eastAsia" w:ascii="宋体" w:hAnsi="宋体"/>
          <w:sz w:val="24"/>
        </w:rPr>
        <w:t>企业是实施名牌战略的主体。充分认识名牌对于增强企业生存与发展能力、掌握生产经营主动权、提高产品质量和经济效益，树立企业良好形象的重要意义，依据市场状况和规律，制定争创名牌产品发展规划，并认真组织实施。</w:t>
      </w:r>
    </w:p>
    <w:p>
      <w:pPr>
        <w:adjustRightInd w:val="0"/>
        <w:snapToGrid w:val="0"/>
        <w:ind w:firstLine="480" w:firstLineChars="200"/>
        <w:rPr>
          <w:rFonts w:hint="eastAsia" w:ascii="宋体" w:hAnsi="宋体"/>
          <w:sz w:val="24"/>
        </w:rPr>
      </w:pPr>
      <w:r>
        <w:rPr>
          <w:rFonts w:hint="eastAsia" w:ascii="宋体" w:hAnsi="宋体"/>
          <w:sz w:val="24"/>
        </w:rPr>
        <w:t>牢固树立“大质量”观念。要建立研发、生产、营销及售后服务一体的质量保证体系，加强标准化、计量等基础行业管理工作，加快与国际接轨步伐，积极推行ISO9000、ISO14000等国际先进的质量、环保保证体系认证，特别是重视产品质量认证，以优质的产品和服务质量创出名牌。</w:t>
      </w:r>
    </w:p>
    <w:p>
      <w:pPr>
        <w:adjustRightInd w:val="0"/>
        <w:snapToGrid w:val="0"/>
        <w:ind w:firstLine="480" w:firstLineChars="200"/>
        <w:rPr>
          <w:rFonts w:hint="eastAsia" w:ascii="宋体" w:hAnsi="宋体"/>
          <w:sz w:val="24"/>
        </w:rPr>
      </w:pPr>
      <w:r>
        <w:rPr>
          <w:rFonts w:hint="eastAsia" w:ascii="宋体" w:hAnsi="宋体"/>
          <w:sz w:val="24"/>
        </w:rPr>
        <w:t>强化“大品牌”意识，推动品牌的延伸与扩张，实现名牌产品系列化、多元化，不断扩大名牌产品的知名度和市场占有率，要以名牌产品为核心，形成围绕名牌产品的专业化协作配套体系，培植和带动一批为名牌产品协作配套进行专业化生产的中小企业的发展和壮大。</w:t>
      </w:r>
    </w:p>
    <w:p>
      <w:pPr>
        <w:adjustRightInd w:val="0"/>
        <w:snapToGrid w:val="0"/>
        <w:ind w:firstLine="481" w:firstLineChars="200"/>
        <w:rPr>
          <w:rFonts w:hint="eastAsia" w:ascii="宋体" w:hAnsi="宋体"/>
          <w:b/>
          <w:bCs/>
          <w:sz w:val="24"/>
        </w:rPr>
      </w:pPr>
      <w:r>
        <w:rPr>
          <w:rFonts w:hint="eastAsia" w:ascii="宋体" w:hAnsi="宋体"/>
          <w:b/>
          <w:bCs/>
          <w:sz w:val="24"/>
        </w:rPr>
        <w:t>3</w:t>
      </w:r>
      <w:r>
        <w:rPr>
          <w:rFonts w:hint="eastAsia" w:ascii="宋体" w:hAnsi="宋体"/>
          <w:sz w:val="24"/>
        </w:rPr>
        <w:t>、</w:t>
      </w:r>
      <w:r>
        <w:rPr>
          <w:rFonts w:hint="eastAsia" w:ascii="宋体" w:hAnsi="宋体"/>
          <w:b/>
          <w:bCs/>
          <w:sz w:val="24"/>
        </w:rPr>
        <w:t>建立和完善实施名牌战略的服务保障体系</w:t>
      </w:r>
    </w:p>
    <w:p>
      <w:pPr>
        <w:adjustRightInd w:val="0"/>
        <w:snapToGrid w:val="0"/>
        <w:ind w:firstLine="480" w:firstLineChars="200"/>
        <w:rPr>
          <w:rFonts w:hint="eastAsia" w:ascii="宋体" w:hAnsi="宋体"/>
          <w:sz w:val="24"/>
        </w:rPr>
      </w:pPr>
      <w:r>
        <w:rPr>
          <w:rFonts w:hint="eastAsia" w:ascii="宋体" w:hAnsi="宋体"/>
          <w:sz w:val="24"/>
        </w:rPr>
        <w:t>根据国家和省、市有关产业政策和技术经济政策，我区制定了一系列支持企业实施名牌战略的扶持措施，积极支持和协助工业等行业协会推动企业实施名牌战略，区科技三项经费、外贸出口发展资金、中小企业扶持资金、产业技术进步资金等政府扶持资金向实施名牌战略的企业倾斜，加大对创名牌企业的支持力度，用好和用活各种专项资金，创造良好的社会和经济效益。同时，充分发挥舆论导向作用，切实加强实施名牌战略、创名牌产品活动的宣传报道，多渠道、多形式的宣传我区中国名牌产品和中国驰名商标等，提高名牌产品及企业的知名度，形成宣传名牌、保护名牌、发展名牌的良好氛围。</w:t>
      </w:r>
    </w:p>
    <w:p>
      <w:pPr>
        <w:adjustRightInd w:val="0"/>
        <w:snapToGrid w:val="0"/>
        <w:ind w:firstLine="562" w:firstLineChars="200"/>
        <w:rPr>
          <w:rFonts w:hint="eastAsia" w:ascii="宋体" w:hAnsi="宋体"/>
          <w:b/>
          <w:bCs/>
          <w:sz w:val="28"/>
        </w:rPr>
      </w:pPr>
      <w:r>
        <w:rPr>
          <w:rFonts w:hint="eastAsia" w:ascii="宋体" w:hAnsi="宋体"/>
          <w:b/>
          <w:bCs/>
          <w:sz w:val="28"/>
        </w:rPr>
        <w:t>（四）培育一批大型企业和企业集团</w:t>
      </w:r>
    </w:p>
    <w:p>
      <w:pPr>
        <w:pStyle w:val="6"/>
        <w:adjustRightInd w:val="0"/>
        <w:snapToGrid w:val="0"/>
        <w:ind w:firstLine="480" w:firstLineChars="200"/>
        <w:rPr>
          <w:rFonts w:hint="eastAsia" w:ascii="宋体" w:hAnsi="宋体"/>
          <w:sz w:val="24"/>
        </w:rPr>
      </w:pPr>
      <w:r>
        <w:rPr>
          <w:rFonts w:hint="eastAsia" w:ascii="宋体" w:hAnsi="宋体"/>
          <w:sz w:val="24"/>
        </w:rPr>
        <w:t>重点选择一批符合福田产业特点，具有较好发展前景和市场竞争力，主业突出的大型企业和企业集团，加大扶持力度，促使其尽快发展。重点鼓励有竞争力的大型企业和企业集团进行跨国经营，如服装、工艺品、珠宝等传统优势产业，可到境外建立营销网络，开展加工贸易，向外转移成熟技术和劳动密集型产业。鼓励国内外优势大企业、大集团到福田落户，争取引进拥有核心技术和知名品牌的大企业，从而吸引一批上、下游的配套企业，提高福田工业的综合实力和发展后劲。</w:t>
      </w:r>
    </w:p>
    <w:p>
      <w:pPr>
        <w:adjustRightInd w:val="0"/>
        <w:snapToGrid w:val="0"/>
        <w:ind w:firstLine="562" w:firstLineChars="200"/>
        <w:rPr>
          <w:rFonts w:hint="eastAsia" w:ascii="宋体" w:hAnsi="宋体"/>
          <w:b/>
          <w:bCs/>
          <w:sz w:val="28"/>
        </w:rPr>
      </w:pPr>
      <w:r>
        <w:rPr>
          <w:rFonts w:hint="eastAsia" w:ascii="宋体" w:hAnsi="宋体"/>
          <w:b/>
          <w:bCs/>
          <w:sz w:val="28"/>
        </w:rPr>
        <w:t>（五）高度</w:t>
      </w:r>
      <w:r>
        <w:rPr>
          <w:rFonts w:ascii="宋体" w:hAnsi="宋体"/>
          <w:b/>
          <w:bCs/>
          <w:sz w:val="28"/>
        </w:rPr>
        <w:t>重视资源的节约和综合利用</w:t>
      </w:r>
      <w:r>
        <w:rPr>
          <w:rFonts w:hint="eastAsia" w:ascii="宋体" w:hAnsi="宋体"/>
          <w:b/>
          <w:bCs/>
          <w:sz w:val="28"/>
        </w:rPr>
        <w:t>，</w:t>
      </w:r>
      <w:r>
        <w:rPr>
          <w:rFonts w:ascii="宋体" w:hAnsi="宋体"/>
          <w:b/>
          <w:bCs/>
          <w:sz w:val="28"/>
        </w:rPr>
        <w:t>走可持续发展道路</w:t>
      </w:r>
    </w:p>
    <w:p>
      <w:pPr>
        <w:pStyle w:val="9"/>
        <w:adjustRightInd w:val="0"/>
        <w:snapToGrid w:val="0"/>
        <w:ind w:firstLine="480" w:firstLineChars="200"/>
        <w:rPr>
          <w:rFonts w:hint="eastAsia" w:ascii="宋体" w:hAnsi="宋体" w:eastAsia="宋体"/>
        </w:rPr>
      </w:pPr>
      <w:r>
        <w:rPr>
          <w:rFonts w:ascii="宋体" w:hAnsi="宋体" w:eastAsia="宋体"/>
          <w:sz w:val="24"/>
        </w:rPr>
        <w:t>进一步强化企业的可持续发展观念，加强污染防治，</w:t>
      </w:r>
      <w:r>
        <w:rPr>
          <w:rFonts w:hint="eastAsia" w:ascii="宋体" w:hAnsi="宋体" w:eastAsia="宋体"/>
          <w:sz w:val="24"/>
        </w:rPr>
        <w:t>推广节能降耗</w:t>
      </w:r>
      <w:r>
        <w:rPr>
          <w:rFonts w:ascii="宋体" w:hAnsi="宋体" w:eastAsia="宋体"/>
          <w:sz w:val="24"/>
        </w:rPr>
        <w:t>技术</w:t>
      </w:r>
      <w:r>
        <w:rPr>
          <w:rFonts w:hint="eastAsia" w:ascii="宋体" w:hAnsi="宋体" w:eastAsia="宋体"/>
          <w:sz w:val="24"/>
        </w:rPr>
        <w:t>，实行清洁生产，发展循环经济，</w:t>
      </w:r>
      <w:r>
        <w:rPr>
          <w:rFonts w:ascii="宋体" w:hAnsi="宋体" w:eastAsia="宋体"/>
          <w:sz w:val="24"/>
        </w:rPr>
        <w:t>促进可持续发展。吸取发达国家和沿海地区的经验教训，避免先污染后治理，努力走出一条资源消耗低、环境污染少的新型工业化道路。</w:t>
      </w:r>
      <w:r>
        <w:rPr>
          <w:rFonts w:hint="eastAsia" w:ascii="宋体" w:hAnsi="宋体" w:eastAsia="宋体"/>
          <w:sz w:val="24"/>
        </w:rPr>
        <w:t>加强清洁生产，</w:t>
      </w:r>
      <w:r>
        <w:rPr>
          <w:rFonts w:ascii="宋体" w:hAnsi="宋体" w:eastAsia="宋体"/>
          <w:sz w:val="24"/>
        </w:rPr>
        <w:t>进一步加强污染治理</w:t>
      </w:r>
      <w:r>
        <w:rPr>
          <w:rFonts w:hint="eastAsia" w:ascii="宋体" w:hAnsi="宋体" w:eastAsia="宋体"/>
          <w:sz w:val="24"/>
        </w:rPr>
        <w:t>；</w:t>
      </w:r>
      <w:r>
        <w:rPr>
          <w:rFonts w:ascii="宋体" w:hAnsi="宋体" w:eastAsia="宋体"/>
          <w:sz w:val="24"/>
        </w:rPr>
        <w:t>大力发展循环经济，</w:t>
      </w:r>
      <w:r>
        <w:rPr>
          <w:rFonts w:hint="eastAsia" w:ascii="宋体" w:hAnsi="宋体" w:eastAsia="宋体"/>
          <w:sz w:val="24"/>
        </w:rPr>
        <w:t>建立循环经济发展的流程体系，加强产业链建设，建立工业生态园的共生体系，根据产品生命周期分析和环境标志产品要求来开发和生产低能耗、低污染、可循环利用和安全处置的产品，实现可持续发展和零污染排放；引导公众消费绿色产品；实施严格的生产企业准入制度，限制高污染的生产企业进驻中心城区；支持节能、环保处理等技术的开发企业，在研发和市场推广方面给予扶持。</w:t>
      </w:r>
    </w:p>
    <w:p>
      <w:pPr>
        <w:pStyle w:val="14"/>
        <w:adjustRightInd w:val="0"/>
        <w:snapToGrid w:val="0"/>
        <w:ind w:firstLine="480" w:firstLineChars="200"/>
        <w:rPr>
          <w:rFonts w:hint="eastAsia" w:hAnsi="宋体"/>
          <w:sz w:val="24"/>
        </w:rPr>
      </w:pPr>
    </w:p>
    <w:p>
      <w:pPr>
        <w:rPr>
          <w:rFonts w:hint="eastAsia"/>
        </w:rPr>
      </w:pPr>
    </w:p>
    <w:sectPr>
      <w:footerReference r:id="rId3" w:type="default"/>
      <w:footerReference r:id="rId4" w:type="even"/>
      <w:pgSz w:w="11906" w:h="16838"/>
      <w:pgMar w:top="1440" w:right="1588" w:bottom="1440" w:left="1701" w:header="851" w:footer="992"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lang/>
      </w:rPr>
      <w:t>16</w:t>
    </w:r>
    <w:r>
      <w:rPr>
        <w:rStyle w:val="3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50"/>
    <w:rsid w:val="00047F02"/>
    <w:rsid w:val="002246E2"/>
    <w:rsid w:val="002A0636"/>
    <w:rsid w:val="002A6569"/>
    <w:rsid w:val="003F6773"/>
    <w:rsid w:val="00440CF2"/>
    <w:rsid w:val="006C0F47"/>
    <w:rsid w:val="009630E0"/>
    <w:rsid w:val="009C4593"/>
    <w:rsid w:val="00B777E1"/>
    <w:rsid w:val="00E57BDA"/>
    <w:rsid w:val="00E62850"/>
    <w:rsid w:val="00EA7455"/>
    <w:rsid w:val="53FBC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after="330" w:line="578" w:lineRule="auto"/>
      <w:jc w:val="center"/>
      <w:outlineLvl w:val="0"/>
    </w:pPr>
    <w:rPr>
      <w:b/>
      <w:bCs/>
      <w:kern w:val="44"/>
      <w:sz w:val="44"/>
      <w:szCs w:val="44"/>
    </w:rPr>
  </w:style>
  <w:style w:type="paragraph" w:styleId="3">
    <w:name w:val="heading 2"/>
    <w:basedOn w:val="1"/>
    <w:next w:val="1"/>
    <w:uiPriority w:val="0"/>
    <w:pPr>
      <w:keepNext/>
      <w:keepLines/>
      <w:ind w:firstLine="593" w:firstLineChars="197"/>
      <w:outlineLvl w:val="1"/>
    </w:pPr>
    <w:rPr>
      <w:rFonts w:ascii="宋体" w:hAnsi="宋体"/>
      <w:b/>
      <w:sz w:val="30"/>
    </w:rPr>
  </w:style>
  <w:style w:type="paragraph" w:styleId="4">
    <w:name w:val="heading 3"/>
    <w:basedOn w:val="1"/>
    <w:next w:val="1"/>
    <w:uiPriority w:val="0"/>
    <w:pPr>
      <w:spacing w:before="156" w:beforeLines="50" w:after="156" w:afterLines="50" w:line="360" w:lineRule="auto"/>
      <w:ind w:firstLine="490" w:firstLineChars="204"/>
      <w:outlineLvl w:val="2"/>
    </w:pPr>
    <w:rPr>
      <w:rFonts w:ascii="宋体" w:hAnsi="宋体"/>
      <w:b/>
      <w:sz w:val="24"/>
      <w:lang/>
    </w:rPr>
  </w:style>
  <w:style w:type="character" w:default="1" w:styleId="30">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trPr>
      <w:wBefore w:w="0" w:type="dxa"/>
    </w:trPr>
  </w:style>
  <w:style w:type="paragraph" w:styleId="5">
    <w:name w:val="toc 7"/>
    <w:basedOn w:val="1"/>
    <w:next w:val="1"/>
    <w:semiHidden/>
    <w:uiPriority w:val="0"/>
    <w:pPr>
      <w:ind w:left="1260"/>
      <w:jc w:val="left"/>
    </w:pPr>
    <w:rPr>
      <w:szCs w:val="21"/>
    </w:rPr>
  </w:style>
  <w:style w:type="paragraph" w:styleId="6">
    <w:name w:val="Normal Indent"/>
    <w:basedOn w:val="1"/>
    <w:uiPriority w:val="0"/>
    <w:pPr>
      <w:ind w:firstLine="420"/>
    </w:pPr>
    <w:rPr>
      <w:szCs w:val="20"/>
    </w:rPr>
  </w:style>
  <w:style w:type="paragraph" w:styleId="7">
    <w:name w:val="Body Text 3"/>
    <w:basedOn w:val="1"/>
    <w:uiPriority w:val="0"/>
    <w:rPr>
      <w:b/>
      <w:bCs/>
      <w:sz w:val="28"/>
    </w:rPr>
  </w:style>
  <w:style w:type="paragraph" w:styleId="8">
    <w:name w:val="Body Text"/>
    <w:basedOn w:val="1"/>
    <w:uiPriority w:val="0"/>
    <w:pPr>
      <w:spacing w:before="156" w:beforeLines="50" w:after="156" w:afterLines="50" w:line="360" w:lineRule="auto"/>
    </w:pPr>
    <w:rPr>
      <w:rFonts w:ascii="宋体" w:hAnsi="宋体"/>
      <w:sz w:val="24"/>
    </w:rPr>
  </w:style>
  <w:style w:type="paragraph" w:styleId="9">
    <w:name w:val="Body Text Indent"/>
    <w:basedOn w:val="1"/>
    <w:uiPriority w:val="0"/>
    <w:pPr>
      <w:ind w:firstLine="658"/>
    </w:pPr>
    <w:rPr>
      <w:rFonts w:eastAsia="仿宋_GB2312"/>
      <w:szCs w:val="20"/>
    </w:rPr>
  </w:style>
  <w:style w:type="paragraph" w:styleId="10">
    <w:name w:val="toc 5"/>
    <w:basedOn w:val="1"/>
    <w:next w:val="1"/>
    <w:semiHidden/>
    <w:uiPriority w:val="0"/>
    <w:pPr>
      <w:ind w:left="840"/>
      <w:jc w:val="left"/>
    </w:pPr>
    <w:rPr>
      <w:szCs w:val="21"/>
    </w:rPr>
  </w:style>
  <w:style w:type="paragraph" w:styleId="11">
    <w:name w:val="toc 3"/>
    <w:basedOn w:val="1"/>
    <w:next w:val="1"/>
    <w:semiHidden/>
    <w:uiPriority w:val="0"/>
    <w:pPr>
      <w:ind w:left="420"/>
      <w:jc w:val="left"/>
    </w:pPr>
    <w:rPr>
      <w:i/>
      <w:iCs/>
    </w:rPr>
  </w:style>
  <w:style w:type="paragraph" w:styleId="12">
    <w:name w:val="Plain Text"/>
    <w:basedOn w:val="1"/>
    <w:uiPriority w:val="0"/>
    <w:rPr>
      <w:rFonts w:ascii="宋体" w:hAnsi="Courier New" w:cs="Courier New"/>
      <w:szCs w:val="21"/>
    </w:rPr>
  </w:style>
  <w:style w:type="paragraph" w:styleId="13">
    <w:name w:val="toc 8"/>
    <w:basedOn w:val="1"/>
    <w:next w:val="1"/>
    <w:semiHidden/>
    <w:uiPriority w:val="0"/>
    <w:pPr>
      <w:ind w:left="1470"/>
      <w:jc w:val="left"/>
    </w:pPr>
    <w:rPr>
      <w:szCs w:val="21"/>
    </w:rPr>
  </w:style>
  <w:style w:type="paragraph" w:styleId="14">
    <w:name w:val="Body Text Indent 2"/>
    <w:basedOn w:val="1"/>
    <w:uiPriority w:val="0"/>
    <w:pPr>
      <w:ind w:firstLine="658"/>
    </w:pPr>
    <w:rPr>
      <w:rFonts w:ascii="宋体"/>
      <w:sz w:val="30"/>
      <w:szCs w:val="20"/>
    </w:r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iPriority w:val="0"/>
    <w:pPr>
      <w:tabs>
        <w:tab w:val="right" w:leader="dot" w:pos="8834"/>
      </w:tabs>
      <w:adjustRightInd w:val="0"/>
      <w:snapToGrid w:val="0"/>
      <w:jc w:val="center"/>
    </w:pPr>
    <w:rPr>
      <w:rFonts w:ascii="宋体" w:hAnsi="宋体"/>
      <w:b/>
      <w:bCs/>
      <w:caps/>
      <w:sz w:val="44"/>
    </w:rPr>
  </w:style>
  <w:style w:type="paragraph" w:styleId="19">
    <w:name w:val="toc 4"/>
    <w:basedOn w:val="1"/>
    <w:next w:val="1"/>
    <w:semiHidden/>
    <w:uiPriority w:val="0"/>
    <w:pPr>
      <w:ind w:left="630"/>
      <w:jc w:val="left"/>
    </w:pPr>
    <w:rPr>
      <w:szCs w:val="21"/>
    </w:rPr>
  </w:style>
  <w:style w:type="paragraph" w:styleId="20">
    <w:name w:val="footnote text"/>
    <w:basedOn w:val="1"/>
    <w:semiHidden/>
    <w:uiPriority w:val="0"/>
    <w:pPr>
      <w:snapToGrid w:val="0"/>
      <w:jc w:val="left"/>
    </w:pPr>
    <w:rPr>
      <w:sz w:val="18"/>
      <w:szCs w:val="18"/>
    </w:rPr>
  </w:style>
  <w:style w:type="paragraph" w:styleId="21">
    <w:name w:val="toc 6"/>
    <w:basedOn w:val="1"/>
    <w:next w:val="1"/>
    <w:semiHidden/>
    <w:uiPriority w:val="0"/>
    <w:pPr>
      <w:ind w:left="1050"/>
      <w:jc w:val="left"/>
    </w:pPr>
    <w:rPr>
      <w:szCs w:val="21"/>
    </w:rPr>
  </w:style>
  <w:style w:type="paragraph" w:styleId="22">
    <w:name w:val="Body Text Indent 3"/>
    <w:basedOn w:val="1"/>
    <w:uiPriority w:val="0"/>
    <w:pPr>
      <w:spacing w:line="360" w:lineRule="auto"/>
      <w:ind w:firstLine="480" w:firstLineChars="200"/>
    </w:pPr>
    <w:rPr>
      <w:sz w:val="24"/>
    </w:rPr>
  </w:style>
  <w:style w:type="paragraph" w:styleId="23">
    <w:name w:val="toc 2"/>
    <w:basedOn w:val="1"/>
    <w:next w:val="1"/>
    <w:semiHidden/>
    <w:uiPriority w:val="0"/>
    <w:pPr>
      <w:ind w:left="210"/>
      <w:jc w:val="left"/>
    </w:pPr>
    <w:rPr>
      <w:smallCaps/>
    </w:rPr>
  </w:style>
  <w:style w:type="paragraph" w:styleId="24">
    <w:name w:val="toc 9"/>
    <w:basedOn w:val="1"/>
    <w:next w:val="1"/>
    <w:semiHidden/>
    <w:uiPriority w:val="0"/>
    <w:pPr>
      <w:ind w:left="1680"/>
      <w:jc w:val="left"/>
    </w:pPr>
    <w:rPr>
      <w:szCs w:val="21"/>
    </w:rPr>
  </w:style>
  <w:style w:type="paragraph" w:styleId="25">
    <w:name w:val="Body Text 2"/>
    <w:basedOn w:val="1"/>
    <w:uiPriority w:val="0"/>
    <w:rPr>
      <w:rFonts w:ascii="仿宋_GB2312" w:eastAsia="仿宋_GB2312"/>
      <w:sz w:val="30"/>
    </w:rPr>
  </w:style>
  <w:style w:type="paragraph" w:styleId="2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1"/>
    </w:rPr>
  </w:style>
  <w:style w:type="paragraph" w:styleId="27">
    <w:name w:val="Normal (Web)"/>
    <w:basedOn w:val="1"/>
    <w:uiPriority w:val="0"/>
    <w:pPr>
      <w:widowControl/>
      <w:spacing w:before="100" w:after="100"/>
      <w:jc w:val="left"/>
    </w:pPr>
    <w:rPr>
      <w:rFonts w:ascii="宋体" w:hAnsi="宋体"/>
      <w:kern w:val="0"/>
      <w:sz w:val="24"/>
    </w:rPr>
  </w:style>
  <w:style w:type="paragraph" w:styleId="28">
    <w:name w:val="index 1"/>
    <w:basedOn w:val="1"/>
    <w:next w:val="1"/>
    <w:semiHidden/>
    <w:uiPriority w:val="0"/>
  </w:style>
  <w:style w:type="character" w:styleId="31">
    <w:name w:val="page number"/>
    <w:basedOn w:val="30"/>
    <w:uiPriority w:val="0"/>
  </w:style>
  <w:style w:type="character" w:styleId="32">
    <w:name w:val="FollowedHyperlink"/>
    <w:basedOn w:val="30"/>
    <w:uiPriority w:val="0"/>
    <w:rPr>
      <w:color w:val="800080"/>
      <w:u w:val="single"/>
    </w:rPr>
  </w:style>
  <w:style w:type="character" w:styleId="33">
    <w:name w:val="Hyperlink"/>
    <w:basedOn w:val="30"/>
    <w:uiPriority w:val="0"/>
    <w:rPr>
      <w:color w:val="0000FF"/>
      <w:u w:val="single"/>
    </w:rPr>
  </w:style>
  <w:style w:type="character" w:styleId="34">
    <w:name w:val="footnote reference"/>
    <w:basedOn w:val="30"/>
    <w:semiHidden/>
    <w:uiPriority w:val="0"/>
    <w:rPr>
      <w:vertAlign w:val="superscript"/>
    </w:rPr>
  </w:style>
  <w:style w:type="character" w:customStyle="1" w:styleId="35">
    <w:name w:val="title1"/>
    <w:basedOn w:val="30"/>
    <w:uiPriority w:val="0"/>
    <w:rPr>
      <w:rFonts w:hint="default" w:ascii="_x000B__x000C_" w:hAnsi="_x000B__x000C_"/>
      <w:b/>
      <w:bCs/>
      <w:color w:val="103667"/>
      <w:sz w:val="36"/>
      <w:szCs w:val="36"/>
    </w:rPr>
  </w:style>
  <w:style w:type="paragraph" w:customStyle="1" w:styleId="36">
    <w:name w:val="样式4"/>
    <w:basedOn w:val="1"/>
    <w:uiPriority w:val="0"/>
    <w:pPr>
      <w:ind w:firstLine="560" w:firstLineChars="200"/>
    </w:pPr>
    <w:rPr>
      <w:rFonts w:ascii="楷体_GB2312" w:eastAsia="楷体_GB2312"/>
      <w:sz w:val="28"/>
      <w:szCs w:val="21"/>
    </w:rPr>
  </w:style>
  <w:style w:type="paragraph" w:customStyle="1" w:styleId="37">
    <w:name w:val="样式1"/>
    <w:basedOn w:val="1"/>
    <w:uiPriority w:val="0"/>
    <w:pPr>
      <w:ind w:firstLine="560" w:firstLineChars="200"/>
    </w:pPr>
    <w:rPr>
      <w:rFonts w:ascii="楷体_GB2312" w:eastAsia="楷体_GB2312"/>
      <w:color w:val="FF6600"/>
      <w:sz w:val="28"/>
    </w:rPr>
  </w:style>
  <w:style w:type="paragraph" w:customStyle="1" w:styleId="38">
    <w:name w:val="a"/>
    <w:basedOn w:val="1"/>
    <w:uiPriority w:val="0"/>
    <w:pPr>
      <w:widowControl/>
      <w:spacing w:before="100" w:beforeAutospacing="1" w:after="100" w:afterAutospacing="1"/>
      <w:jc w:val="left"/>
    </w:pPr>
    <w:rPr>
      <w:rFonts w:ascii="宋体" w:hAnsi="宋体"/>
      <w:kern w:val="0"/>
      <w:sz w:val="24"/>
    </w:rPr>
  </w:style>
  <w:style w:type="character" w:customStyle="1" w:styleId="39">
    <w:name w:val="text_201"/>
    <w:basedOn w:val="30"/>
    <w:uiPriority w:val="0"/>
    <w:rPr>
      <w:sz w:val="18"/>
      <w:szCs w:val="18"/>
      <w:u w:val="none"/>
    </w:rPr>
  </w:style>
  <w:style w:type="paragraph" w:customStyle="1" w:styleId="40">
    <w:name w:val="主段1"/>
    <w:basedOn w:val="1"/>
    <w:uiPriority w:val="0"/>
    <w:pPr>
      <w:spacing w:before="20" w:line="380" w:lineRule="atLeast"/>
      <w:ind w:right="210"/>
    </w:pPr>
    <w:rPr>
      <w:rFonts w:ascii="宋体"/>
      <w:kern w:val="4"/>
      <w:sz w:val="24"/>
      <w:szCs w:val="20"/>
    </w:rPr>
  </w:style>
  <w:style w:type="character" w:customStyle="1" w:styleId="41">
    <w:name w:val="标题 3 Char Char Char Char Char Char Char Char Char Char Char Char Char Char Char Char Char Char Char Char Char Char Char Char Char Char Char Char Char Char Char Char Char Char Char Char Char Char"/>
    <w:basedOn w:val="30"/>
    <w:uiPriority w:val="0"/>
    <w:rPr>
      <w:rFonts w:eastAsia="宋体"/>
      <w:b/>
      <w:bCs/>
      <w:kern w:val="2"/>
      <w:sz w:val="32"/>
      <w:szCs w:val="32"/>
      <w:lang w:val="en-US" w:eastAsia="zh-CN" w:bidi="ar-SA"/>
    </w:rPr>
  </w:style>
  <w:style w:type="character" w:customStyle="1" w:styleId="42">
    <w:name w:val="content-blue1"/>
    <w:basedOn w:val="30"/>
    <w:uiPriority w:val="0"/>
    <w:rPr>
      <w:rFonts w:hint="default" w:ascii="_x000B__x000C_" w:hAnsi="_x000B__x000C_"/>
      <w:color w:val="3313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雪城哀怜</Company>
  <Pages>1</Pages>
  <Words>2632</Words>
  <Characters>15007</Characters>
  <Lines>125</Lines>
  <Paragraphs>35</Paragraphs>
  <TotalTime>0</TotalTime>
  <ScaleCrop>false</ScaleCrop>
  <LinksUpToDate>false</LinksUpToDate>
  <CharactersWithSpaces>17604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2011-08-18T16:58:00Z</dcterms:created>
  <dc:creator>庞勤</dc:creator>
  <cp:lastModifiedBy>admin-pc</cp:lastModifiedBy>
  <cp:lastPrinted>2006-06-06T11:43:00Z</cp:lastPrinted>
  <dcterms:modified xsi:type="dcterms:W3CDTF">2024-09-13T11:10:50Z</dcterms:modified>
  <dc:title>福田区第十一个五年专项规划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9DB0E4197A58272B3AADE366E772E6B4</vt:lpwstr>
  </property>
</Properties>
</file>