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jc w:val="center"/>
        <w:textAlignment w:val="auto"/>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lang w:val="en-US" w:eastAsia="zh-CN" w:bidi="ar"/>
          <w14:textFill>
            <w14:solidFill>
              <w14:schemeClr w14:val="tx1"/>
            </w14:solidFill>
          </w14:textFill>
        </w:rPr>
      </w:pPr>
      <w:r>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lang w:val="en-US" w:eastAsia="zh-CN" w:bidi="ar"/>
          <w14:textFill>
            <w14:solidFill>
              <w14:schemeClr w14:val="tx1"/>
            </w14:solidFill>
          </w14:textFill>
        </w:rPr>
        <w:t>莲花街道“关爱明天，普法先行”青少年法治宣传教育</w:t>
      </w:r>
      <w:bookmarkStart w:id="0" w:name="_GoBack"/>
      <w:bookmarkEnd w:id="0"/>
      <w:r>
        <w:rPr>
          <w:rFonts w:hint="eastAsia" w:ascii="方正小标宋简体" w:hAnsi="方正小标宋简体" w:eastAsia="方正小标宋简体" w:cs="方正小标宋简体"/>
          <w:i w:val="0"/>
          <w:iCs w:val="0"/>
          <w:caps w:val="0"/>
          <w:color w:val="000000" w:themeColor="text1"/>
          <w:spacing w:val="0"/>
          <w:kern w:val="0"/>
          <w:sz w:val="44"/>
          <w:szCs w:val="44"/>
          <w:shd w:val="clear" w:fill="FFFFFF"/>
          <w:lang w:val="en-US" w:eastAsia="zh-CN" w:bidi="ar"/>
          <w14:textFill>
            <w14:solidFill>
              <w14:schemeClr w14:val="tx1"/>
            </w14:solidFill>
          </w14:textFill>
        </w:rPr>
        <w:t>工作实施方案（征求意见稿）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为深入学习宣传贯彻习近平法治思想</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认真贯彻习近平总书记有关加强未成年人法治教育的重要论述精神。全面贯彻法治宣传教育的第八个五年规划要求，着力提升本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街道</w:t>
      </w:r>
      <w:r>
        <w:rPr>
          <w:rFonts w:hint="eastAsia" w:ascii="仿宋_GB2312" w:hAnsi="仿宋_GB2312" w:eastAsia="仿宋_GB2312" w:cs="仿宋_GB2312"/>
          <w:color w:val="000000" w:themeColor="text1"/>
          <w:sz w:val="32"/>
          <w:szCs w:val="32"/>
          <w14:textFill>
            <w14:solidFill>
              <w14:schemeClr w14:val="tx1"/>
            </w14:solidFill>
          </w14:textFill>
        </w:rPr>
        <w:t>学校学生及青少年的法治素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养</w:t>
      </w:r>
      <w:r>
        <w:rPr>
          <w:rFonts w:hint="eastAsia" w:ascii="仿宋_GB2312" w:hAnsi="仿宋_GB2312" w:eastAsia="仿宋_GB2312" w:cs="仿宋_GB2312"/>
          <w:color w:val="000000" w:themeColor="text1"/>
          <w:sz w:val="32"/>
          <w:szCs w:val="32"/>
          <w14:textFill>
            <w14:solidFill>
              <w14:schemeClr w14:val="tx1"/>
            </w14:solidFill>
          </w14:textFill>
        </w:rPr>
        <w:t>，强化其法治意识，有效预防和减少青少年违法犯罪行为，营造和谐稳定</w:t>
      </w:r>
      <w:r>
        <w:rPr>
          <w:rFonts w:hint="eastAsia" w:ascii="仿宋_GB2312" w:hAnsi="仿宋_GB2312" w:eastAsia="仿宋_GB2312" w:cs="仿宋_GB2312"/>
          <w:color w:val="000000" w:themeColor="text1"/>
          <w:sz w:val="32"/>
          <w:szCs w:val="32"/>
          <w:lang w:eastAsia="zh-CN"/>
          <w14:textFill>
            <w14:solidFill>
              <w14:schemeClr w14:val="tx1"/>
            </w14:solidFill>
          </w14:textFill>
        </w:rPr>
        <w:t>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法治</w:t>
      </w:r>
      <w:r>
        <w:rPr>
          <w:rFonts w:hint="eastAsia" w:ascii="仿宋_GB2312" w:hAnsi="仿宋_GB2312" w:eastAsia="仿宋_GB2312" w:cs="仿宋_GB2312"/>
          <w:color w:val="000000" w:themeColor="text1"/>
          <w:sz w:val="32"/>
          <w:szCs w:val="32"/>
          <w14:textFill>
            <w14:solidFill>
              <w14:schemeClr w14:val="tx1"/>
            </w14:solidFill>
          </w14:textFill>
        </w:rPr>
        <w:t>环境，特此制定本实施方案。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一、指导思想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以习近平新时代中国特色社会主义思想为指导，全面贯彻党的二十大精神，深入学习贯彻习近平法治思想，认真实施 “八五”普法计划，全面贯彻中办、国办《关于加强新时代关心下一代工作委员会工作的意见》，以持续提升青少年法治素养为重点, 不断深化青少年法治宣传教育，培养青少年法治信仰，努力使青少年成为社会主义法治的忠实崇尚者、自觉遵守者、坚定捍卫者，为加快构建平安莲花、和谐莲花创造良好的法治环境。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pPr>
      <w:r>
        <w:rPr>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t>二、活动时间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Style w:val="8"/>
          <w:rFonts w:hint="eastAsia" w:ascii="仿宋_GB2312" w:hAnsi="仿宋_GB2312" w:eastAsia="仿宋_GB2312" w:cs="仿宋_GB2312"/>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shd w:val="clear" w:color="auto" w:fill="auto"/>
          <w:lang w:val="en-US" w:eastAsia="zh-CN" w:bidi="ar-SA"/>
          <w14:textFill>
            <w14:solidFill>
              <w14:schemeClr w14:val="tx1"/>
            </w14:solidFill>
          </w14:textFill>
        </w:rPr>
        <w:t>2024年1</w:t>
      </w:r>
      <w:r>
        <w:rPr>
          <w:rFonts w:hint="default" w:ascii="仿宋_GB2312" w:hAnsi="仿宋_GB2312" w:eastAsia="仿宋_GB2312" w:cs="仿宋_GB2312"/>
          <w:b w:val="0"/>
          <w:bCs w:val="0"/>
          <w:color w:val="000000" w:themeColor="text1"/>
          <w:kern w:val="2"/>
          <w:sz w:val="32"/>
          <w:szCs w:val="32"/>
          <w:shd w:val="clear" w:color="auto" w:fill="auto"/>
          <w:lang w:val="en-US" w:eastAsia="zh-CN" w:bidi="ar-SA"/>
          <w14:textFill>
            <w14:solidFill>
              <w14:schemeClr w14:val="tx1"/>
            </w14:solidFill>
          </w14:textFill>
        </w:rPr>
        <w:t>1</w:t>
      </w:r>
      <w:r>
        <w:rPr>
          <w:rFonts w:hint="eastAsia" w:ascii="仿宋_GB2312" w:hAnsi="仿宋_GB2312" w:eastAsia="仿宋_GB2312" w:cs="仿宋_GB2312"/>
          <w:b w:val="0"/>
          <w:bCs w:val="0"/>
          <w:color w:val="000000" w:themeColor="text1"/>
          <w:kern w:val="2"/>
          <w:sz w:val="32"/>
          <w:szCs w:val="32"/>
          <w:shd w:val="clear" w:color="auto" w:fill="auto"/>
          <w:lang w:val="en-US" w:eastAsia="zh-CN" w:bidi="ar-SA"/>
          <w14:textFill>
            <w14:solidFill>
              <w14:schemeClr w14:val="tx1"/>
            </w14:solidFill>
          </w14:textFill>
        </w:rPr>
        <w:t>月-2025年</w:t>
      </w:r>
      <w:r>
        <w:rPr>
          <w:rStyle w:val="8"/>
          <w:rFonts w:hint="eastAsia" w:ascii="仿宋_GB2312" w:hAnsi="仿宋_GB2312" w:eastAsia="仿宋_GB2312" w:cs="仿宋_GB2312"/>
          <w:b w:val="0"/>
          <w:bCs w:val="0"/>
          <w:i w:val="0"/>
          <w:iCs w:val="0"/>
          <w:caps w:val="0"/>
          <w:color w:val="000000" w:themeColor="text1"/>
          <w:spacing w:val="0"/>
          <w:sz w:val="32"/>
          <w:szCs w:val="32"/>
          <w:shd w:val="clear" w:color="auto" w:fill="auto"/>
          <w:lang w:val="en-US" w:eastAsia="zh-CN"/>
          <w14:textFill>
            <w14:solidFill>
              <w14:schemeClr w14:val="tx1"/>
            </w14:solidFill>
          </w14:textFill>
        </w:rPr>
        <w:t>1</w:t>
      </w:r>
      <w:r>
        <w:rPr>
          <w:rStyle w:val="8"/>
          <w:rFonts w:hint="default" w:ascii="仿宋_GB2312" w:hAnsi="仿宋_GB2312" w:eastAsia="仿宋_GB2312" w:cs="仿宋_GB2312"/>
          <w:b w:val="0"/>
          <w:bCs w:val="0"/>
          <w:i w:val="0"/>
          <w:iCs w:val="0"/>
          <w:caps w:val="0"/>
          <w:color w:val="000000" w:themeColor="text1"/>
          <w:spacing w:val="0"/>
          <w:sz w:val="32"/>
          <w:szCs w:val="32"/>
          <w:shd w:val="clear" w:color="auto" w:fill="auto"/>
          <w:lang w:val="en-US" w:eastAsia="zh-CN"/>
          <w14:textFill>
            <w14:solidFill>
              <w14:schemeClr w14:val="tx1"/>
            </w14:solidFill>
          </w14:textFill>
        </w:rPr>
        <w:t>1</w:t>
      </w:r>
      <w:r>
        <w:rPr>
          <w:rStyle w:val="8"/>
          <w:rFonts w:hint="eastAsia" w:ascii="仿宋_GB2312" w:hAnsi="仿宋_GB2312" w:eastAsia="仿宋_GB2312" w:cs="仿宋_GB2312"/>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pPr>
      <w:r>
        <w:rPr>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t>三、参加对象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b w:val="0"/>
          <w:bCs w:val="0"/>
          <w:color w:val="000000" w:themeColor="text1"/>
          <w:kern w:val="2"/>
          <w:sz w:val="32"/>
          <w:szCs w:val="32"/>
          <w:shd w:val="clear" w:color="auto" w:fill="auto"/>
          <w:lang w:val="en-US" w:eastAsia="zh-CN" w:bidi="ar-SA"/>
          <w14:textFill>
            <w14:solidFill>
              <w14:schemeClr w14:val="tx1"/>
            </w14:solidFill>
          </w14:textFill>
        </w:rPr>
      </w:pPr>
      <w:r>
        <w:rPr>
          <w:rFonts w:hint="eastAsia" w:ascii="仿宋_GB2312" w:hAnsi="仿宋_GB2312" w:eastAsia="仿宋_GB2312" w:cs="仿宋_GB2312"/>
          <w:b w:val="0"/>
          <w:bCs w:val="0"/>
          <w:color w:val="000000" w:themeColor="text1"/>
          <w:kern w:val="2"/>
          <w:sz w:val="32"/>
          <w:szCs w:val="32"/>
          <w:shd w:val="clear" w:color="auto" w:fill="auto"/>
          <w:lang w:val="en-US" w:eastAsia="zh-CN" w:bidi="ar-SA"/>
          <w14:textFill>
            <w14:solidFill>
              <w14:schemeClr w14:val="tx1"/>
            </w14:solidFill>
          </w14:textFill>
        </w:rPr>
        <w:t>辖区各中小学校在校学生及广大青少年。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pPr>
      <w:r>
        <w:rPr>
          <w:rFonts w:hint="eastAsia" w:ascii="黑体" w:hAnsi="黑体" w:eastAsia="黑体" w:cs="黑体"/>
          <w:color w:val="000000" w:themeColor="text1"/>
          <w:kern w:val="2"/>
          <w:sz w:val="32"/>
          <w:szCs w:val="32"/>
          <w:shd w:val="clear" w:color="auto" w:fill="auto"/>
          <w:lang w:val="en-US" w:eastAsia="zh-CN" w:bidi="ar-SA"/>
          <w14:textFill>
            <w14:solidFill>
              <w14:schemeClr w14:val="tx1"/>
            </w14:solidFill>
          </w14:textFill>
        </w:rPr>
        <w:t>四、重点内容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shd w:val="clear" w:color="auto" w:fill="auto"/>
          <w:lang w:val="en-US" w:eastAsia="zh-CN" w:bidi="ar-SA"/>
          <w14:textFill>
            <w14:solidFill>
              <w14:schemeClr w14:val="tx1"/>
            </w14:solidFill>
          </w14:textFill>
        </w:rPr>
        <w:t>（一）深入学习并广泛宣传习近平法治思想。</w:t>
      </w:r>
      <w:r>
        <w:rPr>
          <w:rFonts w:hint="eastAsia" w:ascii="仿宋_GB2312" w:hAnsi="仿宋_GB2312" w:eastAsia="仿宋_GB2312" w:cs="仿宋_GB2312"/>
          <w:color w:val="000000" w:themeColor="text1"/>
          <w:kern w:val="2"/>
          <w:sz w:val="32"/>
          <w:szCs w:val="32"/>
          <w:shd w:val="clear" w:color="auto" w:fill="auto"/>
          <w:lang w:val="en-US" w:eastAsia="zh-CN" w:bidi="ar-SA"/>
          <w14:textFill>
            <w14:solidFill>
              <w14:schemeClr w14:val="tx1"/>
            </w14:solidFill>
          </w14:textFill>
        </w:rPr>
        <w:t>引导青少年深</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刻领会习近平法治思想的深远意义，详细阐释习近平法治思想中“十一个坚持”的深邃内涵，教育并引导青少年深入理解我国社会主义法治的本质特征，准确把握全面依法治国的方向道路、目标要求、工作布局以及重要保障。明确阐述习近平法治思想的实践要求，引导青少年坚定不移地走中国特色社会主义法治道路，不断增强“四个意识”、坚定“四个自信”、做到“两个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（二）突出抓好宪法的学习宣传，提高青少年的宪法意识。</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重点引导和教育青少年深入学习和宣传宪法的核心精神及其主要内容，特别是公民的基本权利与义务、尊重和保障人权等基础知识，进一步增强青少年公民责任意识与担当，教育引导广大青少年树立尊崇宪法、忠于宪法、遵守宪法、维护宪法的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（三）广泛开展民法典学习宣传教育。</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广泛开展民法典普法工作，以青少年易于理解的方式，阐释民法典的基本原则以及一系列新规定、新概念和新精神。让民法典深入青少年心中，引导其自觉守法、遇事找法、解决问题靠法，学会依法维权。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（四）重点开展与青少年学习、生活紧密相关的法律法规学习宣传。</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围绕青少年关心关注的教育、健康、文化、社会参与等方面，重点学习了解《未成年人保护法》、《预防未成年人犯罪法》、《家庭教育促进法》、《禁毒法》 等与青少年密切相关的法律法规知识，提高青少年自我约束、自我保护能力，预防和减少青少年违法犯罪行为，确保青少年能够做到尊法学法守法用法。</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firstLineChars="200"/>
        <w:jc w:val="both"/>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r>
        <w:rPr>
          <w:rFonts w:hint="eastAsia" w:ascii="楷体_GB2312" w:hAnsi="楷体_GB2312" w:eastAsia="楷体_GB2312" w:cs="楷体_GB2312"/>
          <w:b w:val="0"/>
          <w:bCs w:val="0"/>
          <w:color w:val="000000" w:themeColor="text1"/>
          <w:kern w:val="2"/>
          <w:sz w:val="32"/>
          <w:szCs w:val="32"/>
          <w:lang w:val="en-US" w:eastAsia="zh-CN" w:bidi="ar-SA"/>
          <w14:textFill>
            <w14:solidFill>
              <w14:schemeClr w14:val="tx1"/>
            </w14:solidFill>
          </w14:textFill>
        </w:rPr>
        <w:t>（五）坚持法治教育与道德教育相结合。</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加强家庭、学校、社会“三位一体”的青少年法治教育网络建设，依托家庭、社区开展青少年法治教育，营造有利于青少年健康成长的社会环境。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rPr>
          <w:rFonts w:hint="eastAsia" w:ascii="黑体" w:hAnsi="黑体" w:eastAsia="黑体" w:cs="黑体"/>
          <w:color w:val="000000" w:themeColor="text1"/>
          <w:kern w:val="2"/>
          <w:sz w:val="32"/>
          <w:szCs w:val="32"/>
          <w:lang w:val="en-US" w:eastAsia="zh-CN" w:bidi="ar-SA"/>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五、工作任务与措施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（一）用好建好普法教育阵地，充分发挥辖区阵地队伍作用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1.充分利用各类阵地，加强青少年法治教育阵地建设。</w:t>
      </w:r>
      <w:r>
        <w:rPr>
          <w:rFonts w:hint="eastAsia" w:ascii="楷体_GB2312" w:hAnsi="楷体_GB2312" w:eastAsia="楷体_GB2312" w:cs="楷体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充</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分发挥课堂主渠道和校园主阵地作用，把法治教育融入学校教育的各个阶段；充分发挥辖区爱国主义教育基地、红色教育基地和公共文化机构等各类法治阵地的示范引领作用，积极推动校外法治教育实践基地建设，以阵地为依托，开展青少年喜闻乐见的法治文化活动。</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2.壮大青少年法制教育队伍力量。</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广泛动员并组织辖区内的多方力量，积极参与青少年法治教育工作，同时加强法治教育讲师团和法治教育志愿者队伍的建设。充分利用街道民生律师团、学校法治副校长、社区法律顾问、“五老”人员、普法志愿者及各类青少年公益组织、社团力量，努力构建一支素质优秀、人数众多、结构合理、扎根基层且充满活力的青少年法治教育队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hint="eastAsia" w:ascii="楷体_GB2312" w:hAnsi="楷体_GB2312" w:eastAsia="楷体_GB2312" w:cs="楷体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b w:val="0"/>
          <w:bCs w:val="0"/>
          <w:i w:val="0"/>
          <w:iCs w:val="0"/>
          <w:caps w:val="0"/>
          <w:color w:val="000000" w:themeColor="text1"/>
          <w:spacing w:val="0"/>
          <w:kern w:val="0"/>
          <w:sz w:val="32"/>
          <w:szCs w:val="32"/>
          <w:shd w:val="clear" w:fill="FFFFFF"/>
          <w:lang w:val="en-US" w:eastAsia="zh-CN" w:bidi="ar"/>
          <w14:textFill>
            <w14:solidFill>
              <w14:schemeClr w14:val="tx1"/>
            </w14:solidFill>
          </w14:textFill>
        </w:rPr>
        <w:t>（二）广泛开展形式多样法治教育活动，推进辖区法治文化建设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3.广泛开展“法律进学校”活动。</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结合国家宪法日、国际禁毒日、全国消防日、全国中小学生安全教育日及学校开学仪式等重要时间节点，向青少年宣传普及法律法规，深入开展“法律进学校”活动。积极开展开学“法治第一课”、“法治文化周”、模拟法庭辩论、法治征文与漫画创作、法治主题演讲、校园法治教育情景剧等活动，加强校园法治文化建设，提升青少年法治素养。</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000000" w:themeColor="text1"/>
          <w:spacing w:val="0"/>
          <w:kern w:val="0"/>
          <w:sz w:val="32"/>
          <w:szCs w:val="32"/>
          <w:highlight w:val="yellow"/>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4.积极推进“法治家庭”创建活动。</w:t>
      </w:r>
      <w:r>
        <w:rPr>
          <w:rFonts w:hint="eastAsia" w:ascii="仿宋_GB2312" w:hAnsi="仿宋_GB2312" w:eastAsia="仿宋_GB2312" w:cs="仿宋_GB2312"/>
          <w:i w:val="0"/>
          <w:iCs w:val="0"/>
          <w:caps w:val="0"/>
          <w:color w:val="000000" w:themeColor="text1"/>
          <w:spacing w:val="0"/>
          <w:kern w:val="0"/>
          <w:sz w:val="32"/>
          <w:szCs w:val="32"/>
          <w:highlight w:val="none"/>
          <w:shd w:val="clear" w:fill="FFFFFF"/>
          <w:lang w:val="en-US" w:eastAsia="zh-CN" w:bidi="ar"/>
          <w14:textFill>
            <w14:solidFill>
              <w14:schemeClr w14:val="tx1"/>
            </w14:solidFill>
          </w14:textFill>
        </w:rPr>
        <w:t>家庭是青少年成长的摇篮和法治教育的重要场所。积极组织和引导学校、社区推进“法治家庭”创建活动，通过举办家庭法治讲座、制定家长法治教育手册、开展家庭、家教和家风的建设、家庭法治实践等活动，提高家长法治教育能力和素养，营造和谐的家庭法治氛围。充分发挥“大手拉小手”作用，让法治成为家庭生活方式，为青少年健康成长提供坚实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right="0" w:firstLine="643"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5.抓好重点青少年法治宣传教育。</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充分发挥社区“两委”干部、“法律明白人”等关键角色的作用，针对社会不良行为青少年、未成年社区矫正对象等重点群体，开展具有针对性的法治教育、管理和服务工作。及时掌握未成年人违法犯罪的动态，协助问题青少年明确法律底线和行为边界，引导其学会尊法守法，预防和减少青少年的再次违法犯罪行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6.深化青少年法治实践，推动青少年法治实践活动常态化。</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充分整合辖区法院、检察院、律师事务所等法律服务资源，开展青少年模拟法庭、情景剧表演、观看庭审直播等法治实践活动，推动青少年近距离感受法律的尊严和权威，在体验中增强法治观念。组织辖区学校开展“法治小使者”选拔活动，鼓励青少年参与志愿普法活动。利用课余时间、寒暑假期，深入社区、学校、家庭，用生动的案例、通俗的语言，向身边人普及法律知识，传递法治精神。</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kern w:val="0"/>
          <w:sz w:val="32"/>
          <w:szCs w:val="32"/>
          <w:shd w:val="clear" w:fill="FFFFFF"/>
          <w:lang w:val="en-US" w:eastAsia="zh-CN" w:bidi="ar"/>
          <w14:textFill>
            <w14:solidFill>
              <w14:schemeClr w14:val="tx1"/>
            </w14:solidFill>
          </w14:textFill>
        </w:rPr>
        <w:t>7.创新法治教育渠道和方法，开展精准法治教育。</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充分利用大数据、人工智能等新媒体技术与平台，通过线上普法课堂、有奖答题等多种形式，开展法治宣传教育；加强短视频等新媒体应用，利用青少年喜闻乐见的社交媒体，生动阐释法律知识，促进全面传播；有效整合教育部全国青少年普法网等线上法治教育资源，满足不同青少年群体个性化的法治学习需求，实现精准普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六、工作实施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一</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准备阶段:202</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年</w:t>
      </w:r>
      <w:r>
        <w:rPr>
          <w:rFonts w:hint="default"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10</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至</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1</w:t>
      </w:r>
      <w:r>
        <w:rPr>
          <w:rFonts w:hint="default"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1</w:t>
      </w:r>
      <w:r>
        <w:rPr>
          <w:rFonts w:hint="eastAsia" w:ascii="楷体_GB2312" w:hAnsi="楷体_GB2312" w:eastAsia="楷体_GB2312" w:cs="楷体_GB2312"/>
          <w:i w:val="0"/>
          <w:iCs w:val="0"/>
          <w:caps w:val="0"/>
          <w:color w:val="000000" w:themeColor="text1"/>
          <w:spacing w:val="0"/>
          <w:sz w:val="32"/>
          <w:szCs w:val="32"/>
          <w:shd w:val="clear" w:fill="FFFFFF"/>
          <w14:textFill>
            <w14:solidFill>
              <w14:schemeClr w14:val="tx1"/>
            </w14:solidFill>
          </w14:textFill>
        </w:rPr>
        <w:t>月</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深入学习习近平总书记有关加强未成年人法治教育的重要论述精神,学习习近平法治思想和有关</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文件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部署，成立活动</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领导小组，</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分析当前青少年法治宣传教育形势，制定活动实施方案。</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二</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）实施阶段:202</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4</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年</w:t>
      </w:r>
      <w:r>
        <w:rPr>
          <w:rFonts w:hint="default"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11</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月至 2025年</w:t>
      </w:r>
      <w:r>
        <w:rPr>
          <w:rFonts w:hint="default"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10</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全面启动</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莲花街道“关爱明天，普法先行”</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青少年法治宣传教育活动。按照本活动实施意见的部署，结合</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辖区</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实际</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工作</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情况，深入扎实开展青少年法治宣传教育活动。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三</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）总结阶段:2025年</w:t>
      </w:r>
      <w:r>
        <w:rPr>
          <w:rFonts w:hint="default" w:ascii="楷体_GB2312" w:hAnsi="楷体_GB2312" w:eastAsia="楷体_GB2312" w:cs="楷体_GB2312"/>
          <w:i w:val="0"/>
          <w:iCs w:val="0"/>
          <w:caps w:val="0"/>
          <w:color w:val="000000" w:themeColor="text1"/>
          <w:spacing w:val="0"/>
          <w:sz w:val="32"/>
          <w:szCs w:val="32"/>
          <w:shd w:val="clear" w:fill="FFFFFF"/>
          <w:lang w:val="en-US" w:eastAsia="zh-CN"/>
          <w14:textFill>
            <w14:solidFill>
              <w14:schemeClr w14:val="tx1"/>
            </w14:solidFill>
          </w14:textFill>
        </w:rPr>
        <w:t>11</w:t>
      </w:r>
      <w:r>
        <w:rPr>
          <w:rFonts w:hint="eastAsia" w:ascii="楷体_GB2312" w:hAnsi="楷体_GB2312" w:eastAsia="楷体_GB2312" w:cs="楷体_GB2312"/>
          <w:i w:val="0"/>
          <w:iCs w:val="0"/>
          <w:caps w:val="0"/>
          <w:color w:val="000000" w:themeColor="text1"/>
          <w:spacing w:val="0"/>
          <w:sz w:val="32"/>
          <w:szCs w:val="32"/>
          <w:shd w:val="clear" w:fill="FFFFFF"/>
          <w:lang w:eastAsia="zh-CN"/>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对活动开展情况进行评估、总结，对成效突出的单位和个人进行表彰，并择优向上级推荐先进集体和个人。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黑体" w:hAnsi="黑体" w:eastAsia="黑体" w:cs="黑体"/>
          <w:i w:val="0"/>
          <w:iCs w:val="0"/>
          <w:caps w:val="0"/>
          <w:color w:val="000000" w:themeColor="text1"/>
          <w:spacing w:val="0"/>
          <w:kern w:val="0"/>
          <w:sz w:val="32"/>
          <w:szCs w:val="32"/>
          <w:shd w:val="clear" w:fill="FFFFFF"/>
          <w:lang w:val="en-US" w:eastAsia="zh-CN" w:bidi="ar"/>
          <w14:textFill>
            <w14:solidFill>
              <w14:schemeClr w14:val="tx1"/>
            </w14:solidFill>
          </w14:textFill>
        </w:rPr>
        <w:t>七、工作要求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DFDFE"/>
          <w14:textFill>
            <w14:solidFill>
              <w14:schemeClr w14:val="tx1"/>
            </w14:solidFill>
          </w14:textFill>
        </w:rPr>
        <w:t>（一）加强组织领导</w:t>
      </w:r>
      <w:r>
        <w:rPr>
          <w:rFonts w:hint="eastAsia" w:ascii="楷体_GB2312" w:hAnsi="楷体_GB2312" w:eastAsia="楷体_GB2312" w:cs="楷体_GB2312"/>
          <w:i w:val="0"/>
          <w:iCs w:val="0"/>
          <w:caps w:val="0"/>
          <w:color w:val="000000" w:themeColor="text1"/>
          <w:spacing w:val="0"/>
          <w:sz w:val="32"/>
          <w:szCs w:val="32"/>
          <w:shd w:val="clear" w:fill="FDFDFE"/>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DFDFE"/>
          <w:lang w:val="en-US" w:eastAsia="zh-CN"/>
          <w14:textFill>
            <w14:solidFill>
              <w14:schemeClr w14:val="tx1"/>
            </w14:solidFill>
          </w14:textFill>
        </w:rPr>
        <w:t>形成工作合力</w:t>
      </w:r>
      <w:r>
        <w:rPr>
          <w:rFonts w:hint="eastAsia" w:ascii="楷体_GB2312" w:hAnsi="楷体_GB2312" w:eastAsia="楷体_GB2312" w:cs="楷体_GB2312"/>
          <w:i w:val="0"/>
          <w:iCs w:val="0"/>
          <w:caps w:val="0"/>
          <w:color w:val="000000" w:themeColor="text1"/>
          <w:spacing w:val="0"/>
          <w:sz w:val="32"/>
          <w:szCs w:val="32"/>
          <w:shd w:val="clear" w:fill="FDFDFE"/>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充分发挥基层党组织在青少年法治宣传教育中的战斗堡垒作用，汇聚各方资源，推动青少年法治宣传教育抓实见效。</w:t>
      </w:r>
      <w:r>
        <w:rPr>
          <w:rFonts w:hint="eastAsia" w:ascii="仿宋_GB2312" w:hAnsi="仿宋_GB2312" w:eastAsia="仿宋_GB2312" w:cs="仿宋_GB2312"/>
          <w:i w:val="0"/>
          <w:iCs w:val="0"/>
          <w:caps w:val="0"/>
          <w:color w:val="000000" w:themeColor="text1"/>
          <w:spacing w:val="0"/>
          <w:sz w:val="32"/>
          <w:szCs w:val="32"/>
          <w:shd w:val="clear" w:fill="FDFDFE"/>
          <w:lang w:val="en-US" w:eastAsia="zh-CN"/>
          <w14:textFill>
            <w14:solidFill>
              <w14:schemeClr w14:val="tx1"/>
            </w14:solidFill>
          </w14:textFill>
        </w:rPr>
        <w:t>加强与教育、公安、法院等相关部门、</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组织间的协同合作</w:t>
      </w:r>
      <w:r>
        <w:rPr>
          <w:rFonts w:hint="eastAsia" w:ascii="仿宋_GB2312" w:hAnsi="仿宋_GB2312" w:eastAsia="仿宋_GB2312" w:cs="仿宋_GB2312"/>
          <w:i w:val="0"/>
          <w:iCs w:val="0"/>
          <w:caps w:val="0"/>
          <w:color w:val="000000" w:themeColor="text1"/>
          <w:spacing w:val="0"/>
          <w:sz w:val="32"/>
          <w:szCs w:val="32"/>
          <w:shd w:val="clear" w:fill="FDFDFE"/>
          <w:lang w:val="en-US" w:eastAsia="zh-CN"/>
          <w14:textFill>
            <w14:solidFill>
              <w14:schemeClr w14:val="tx1"/>
            </w14:solidFill>
          </w14:textFill>
        </w:rPr>
        <w:t>的密切配合，</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促进青少年法治宣传教育与相关领域工作融合发展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形成青少年法治宣传教育</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工作</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强大合力</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i w:val="0"/>
          <w:iCs w:val="0"/>
          <w:caps w:val="0"/>
          <w:color w:val="000000" w:themeColor="text1"/>
          <w:spacing w:val="0"/>
          <w:sz w:val="32"/>
          <w:szCs w:val="32"/>
          <w:shd w:val="clear" w:fill="FDFDFE"/>
          <w14:textFill>
            <w14:solidFill>
              <w14:schemeClr w14:val="tx1"/>
            </w14:solidFill>
          </w14:textFill>
        </w:rPr>
      </w:pPr>
      <w:r>
        <w:rPr>
          <w:rFonts w:hint="eastAsia" w:ascii="楷体_GB2312" w:hAnsi="楷体_GB2312" w:eastAsia="楷体_GB2312" w:cs="楷体_GB2312"/>
          <w:i w:val="0"/>
          <w:iCs w:val="0"/>
          <w:caps w:val="0"/>
          <w:color w:val="000000" w:themeColor="text1"/>
          <w:spacing w:val="0"/>
          <w:sz w:val="32"/>
          <w:szCs w:val="32"/>
          <w:shd w:val="clear" w:fill="FDFDFE"/>
          <w14:textFill>
            <w14:solidFill>
              <w14:schemeClr w14:val="tx1"/>
            </w14:solidFill>
          </w14:textFill>
        </w:rPr>
        <w:t>（二）注重实效创新</w:t>
      </w:r>
      <w:r>
        <w:rPr>
          <w:rFonts w:hint="eastAsia" w:ascii="楷体_GB2312" w:hAnsi="楷体_GB2312" w:eastAsia="楷体_GB2312" w:cs="楷体_GB2312"/>
          <w:i w:val="0"/>
          <w:iCs w:val="0"/>
          <w:caps w:val="0"/>
          <w:color w:val="000000" w:themeColor="text1"/>
          <w:spacing w:val="0"/>
          <w:sz w:val="32"/>
          <w:szCs w:val="32"/>
          <w:shd w:val="clear" w:fill="FDFDFE"/>
          <w:lang w:eastAsia="zh-CN"/>
          <w14:textFill>
            <w14:solidFill>
              <w14:schemeClr w14:val="tx1"/>
            </w14:solidFill>
          </w14:textFill>
        </w:rPr>
        <w:t>，</w:t>
      </w:r>
      <w:r>
        <w:rPr>
          <w:rFonts w:hint="eastAsia" w:ascii="楷体_GB2312" w:hAnsi="楷体_GB2312" w:eastAsia="楷体_GB2312" w:cs="楷体_GB2312"/>
          <w:i w:val="0"/>
          <w:iCs w:val="0"/>
          <w:caps w:val="0"/>
          <w:color w:val="000000" w:themeColor="text1"/>
          <w:spacing w:val="0"/>
          <w:sz w:val="32"/>
          <w:szCs w:val="32"/>
          <w:shd w:val="clear" w:fill="FDFDFE"/>
          <w:lang w:val="en-US" w:eastAsia="zh-CN"/>
          <w14:textFill>
            <w14:solidFill>
              <w14:schemeClr w14:val="tx1"/>
            </w14:solidFill>
          </w14:textFill>
        </w:rPr>
        <w:t>突出效果导向</w:t>
      </w:r>
      <w:r>
        <w:rPr>
          <w:rFonts w:hint="eastAsia" w:ascii="楷体_GB2312" w:hAnsi="楷体_GB2312" w:eastAsia="楷体_GB2312" w:cs="楷体_GB2312"/>
          <w:i w:val="0"/>
          <w:iCs w:val="0"/>
          <w:caps w:val="0"/>
          <w:color w:val="000000" w:themeColor="text1"/>
          <w:spacing w:val="0"/>
          <w:sz w:val="32"/>
          <w:szCs w:val="32"/>
          <w:shd w:val="clear" w:fill="FDFDFE"/>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要结合青少年身心特点和认知规律，创新法治宣传教育形式和内容，注重活动的趣味性和实效性，增强青少年受众的参与感、体验感、获得感</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确保活动取得良好效果。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iCs w:val="0"/>
          <w:caps w:val="0"/>
          <w:color w:val="000000" w:themeColor="text1"/>
          <w:spacing w:val="0"/>
          <w:kern w:val="0"/>
          <w:sz w:val="32"/>
          <w:szCs w:val="32"/>
          <w:shd w:val="clear" w:fill="FDFDFE"/>
          <w:lang w:val="en-US" w:eastAsia="zh-CN" w:bidi="ar"/>
          <w14:textFill>
            <w14:solidFill>
              <w14:schemeClr w14:val="tx1"/>
            </w14:solidFill>
          </w14:textFill>
        </w:rPr>
      </w:pPr>
      <w:r>
        <w:rPr>
          <w:rFonts w:hint="eastAsia" w:ascii="楷体_GB2312" w:hAnsi="楷体_GB2312" w:eastAsia="楷体_GB2312" w:cs="楷体_GB2312"/>
          <w:i w:val="0"/>
          <w:iCs w:val="0"/>
          <w:caps w:val="0"/>
          <w:color w:val="000000" w:themeColor="text1"/>
          <w:spacing w:val="0"/>
          <w:kern w:val="0"/>
          <w:sz w:val="32"/>
          <w:szCs w:val="32"/>
          <w:shd w:val="clear" w:fill="FDFDFE"/>
          <w:lang w:val="en-US" w:eastAsia="zh-CN" w:bidi="ar"/>
          <w14:textFill>
            <w14:solidFill>
              <w14:schemeClr w14:val="tx1"/>
            </w14:solidFill>
          </w14:textFill>
        </w:rPr>
        <w:t>（三）充分发挥“五老”作用。</w:t>
      </w:r>
      <w:r>
        <w:rPr>
          <w:rFonts w:hint="eastAsia" w:ascii="仿宋_GB2312" w:hAnsi="仿宋_GB2312" w:eastAsia="仿宋_GB2312" w:cs="仿宋_GB2312"/>
          <w:i w:val="0"/>
          <w:iCs w:val="0"/>
          <w:caps w:val="0"/>
          <w:color w:val="000000" w:themeColor="text1"/>
          <w:spacing w:val="0"/>
          <w:kern w:val="0"/>
          <w:sz w:val="32"/>
          <w:szCs w:val="32"/>
          <w:shd w:val="clear" w:fill="FFFFFF"/>
          <w:lang w:val="en-US" w:eastAsia="zh-CN" w:bidi="ar"/>
          <w14:textFill>
            <w14:solidFill>
              <w14:schemeClr w14:val="tx1"/>
            </w14:solidFill>
          </w14:textFill>
        </w:rPr>
        <w:t>充分发挥辖区“五老”特别是老公安、老检察官、老法官等政法战线退休老同志在青少年法治宣传教育的重要作用，积极组织“五老”人员参与青少年法治宣传教育工作，进一步优化</w:t>
      </w:r>
      <w:r>
        <w:rPr>
          <w:rFonts w:hint="eastAsia" w:ascii="仿宋_GB2312" w:hAnsi="仿宋_GB2312" w:eastAsia="仿宋_GB2312" w:cs="仿宋_GB2312"/>
          <w:i w:val="0"/>
          <w:iCs w:val="0"/>
          <w:caps w:val="0"/>
          <w:color w:val="000000" w:themeColor="text1"/>
          <w:spacing w:val="0"/>
          <w:kern w:val="0"/>
          <w:sz w:val="32"/>
          <w:szCs w:val="32"/>
          <w:shd w:val="clear" w:fill="FDFDFE"/>
          <w:lang w:val="en-US" w:eastAsia="zh-CN" w:bidi="ar"/>
          <w14:textFill>
            <w14:solidFill>
              <w14:schemeClr w14:val="tx1"/>
            </w14:solidFill>
          </w14:textFill>
        </w:rPr>
        <w:t>青少年成长环境。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DFDFE"/>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i w:val="0"/>
          <w:iCs w:val="0"/>
          <w:caps w:val="0"/>
          <w:color w:val="000000" w:themeColor="text1"/>
          <w:spacing w:val="0"/>
          <w:kern w:val="0"/>
          <w:sz w:val="32"/>
          <w:szCs w:val="32"/>
          <w:shd w:val="clear" w:fill="FDFDFE"/>
          <w:lang w:val="en-US" w:eastAsia="zh-CN" w:bidi="ar"/>
          <w14:textFill>
            <w14:solidFill>
              <w14:schemeClr w14:val="tx1"/>
            </w14:solidFill>
          </w14:textFill>
        </w:rPr>
        <w:t>（四）强化宣传引导，注重总结评估。</w:t>
      </w:r>
      <w:r>
        <w:rPr>
          <w:rFonts w:hint="eastAsia" w:ascii="仿宋_GB2312" w:hAnsi="仿宋_GB2312" w:eastAsia="仿宋_GB2312" w:cs="仿宋_GB2312"/>
          <w:i w:val="0"/>
          <w:iCs w:val="0"/>
          <w:caps w:val="0"/>
          <w:color w:val="000000" w:themeColor="text1"/>
          <w:spacing w:val="0"/>
          <w:sz w:val="32"/>
          <w:szCs w:val="32"/>
          <w:shd w:val="clear" w:fill="FDFDFE"/>
          <w14:textFill>
            <w14:solidFill>
              <w14:schemeClr w14:val="tx1"/>
            </w14:solidFill>
          </w14:textFill>
        </w:rPr>
        <w:t>充分利用各</w:t>
      </w:r>
      <w:r>
        <w:rPr>
          <w:rFonts w:hint="eastAsia" w:ascii="仿宋_GB2312" w:hAnsi="仿宋_GB2312" w:eastAsia="仿宋_GB2312" w:cs="仿宋_GB2312"/>
          <w:i w:val="0"/>
          <w:iCs w:val="0"/>
          <w:caps w:val="0"/>
          <w:color w:val="000000" w:themeColor="text1"/>
          <w:spacing w:val="0"/>
          <w:sz w:val="32"/>
          <w:szCs w:val="32"/>
          <w:shd w:val="clear" w:fill="FDFDFE"/>
          <w:lang w:val="en-US" w:eastAsia="zh-CN"/>
          <w14:textFill>
            <w14:solidFill>
              <w14:schemeClr w14:val="tx1"/>
            </w14:solidFill>
          </w14:textFill>
        </w:rPr>
        <w:t>类媒介</w:t>
      </w:r>
      <w:r>
        <w:rPr>
          <w:rFonts w:hint="eastAsia" w:ascii="仿宋_GB2312" w:hAnsi="仿宋_GB2312" w:eastAsia="仿宋_GB2312" w:cs="仿宋_GB2312"/>
          <w:i w:val="0"/>
          <w:iCs w:val="0"/>
          <w:caps w:val="0"/>
          <w:color w:val="000000" w:themeColor="text1"/>
          <w:spacing w:val="0"/>
          <w:sz w:val="32"/>
          <w:szCs w:val="32"/>
          <w:shd w:val="clear" w:fill="FDFDFE"/>
          <w14:textFill>
            <w14:solidFill>
              <w14:schemeClr w14:val="tx1"/>
            </w14:solidFill>
          </w14:textFill>
        </w:rPr>
        <w:t>，加大活动宣传力度，提高活动的知晓率和参与度。同时，注重挖掘和宣传活动中的典型事迹和先进经验，总结经验教训</w:t>
      </w:r>
      <w:r>
        <w:rPr>
          <w:rFonts w:hint="eastAsia" w:ascii="仿宋_GB2312" w:hAnsi="仿宋_GB2312" w:eastAsia="仿宋_GB2312" w:cs="仿宋_GB2312"/>
          <w:i w:val="0"/>
          <w:iCs w:val="0"/>
          <w:caps w:val="0"/>
          <w:color w:val="000000" w:themeColor="text1"/>
          <w:spacing w:val="0"/>
          <w:sz w:val="32"/>
          <w:szCs w:val="32"/>
          <w:shd w:val="clear" w:fill="FDFDFE"/>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促进青少年法治宣传教育活动更加卓有成效地开展</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ZWY2Njg2Mzc1OGNkZDMzNWRlMWYxYTAwYTAzNjEifQ=="/>
  </w:docVars>
  <w:rsids>
    <w:rsidRoot w:val="203E6659"/>
    <w:rsid w:val="09575490"/>
    <w:rsid w:val="0D732BFC"/>
    <w:rsid w:val="0DCA5296"/>
    <w:rsid w:val="112A0531"/>
    <w:rsid w:val="203E6659"/>
    <w:rsid w:val="2F0D6701"/>
    <w:rsid w:val="32FD7ECF"/>
    <w:rsid w:val="350E43EB"/>
    <w:rsid w:val="35166C5E"/>
    <w:rsid w:val="4B2D5687"/>
    <w:rsid w:val="553F1EA8"/>
    <w:rsid w:val="62012D11"/>
    <w:rsid w:val="628F657E"/>
    <w:rsid w:val="68CD7140"/>
    <w:rsid w:val="6DD85044"/>
    <w:rsid w:val="6F4420D9"/>
    <w:rsid w:val="7E5E65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3040</Words>
  <Characters>3073</Characters>
  <Lines>0</Lines>
  <Paragraphs>0</Paragraphs>
  <TotalTime>12</TotalTime>
  <ScaleCrop>false</ScaleCrop>
  <LinksUpToDate>false</LinksUpToDate>
  <CharactersWithSpaces>3077</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2024-08-02T10:19:00Z</dcterms:created>
  <dc:creator>xxxxxsophia</dc:creator>
  <cp:lastModifiedBy>xxxxxsophia</cp:lastModifiedBy>
  <dcterms:modified xsi:type="dcterms:W3CDTF">2024-10-09T06:51:13Z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52162D2EFA434B16ACCB0BD93CF3CB95_13</vt:lpwstr>
  </property>
</Properties>
</file>